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2A1BE7">
      <w:pPr>
        <w:pStyle w:val="2"/>
        <w:jc w:val="center"/>
        <w:rPr>
          <w:color w:val="auto"/>
        </w:rPr>
        <w:sectPr>
          <w:headerReference r:id="rId3" w:type="default"/>
          <w:footerReference r:id="rId4" w:type="default"/>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p w14:paraId="7C830F27">
      <w:pPr>
        <w:rPr>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p w14:paraId="2B71DF0C">
      <w:pPr>
        <w:pStyle w:val="2"/>
        <w:jc w:val="center"/>
        <w:rPr>
          <w:rFonts w:hint="default" w:ascii="Times New Roman" w:hAnsi="Times New Roman" w:eastAsia="宋体" w:cs="Times New Roman"/>
          <w:b w:val="0"/>
          <w:bCs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p w14:paraId="3582077C">
      <w:pPr>
        <w:pStyle w:val="2"/>
        <w:jc w:val="center"/>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b w:val="0"/>
          <w:bCs w:val="0"/>
          <w:color w:val="auto"/>
          <w:sz w:val="36"/>
          <w:szCs w:val="36"/>
          <w:highlight w:val="none"/>
        </w:rPr>
        <w:t>一、建设项目基本情况</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29"/>
        <w:gridCol w:w="1968"/>
        <w:gridCol w:w="2134"/>
        <w:gridCol w:w="2639"/>
      </w:tblGrid>
      <w:tr w14:paraId="00B00F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29" w:type="dxa"/>
            <w:tcMar>
              <w:top w:w="16" w:type="dxa"/>
              <w:left w:w="16" w:type="dxa"/>
              <w:right w:w="16" w:type="dxa"/>
            </w:tcMar>
            <w:vAlign w:val="center"/>
          </w:tcPr>
          <w:p w14:paraId="5865EC3F">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建设项目名称</w:t>
            </w:r>
          </w:p>
        </w:tc>
        <w:tc>
          <w:tcPr>
            <w:tcW w:w="6741" w:type="dxa"/>
            <w:gridSpan w:val="3"/>
            <w:vAlign w:val="center"/>
          </w:tcPr>
          <w:p w14:paraId="592522AC">
            <w:pPr>
              <w:adjustRightInd w:val="0"/>
              <w:snapToGrid w:val="0"/>
              <w:jc w:val="center"/>
              <w:rPr>
                <w:rFonts w:hint="eastAsia" w:hAnsi="宋体" w:eastAsia="宋体"/>
                <w:bCs/>
                <w:color w:val="auto"/>
                <w:kern w:val="0"/>
                <w:sz w:val="24"/>
                <w:highlight w:val="none"/>
                <w:lang w:eastAsia="zh-CN"/>
              </w:rPr>
            </w:pPr>
            <w:r>
              <w:rPr>
                <w:rFonts w:hint="eastAsia" w:hAnsi="宋体"/>
                <w:bCs/>
                <w:color w:val="auto"/>
                <w:kern w:val="0"/>
                <w:sz w:val="24"/>
                <w:highlight w:val="none"/>
                <w:lang w:eastAsia="zh-CN"/>
              </w:rPr>
              <w:t>检测实验室建设项目</w:t>
            </w:r>
          </w:p>
        </w:tc>
      </w:tr>
      <w:tr w14:paraId="19DD7A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29" w:type="dxa"/>
            <w:tcMar>
              <w:top w:w="16" w:type="dxa"/>
              <w:left w:w="16" w:type="dxa"/>
              <w:right w:w="16" w:type="dxa"/>
            </w:tcMar>
            <w:vAlign w:val="center"/>
          </w:tcPr>
          <w:p w14:paraId="7D3C7020">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项目代码</w:t>
            </w:r>
          </w:p>
        </w:tc>
        <w:tc>
          <w:tcPr>
            <w:tcW w:w="6741" w:type="dxa"/>
            <w:gridSpan w:val="3"/>
            <w:shd w:val="clear" w:color="auto" w:fill="auto"/>
            <w:vAlign w:val="center"/>
          </w:tcPr>
          <w:p w14:paraId="12A688DE">
            <w:pPr>
              <w:adjustRightInd w:val="0"/>
              <w:snapToGrid w:val="0"/>
              <w:jc w:val="center"/>
              <w:rPr>
                <w:rFonts w:hint="default" w:hAnsi="宋体"/>
                <w:bCs/>
                <w:color w:val="auto"/>
                <w:kern w:val="0"/>
                <w:sz w:val="24"/>
                <w:highlight w:val="none"/>
                <w:lang w:val="en-US" w:eastAsia="zh-CN"/>
              </w:rPr>
            </w:pPr>
            <w:r>
              <w:rPr>
                <w:rFonts w:hint="default"/>
                <w:color w:val="auto"/>
                <w:sz w:val="24"/>
                <w:highlight w:val="none"/>
                <w:lang w:val="en-US" w:eastAsia="zh-CN"/>
              </w:rPr>
              <w:t>2510-110230-04-05-473059</w:t>
            </w:r>
          </w:p>
        </w:tc>
      </w:tr>
      <w:tr w14:paraId="05DA7D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5" w:hRule="atLeast"/>
          <w:jc w:val="center"/>
        </w:trPr>
        <w:tc>
          <w:tcPr>
            <w:tcW w:w="2129" w:type="dxa"/>
            <w:tcMar>
              <w:top w:w="16" w:type="dxa"/>
              <w:left w:w="16" w:type="dxa"/>
              <w:right w:w="16" w:type="dxa"/>
            </w:tcMar>
            <w:vAlign w:val="center"/>
          </w:tcPr>
          <w:p w14:paraId="1D504164">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建设单位</w:t>
            </w:r>
          </w:p>
          <w:p w14:paraId="297E071B">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联系人</w:t>
            </w:r>
          </w:p>
        </w:tc>
        <w:tc>
          <w:tcPr>
            <w:tcW w:w="1968" w:type="dxa"/>
            <w:vAlign w:val="center"/>
          </w:tcPr>
          <w:p w14:paraId="4667E713">
            <w:pPr>
              <w:adjustRightInd w:val="0"/>
              <w:snapToGrid w:val="0"/>
              <w:jc w:val="center"/>
              <w:rPr>
                <w:rFonts w:hint="eastAsia" w:ascii="Times New Roman" w:hAnsi="Times New Roman" w:eastAsia="宋体" w:cs="Times New Roman"/>
                <w:color w:val="auto"/>
                <w:sz w:val="24"/>
                <w:highlight w:val="none"/>
                <w:lang w:eastAsia="zh-CN"/>
              </w:rPr>
            </w:pPr>
            <w:r>
              <w:rPr>
                <w:rFonts w:hint="eastAsia" w:hAnsi="宋体"/>
                <w:bCs/>
                <w:color w:val="auto"/>
                <w:kern w:val="0"/>
                <w:sz w:val="24"/>
                <w:highlight w:val="none"/>
                <w:lang w:val="en-US" w:eastAsia="zh-CN"/>
              </w:rPr>
              <w:t>周林</w:t>
            </w:r>
          </w:p>
        </w:tc>
        <w:tc>
          <w:tcPr>
            <w:tcW w:w="2134" w:type="dxa"/>
            <w:vAlign w:val="center"/>
          </w:tcPr>
          <w:p w14:paraId="1B18A46A">
            <w:pPr>
              <w:adjustRightInd w:val="0"/>
              <w:snapToGrid w:val="0"/>
              <w:jc w:val="center"/>
              <w:rPr>
                <w:rFonts w:hint="default" w:ascii="Times New Roman" w:hAnsi="Times New Roman" w:eastAsia="宋体" w:cs="Times New Roman"/>
                <w:color w:val="auto"/>
                <w:sz w:val="24"/>
                <w:highlight w:val="none"/>
              </w:rPr>
            </w:pPr>
            <w:r>
              <w:rPr>
                <w:rFonts w:hint="eastAsia" w:ascii="宋体" w:hAnsi="宋体" w:cs="宋体"/>
                <w:color w:val="auto"/>
                <w:sz w:val="24"/>
                <w:highlight w:val="none"/>
              </w:rPr>
              <w:t>联系方式</w:t>
            </w:r>
          </w:p>
        </w:tc>
        <w:tc>
          <w:tcPr>
            <w:tcW w:w="2639" w:type="dxa"/>
            <w:vAlign w:val="center"/>
          </w:tcPr>
          <w:p w14:paraId="1B682830">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olor w:val="auto"/>
                <w:sz w:val="24"/>
                <w:highlight w:val="none"/>
                <w:lang w:val="en-US" w:eastAsia="zh-CN"/>
              </w:rPr>
              <w:t>15810170872</w:t>
            </w:r>
          </w:p>
        </w:tc>
      </w:tr>
      <w:tr w14:paraId="27AEC8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29" w:type="dxa"/>
            <w:tcMar>
              <w:top w:w="16" w:type="dxa"/>
              <w:left w:w="16" w:type="dxa"/>
              <w:right w:w="16" w:type="dxa"/>
            </w:tcMar>
            <w:vAlign w:val="center"/>
          </w:tcPr>
          <w:p w14:paraId="2A06A25C">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建设地点</w:t>
            </w:r>
          </w:p>
        </w:tc>
        <w:tc>
          <w:tcPr>
            <w:tcW w:w="6741" w:type="dxa"/>
            <w:gridSpan w:val="3"/>
            <w:vAlign w:val="center"/>
          </w:tcPr>
          <w:p w14:paraId="5B8F68A7">
            <w:pPr>
              <w:adjustRightInd w:val="0"/>
              <w:snapToGrid w:val="0"/>
              <w:jc w:val="center"/>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 xml:space="preserve">北京经济技术开发区(通州)环科中路16号23幢1至4层 </w:t>
            </w:r>
          </w:p>
        </w:tc>
      </w:tr>
      <w:tr w14:paraId="0EF82D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7" w:hRule="atLeast"/>
          <w:jc w:val="center"/>
        </w:trPr>
        <w:tc>
          <w:tcPr>
            <w:tcW w:w="2129" w:type="dxa"/>
            <w:tcMar>
              <w:top w:w="16" w:type="dxa"/>
              <w:left w:w="16" w:type="dxa"/>
              <w:right w:w="16" w:type="dxa"/>
            </w:tcMar>
            <w:vAlign w:val="center"/>
          </w:tcPr>
          <w:p w14:paraId="77519D8B">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地理坐标</w:t>
            </w:r>
          </w:p>
        </w:tc>
        <w:tc>
          <w:tcPr>
            <w:tcW w:w="6741" w:type="dxa"/>
            <w:gridSpan w:val="3"/>
            <w:vAlign w:val="center"/>
          </w:tcPr>
          <w:p w14:paraId="1115DE27">
            <w:pPr>
              <w:adjustRightInd w:val="0"/>
              <w:snapToGrid w:val="0"/>
              <w:jc w:val="center"/>
              <w:rPr>
                <w:rFonts w:hint="default" w:ascii="Times New Roman" w:hAnsi="Times New Roman" w:eastAsia="宋体" w:cs="Times New Roman"/>
                <w:color w:val="auto"/>
                <w:sz w:val="24"/>
                <w:highlight w:val="none"/>
                <w:lang w:eastAsia="zh-CN"/>
              </w:rPr>
            </w:pPr>
            <w:r>
              <w:rPr>
                <w:rFonts w:hint="eastAsia" w:cs="Times New Roman"/>
                <w:color w:val="auto"/>
                <w:sz w:val="24"/>
                <w:highlight w:val="none"/>
                <w:lang w:val="en-US" w:eastAsia="zh-CN"/>
              </w:rPr>
              <w:t>东经</w:t>
            </w:r>
            <w:r>
              <w:rPr>
                <w:rFonts w:hint="eastAsia" w:ascii="Times New Roman" w:hAnsi="Times New Roman" w:eastAsia="宋体" w:cs="Times New Roman"/>
                <w:color w:val="auto"/>
                <w:sz w:val="24"/>
                <w:highlight w:val="none"/>
              </w:rPr>
              <w:t>116 度 3</w:t>
            </w:r>
            <w:r>
              <w:rPr>
                <w:rFonts w:hint="eastAsia" w:cs="Times New Roman"/>
                <w:color w:val="auto"/>
                <w:sz w:val="24"/>
                <w:highlight w:val="none"/>
                <w:lang w:val="en-US" w:eastAsia="zh-CN"/>
              </w:rPr>
              <w:t>3</w:t>
            </w:r>
            <w:r>
              <w:rPr>
                <w:rFonts w:hint="eastAsia" w:ascii="Times New Roman" w:hAnsi="Times New Roman" w:eastAsia="宋体" w:cs="Times New Roman"/>
                <w:color w:val="auto"/>
                <w:sz w:val="24"/>
                <w:highlight w:val="none"/>
              </w:rPr>
              <w:t xml:space="preserve"> 分</w:t>
            </w:r>
            <w:r>
              <w:rPr>
                <w:rFonts w:hint="eastAsia" w:cs="Times New Roman"/>
                <w:color w:val="auto"/>
                <w:sz w:val="24"/>
                <w:highlight w:val="none"/>
                <w:lang w:val="en-US" w:eastAsia="zh-CN"/>
              </w:rPr>
              <w:t>8.916</w:t>
            </w:r>
            <w:r>
              <w:rPr>
                <w:rFonts w:hint="eastAsia" w:ascii="Times New Roman" w:hAnsi="Times New Roman" w:eastAsia="宋体" w:cs="Times New Roman"/>
                <w:color w:val="auto"/>
                <w:sz w:val="24"/>
                <w:highlight w:val="none"/>
              </w:rPr>
              <w:t xml:space="preserve"> 秒</w:t>
            </w:r>
            <w:r>
              <w:rPr>
                <w:rFonts w:hint="eastAsia" w:cs="Times New Roman"/>
                <w:color w:val="auto"/>
                <w:sz w:val="24"/>
                <w:highlight w:val="none"/>
                <w:lang w:eastAsia="zh-CN"/>
              </w:rPr>
              <w:t>，</w:t>
            </w:r>
            <w:r>
              <w:rPr>
                <w:rFonts w:hint="eastAsia" w:cs="Times New Roman"/>
                <w:color w:val="auto"/>
                <w:sz w:val="24"/>
                <w:highlight w:val="none"/>
                <w:lang w:val="en-US" w:eastAsia="zh-CN"/>
              </w:rPr>
              <w:t>北纬</w:t>
            </w:r>
            <w:r>
              <w:rPr>
                <w:rFonts w:hint="eastAsia" w:ascii="Times New Roman" w:hAnsi="Times New Roman" w:eastAsia="宋体" w:cs="Times New Roman"/>
                <w:color w:val="auto"/>
                <w:sz w:val="24"/>
                <w:highlight w:val="none"/>
              </w:rPr>
              <w:t>39 度 4</w:t>
            </w:r>
            <w:r>
              <w:rPr>
                <w:rFonts w:hint="eastAsia" w:cs="Times New Roman"/>
                <w:color w:val="auto"/>
                <w:sz w:val="24"/>
                <w:highlight w:val="none"/>
                <w:lang w:val="en-US" w:eastAsia="zh-CN"/>
              </w:rPr>
              <w:t>3</w:t>
            </w:r>
            <w:r>
              <w:rPr>
                <w:rFonts w:hint="eastAsia" w:ascii="Times New Roman" w:hAnsi="Times New Roman" w:eastAsia="宋体" w:cs="Times New Roman"/>
                <w:color w:val="auto"/>
                <w:sz w:val="24"/>
                <w:highlight w:val="none"/>
              </w:rPr>
              <w:t xml:space="preserve"> 分 </w:t>
            </w:r>
            <w:r>
              <w:rPr>
                <w:rFonts w:hint="eastAsia" w:cs="Times New Roman"/>
                <w:color w:val="auto"/>
                <w:sz w:val="24"/>
                <w:highlight w:val="none"/>
                <w:lang w:val="en-US" w:eastAsia="zh-CN"/>
              </w:rPr>
              <w:t>48.078</w:t>
            </w:r>
            <w:r>
              <w:rPr>
                <w:rFonts w:hint="eastAsia" w:ascii="Times New Roman" w:hAnsi="Times New Roman" w:eastAsia="宋体" w:cs="Times New Roman"/>
                <w:color w:val="auto"/>
                <w:sz w:val="24"/>
                <w:highlight w:val="none"/>
              </w:rPr>
              <w:t xml:space="preserve"> 秒</w:t>
            </w:r>
          </w:p>
        </w:tc>
      </w:tr>
      <w:tr w14:paraId="17F8E2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04" w:hRule="atLeast"/>
          <w:jc w:val="center"/>
        </w:trPr>
        <w:tc>
          <w:tcPr>
            <w:tcW w:w="2129" w:type="dxa"/>
            <w:tcMar>
              <w:top w:w="16" w:type="dxa"/>
              <w:left w:w="16" w:type="dxa"/>
              <w:right w:w="16" w:type="dxa"/>
            </w:tcMar>
            <w:vAlign w:val="center"/>
          </w:tcPr>
          <w:p w14:paraId="61E320A1">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国民经济行业类别</w:t>
            </w:r>
          </w:p>
        </w:tc>
        <w:tc>
          <w:tcPr>
            <w:tcW w:w="1968" w:type="dxa"/>
            <w:vAlign w:val="center"/>
          </w:tcPr>
          <w:p w14:paraId="5E2552B8">
            <w:pPr>
              <w:adjustRightInd w:val="0"/>
              <w:snapToGrid w:val="0"/>
              <w:jc w:val="center"/>
              <w:rPr>
                <w:rFonts w:hint="default" w:ascii="Times New Roman" w:hAnsi="Times New Roman" w:eastAsia="宋体" w:cs="Times New Roman"/>
                <w:color w:val="auto"/>
                <w:sz w:val="24"/>
                <w:highlight w:val="none"/>
              </w:rPr>
            </w:pPr>
            <w:r>
              <w:rPr>
                <w:rFonts w:hint="eastAsia"/>
                <w:color w:val="auto"/>
                <w:sz w:val="24"/>
                <w:highlight w:val="none"/>
              </w:rPr>
              <w:t>检测服务</w:t>
            </w:r>
            <w:r>
              <w:rPr>
                <w:color w:val="auto"/>
                <w:sz w:val="24"/>
                <w:highlight w:val="none"/>
              </w:rPr>
              <w:t>M7452</w:t>
            </w:r>
          </w:p>
        </w:tc>
        <w:tc>
          <w:tcPr>
            <w:tcW w:w="2134" w:type="dxa"/>
            <w:vAlign w:val="center"/>
          </w:tcPr>
          <w:p w14:paraId="597A8024">
            <w:pPr>
              <w:adjustRightInd w:val="0"/>
              <w:snapToGrid w:val="0"/>
              <w:jc w:val="center"/>
              <w:rPr>
                <w:color w:val="auto"/>
                <w:sz w:val="24"/>
                <w:highlight w:val="none"/>
              </w:rPr>
            </w:pPr>
            <w:r>
              <w:rPr>
                <w:color w:val="auto"/>
                <w:sz w:val="24"/>
                <w:highlight w:val="none"/>
              </w:rPr>
              <w:t>建设项目</w:t>
            </w:r>
          </w:p>
          <w:p w14:paraId="5B6ED8A5">
            <w:pPr>
              <w:adjustRightInd w:val="0"/>
              <w:snapToGrid w:val="0"/>
              <w:jc w:val="center"/>
              <w:rPr>
                <w:rFonts w:hint="default" w:ascii="Times New Roman" w:hAnsi="Times New Roman" w:eastAsia="宋体" w:cs="Times New Roman"/>
                <w:color w:val="auto"/>
                <w:sz w:val="24"/>
                <w:highlight w:val="none"/>
              </w:rPr>
            </w:pPr>
            <w:r>
              <w:rPr>
                <w:color w:val="auto"/>
                <w:sz w:val="24"/>
                <w:highlight w:val="none"/>
              </w:rPr>
              <w:t>行业类别</w:t>
            </w:r>
          </w:p>
        </w:tc>
        <w:tc>
          <w:tcPr>
            <w:tcW w:w="2639" w:type="dxa"/>
            <w:vAlign w:val="center"/>
          </w:tcPr>
          <w:p w14:paraId="191A1088">
            <w:pPr>
              <w:adjustRightInd w:val="0"/>
              <w:snapToGrid w:val="0"/>
              <w:jc w:val="center"/>
              <w:rPr>
                <w:rFonts w:hint="default" w:ascii="Times New Roman" w:hAnsi="Times New Roman" w:eastAsia="宋体" w:cs="Times New Roman"/>
                <w:color w:val="auto"/>
                <w:sz w:val="24"/>
                <w:highlight w:val="none"/>
              </w:rPr>
            </w:pPr>
            <w:r>
              <w:rPr>
                <w:color w:val="auto"/>
                <w:sz w:val="24"/>
                <w:highlight w:val="none"/>
              </w:rPr>
              <w:t xml:space="preserve">专业实验室、研发（试验）基地98 </w:t>
            </w:r>
          </w:p>
        </w:tc>
      </w:tr>
      <w:tr w14:paraId="537203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129" w:type="dxa"/>
            <w:tcMar>
              <w:top w:w="16" w:type="dxa"/>
              <w:left w:w="16" w:type="dxa"/>
              <w:right w:w="16" w:type="dxa"/>
            </w:tcMar>
            <w:vAlign w:val="center"/>
          </w:tcPr>
          <w:p w14:paraId="421867C8">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建设性质</w:t>
            </w:r>
          </w:p>
        </w:tc>
        <w:tc>
          <w:tcPr>
            <w:tcW w:w="1968" w:type="dxa"/>
            <w:vAlign w:val="center"/>
          </w:tcPr>
          <w:p w14:paraId="3D5249B6">
            <w:pPr>
              <w:jc w:val="left"/>
              <w:rPr>
                <w:rFonts w:hint="default" w:ascii="Times New Roman" w:hAnsi="Times New Roman" w:eastAsia="宋体"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新建</w:t>
            </w:r>
          </w:p>
          <w:p w14:paraId="18E28DBB">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2" w:char="00A3"/>
            </w:r>
            <w:r>
              <w:rPr>
                <w:rFonts w:hint="default" w:ascii="Times New Roman" w:hAnsi="Times New Roman" w:eastAsia="宋体" w:cs="Times New Roman"/>
                <w:color w:val="auto"/>
                <w:sz w:val="24"/>
                <w:highlight w:val="none"/>
              </w:rPr>
              <w:t>改建</w:t>
            </w:r>
          </w:p>
          <w:p w14:paraId="466404C4">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2" w:char="00A3"/>
            </w:r>
            <w:r>
              <w:rPr>
                <w:rFonts w:hint="default" w:ascii="Times New Roman" w:hAnsi="Times New Roman" w:eastAsia="宋体" w:cs="Times New Roman"/>
                <w:color w:val="auto"/>
                <w:sz w:val="24"/>
                <w:highlight w:val="none"/>
              </w:rPr>
              <w:t>扩建</w:t>
            </w:r>
          </w:p>
          <w:p w14:paraId="0617B823">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2" w:char="00A3"/>
            </w:r>
            <w:r>
              <w:rPr>
                <w:rFonts w:hint="default" w:ascii="Times New Roman" w:hAnsi="Times New Roman" w:eastAsia="宋体" w:cs="Times New Roman"/>
                <w:color w:val="auto"/>
                <w:sz w:val="24"/>
                <w:highlight w:val="none"/>
              </w:rPr>
              <w:t>技术改造</w:t>
            </w:r>
          </w:p>
        </w:tc>
        <w:tc>
          <w:tcPr>
            <w:tcW w:w="2134" w:type="dxa"/>
            <w:vAlign w:val="center"/>
          </w:tcPr>
          <w:p w14:paraId="56FFBD87">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建设项目申报情形</w:t>
            </w:r>
          </w:p>
        </w:tc>
        <w:tc>
          <w:tcPr>
            <w:tcW w:w="2639" w:type="dxa"/>
            <w:vAlign w:val="center"/>
          </w:tcPr>
          <w:p w14:paraId="2C16C155">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☑首次申报项目             </w:t>
            </w:r>
          </w:p>
          <w:p w14:paraId="000392D4">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2" w:char="00A3"/>
            </w:r>
            <w:r>
              <w:rPr>
                <w:rFonts w:hint="default" w:ascii="Times New Roman" w:hAnsi="Times New Roman" w:eastAsia="宋体" w:cs="Times New Roman"/>
                <w:color w:val="auto"/>
                <w:sz w:val="24"/>
                <w:highlight w:val="none"/>
              </w:rPr>
              <w:t>不予批准后再次申报项目</w:t>
            </w:r>
          </w:p>
          <w:p w14:paraId="2424844B">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2" w:char="00A3"/>
            </w:r>
            <w:r>
              <w:rPr>
                <w:rFonts w:hint="default" w:ascii="Times New Roman" w:hAnsi="Times New Roman" w:eastAsia="宋体" w:cs="Times New Roman"/>
                <w:color w:val="auto"/>
                <w:sz w:val="24"/>
                <w:highlight w:val="none"/>
              </w:rPr>
              <w:t xml:space="preserve">超五年重新审核项目     </w:t>
            </w:r>
          </w:p>
          <w:p w14:paraId="27F3EA58">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2" w:char="00A3"/>
            </w:r>
            <w:r>
              <w:rPr>
                <w:rFonts w:hint="default" w:ascii="Times New Roman" w:hAnsi="Times New Roman" w:eastAsia="宋体" w:cs="Times New Roman"/>
                <w:color w:val="auto"/>
                <w:sz w:val="24"/>
                <w:highlight w:val="none"/>
              </w:rPr>
              <w:t>重大变动重新报批项目</w:t>
            </w:r>
          </w:p>
        </w:tc>
      </w:tr>
      <w:tr w14:paraId="176399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73" w:hRule="atLeast"/>
          <w:jc w:val="center"/>
        </w:trPr>
        <w:tc>
          <w:tcPr>
            <w:tcW w:w="2129" w:type="dxa"/>
            <w:tcMar>
              <w:top w:w="16" w:type="dxa"/>
              <w:left w:w="16" w:type="dxa"/>
              <w:right w:w="16" w:type="dxa"/>
            </w:tcMar>
            <w:vAlign w:val="center"/>
          </w:tcPr>
          <w:p w14:paraId="57EA1511">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项目审批（核准/备案）部门（选填）</w:t>
            </w:r>
          </w:p>
        </w:tc>
        <w:tc>
          <w:tcPr>
            <w:tcW w:w="1968" w:type="dxa"/>
            <w:vAlign w:val="center"/>
          </w:tcPr>
          <w:p w14:paraId="4A370B49">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北京经济技术开发区管理委员会</w:t>
            </w:r>
          </w:p>
        </w:tc>
        <w:tc>
          <w:tcPr>
            <w:tcW w:w="2134" w:type="dxa"/>
            <w:vAlign w:val="center"/>
          </w:tcPr>
          <w:p w14:paraId="3CB8CEC1">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项目审批（核准/</w:t>
            </w:r>
          </w:p>
          <w:p w14:paraId="18E096C9">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备案）文号（选填）</w:t>
            </w:r>
          </w:p>
        </w:tc>
        <w:tc>
          <w:tcPr>
            <w:tcW w:w="2639" w:type="dxa"/>
            <w:shd w:val="clear" w:color="auto" w:fill="auto"/>
            <w:vAlign w:val="center"/>
          </w:tcPr>
          <w:p w14:paraId="4965BC87">
            <w:pPr>
              <w:ind w:left="240" w:hanging="240" w:hangingChars="100"/>
              <w:jc w:val="center"/>
              <w:rPr>
                <w:rFonts w:hint="default" w:hAnsi="宋体"/>
                <w:bCs/>
                <w:color w:val="auto"/>
                <w:kern w:val="0"/>
                <w:sz w:val="24"/>
                <w:highlight w:val="none"/>
                <w:lang w:val="en-US" w:eastAsia="zh-CN"/>
              </w:rPr>
            </w:pPr>
            <w:r>
              <w:rPr>
                <w:rFonts w:hint="default" w:hAnsi="宋体"/>
                <w:bCs/>
                <w:color w:val="auto"/>
                <w:kern w:val="0"/>
                <w:sz w:val="24"/>
                <w:highlight w:val="none"/>
                <w:lang w:val="en-US" w:eastAsia="zh-CN"/>
              </w:rPr>
              <w:t>京技审批(备)</w:t>
            </w:r>
          </w:p>
          <w:p w14:paraId="2B328C14">
            <w:pPr>
              <w:ind w:left="240" w:hanging="240" w:hangingChars="100"/>
              <w:jc w:val="center"/>
              <w:rPr>
                <w:rFonts w:hint="default" w:ascii="Times New Roman" w:hAnsi="Times New Roman" w:eastAsia="宋体" w:cs="Times New Roman"/>
                <w:color w:val="auto"/>
                <w:sz w:val="24"/>
                <w:highlight w:val="none"/>
                <w:lang w:val="en-US" w:eastAsia="zh-CN"/>
              </w:rPr>
            </w:pPr>
            <w:r>
              <w:rPr>
                <w:rFonts w:hint="default" w:hAnsi="宋体"/>
                <w:bCs/>
                <w:color w:val="auto"/>
                <w:kern w:val="0"/>
                <w:sz w:val="24"/>
                <w:highlight w:val="none"/>
                <w:lang w:val="en-US" w:eastAsia="zh-CN"/>
              </w:rPr>
              <w:t>〔2025]203号</w:t>
            </w:r>
          </w:p>
        </w:tc>
      </w:tr>
      <w:tr w14:paraId="0743A8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29" w:type="dxa"/>
            <w:tcMar>
              <w:top w:w="16" w:type="dxa"/>
              <w:left w:w="16" w:type="dxa"/>
              <w:right w:w="16" w:type="dxa"/>
            </w:tcMar>
            <w:vAlign w:val="center"/>
          </w:tcPr>
          <w:p w14:paraId="62F14960">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总投资（万元）</w:t>
            </w:r>
          </w:p>
        </w:tc>
        <w:tc>
          <w:tcPr>
            <w:tcW w:w="1968" w:type="dxa"/>
            <w:vAlign w:val="center"/>
          </w:tcPr>
          <w:p w14:paraId="5D98C070">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1096</w:t>
            </w:r>
          </w:p>
        </w:tc>
        <w:tc>
          <w:tcPr>
            <w:tcW w:w="2134" w:type="dxa"/>
            <w:tcMar>
              <w:top w:w="16" w:type="dxa"/>
              <w:left w:w="16" w:type="dxa"/>
              <w:right w:w="16" w:type="dxa"/>
            </w:tcMar>
            <w:vAlign w:val="center"/>
          </w:tcPr>
          <w:p w14:paraId="481B7D5A">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环保投资（万元）</w:t>
            </w:r>
          </w:p>
        </w:tc>
        <w:tc>
          <w:tcPr>
            <w:tcW w:w="2639" w:type="dxa"/>
            <w:vAlign w:val="center"/>
          </w:tcPr>
          <w:p w14:paraId="61A4B86A">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60</w:t>
            </w:r>
          </w:p>
        </w:tc>
      </w:tr>
      <w:tr w14:paraId="1202BD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29" w:type="dxa"/>
            <w:tcMar>
              <w:top w:w="16" w:type="dxa"/>
              <w:left w:w="16" w:type="dxa"/>
              <w:right w:w="16" w:type="dxa"/>
            </w:tcMar>
            <w:vAlign w:val="center"/>
          </w:tcPr>
          <w:p w14:paraId="49ACC8D4">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环保投资占比（%）</w:t>
            </w:r>
          </w:p>
        </w:tc>
        <w:tc>
          <w:tcPr>
            <w:tcW w:w="1968" w:type="dxa"/>
            <w:vAlign w:val="center"/>
          </w:tcPr>
          <w:p w14:paraId="04A13E04">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5.47</w:t>
            </w:r>
          </w:p>
        </w:tc>
        <w:tc>
          <w:tcPr>
            <w:tcW w:w="2134" w:type="dxa"/>
            <w:tcMar>
              <w:top w:w="16" w:type="dxa"/>
              <w:left w:w="16" w:type="dxa"/>
              <w:right w:w="16" w:type="dxa"/>
            </w:tcMar>
            <w:vAlign w:val="center"/>
          </w:tcPr>
          <w:p w14:paraId="38D4E07E">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施工工期</w:t>
            </w:r>
          </w:p>
        </w:tc>
        <w:tc>
          <w:tcPr>
            <w:tcW w:w="2639" w:type="dxa"/>
            <w:vAlign w:val="center"/>
          </w:tcPr>
          <w:p w14:paraId="59B50EB9">
            <w:pPr>
              <w:adjustRightInd w:val="0"/>
              <w:snapToGrid w:val="0"/>
              <w:jc w:val="center"/>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rPr>
              <w:t>个月</w:t>
            </w:r>
          </w:p>
        </w:tc>
      </w:tr>
      <w:tr w14:paraId="69B485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29" w:type="dxa"/>
            <w:tcMar>
              <w:top w:w="16" w:type="dxa"/>
              <w:left w:w="16" w:type="dxa"/>
              <w:right w:w="16" w:type="dxa"/>
            </w:tcMar>
            <w:vAlign w:val="center"/>
          </w:tcPr>
          <w:p w14:paraId="0E3DFEF4">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是否开工建设</w:t>
            </w:r>
          </w:p>
        </w:tc>
        <w:tc>
          <w:tcPr>
            <w:tcW w:w="1968" w:type="dxa"/>
            <w:vAlign w:val="center"/>
          </w:tcPr>
          <w:p w14:paraId="7B6A8ACA">
            <w:pPr>
              <w:adjustRightInd w:val="0"/>
              <w:snapToGrid w:val="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☑否</w:t>
            </w:r>
          </w:p>
          <w:p w14:paraId="415B5168">
            <w:pPr>
              <w:adjustRightInd w:val="0"/>
              <w:snapToGrid w:val="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2" w:char="00A3"/>
            </w:r>
            <w:r>
              <w:rPr>
                <w:rFonts w:hint="default" w:ascii="Times New Roman" w:hAnsi="Times New Roman" w:eastAsia="宋体" w:cs="Times New Roman"/>
                <w:color w:val="auto"/>
                <w:sz w:val="24"/>
                <w:highlight w:val="none"/>
              </w:rPr>
              <w:t xml:space="preserve">是：             </w:t>
            </w:r>
          </w:p>
        </w:tc>
        <w:tc>
          <w:tcPr>
            <w:tcW w:w="2134" w:type="dxa"/>
            <w:tcMar>
              <w:top w:w="16" w:type="dxa"/>
              <w:left w:w="16" w:type="dxa"/>
              <w:right w:w="16" w:type="dxa"/>
            </w:tcMar>
            <w:vAlign w:val="center"/>
          </w:tcPr>
          <w:p w14:paraId="674EDD84">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用地（用海）</w:t>
            </w:r>
          </w:p>
          <w:p w14:paraId="57950FE1">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面积（m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w:t>
            </w:r>
          </w:p>
        </w:tc>
        <w:tc>
          <w:tcPr>
            <w:tcW w:w="2639" w:type="dxa"/>
            <w:vAlign w:val="center"/>
          </w:tcPr>
          <w:p w14:paraId="0C8F1F68">
            <w:pPr>
              <w:adjustRightInd w:val="0"/>
              <w:snapToGrid w:val="0"/>
              <w:jc w:val="center"/>
              <w:rPr>
                <w:rFonts w:hint="eastAsia" w:ascii="Times New Roman" w:hAnsi="Times New Roman" w:eastAsia="宋体" w:cs="Times New Roman"/>
                <w:color w:val="auto"/>
                <w:sz w:val="24"/>
                <w:highlight w:val="none"/>
                <w:lang w:eastAsia="zh-CN"/>
              </w:rPr>
            </w:pPr>
            <w:r>
              <w:rPr>
                <w:rFonts w:hint="eastAsia" w:cs="Times New Roman"/>
                <w:color w:val="auto"/>
                <w:sz w:val="24"/>
                <w:highlight w:val="none"/>
                <w:lang w:eastAsia="zh-CN"/>
              </w:rPr>
              <w:t>2100</w:t>
            </w:r>
          </w:p>
        </w:tc>
      </w:tr>
      <w:tr w14:paraId="6D5BC5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129" w:type="dxa"/>
            <w:vAlign w:val="center"/>
          </w:tcPr>
          <w:p w14:paraId="4D647DEF">
            <w:pPr>
              <w:autoSpaceDE w:val="0"/>
              <w:autoSpaceDN w:val="0"/>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专项评价设置情况</w:t>
            </w:r>
          </w:p>
        </w:tc>
        <w:tc>
          <w:tcPr>
            <w:tcW w:w="6741" w:type="dxa"/>
            <w:gridSpan w:val="3"/>
            <w:vAlign w:val="center"/>
          </w:tcPr>
          <w:p w14:paraId="23401B15">
            <w:pPr>
              <w:autoSpaceDE w:val="0"/>
              <w:autoSpaceDN w:val="0"/>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无</w:t>
            </w:r>
          </w:p>
        </w:tc>
      </w:tr>
      <w:tr w14:paraId="05B80E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29" w:type="dxa"/>
            <w:vAlign w:val="center"/>
          </w:tcPr>
          <w:p w14:paraId="74B97286">
            <w:pPr>
              <w:autoSpaceDE w:val="0"/>
              <w:autoSpaceDN w:val="0"/>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sz w:val="24"/>
                <w:highlight w:val="none"/>
              </w:rPr>
              <w:t>规划情况</w:t>
            </w:r>
          </w:p>
        </w:tc>
        <w:tc>
          <w:tcPr>
            <w:tcW w:w="6741" w:type="dxa"/>
            <w:gridSpan w:val="3"/>
            <w:vAlign w:val="center"/>
          </w:tcPr>
          <w:p w14:paraId="096B71FF">
            <w:pPr>
              <w:widowControl/>
              <w:numPr>
                <w:ilvl w:val="0"/>
                <w:numId w:val="1"/>
              </w:numPr>
              <w:spacing w:line="360" w:lineRule="auto"/>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规划文件名称：《亦庄新城规划（国土空间规划）（2017年—2035年）》</w:t>
            </w:r>
          </w:p>
          <w:p w14:paraId="21FBF8E8">
            <w:pPr>
              <w:widowControl/>
              <w:numPr>
                <w:ilvl w:val="0"/>
                <w:numId w:val="0"/>
              </w:numPr>
              <w:spacing w:line="360" w:lineRule="auto"/>
              <w:ind w:firstLine="480" w:firstLineChars="200"/>
              <w:jc w:val="left"/>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审批机关</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北京市人民政府</w:t>
            </w:r>
          </w:p>
          <w:p w14:paraId="450FC780">
            <w:pPr>
              <w:widowControl/>
              <w:numPr>
                <w:ilvl w:val="0"/>
                <w:numId w:val="0"/>
              </w:numPr>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审批文件名称及文号：北京市人民政府关于对《亦庄新城规划（国土空间规划）（2017年-2035年）》的批复（2019.11.20）</w:t>
            </w:r>
            <w:r>
              <w:rPr>
                <w:rFonts w:hint="default" w:ascii="Times New Roman" w:hAnsi="Times New Roman" w:eastAsia="宋体" w:cs="Times New Roman"/>
                <w:color w:val="auto"/>
                <w:sz w:val="24"/>
                <w:highlight w:val="none"/>
                <w:lang w:eastAsia="zh-CN"/>
              </w:rPr>
              <w:t>。</w:t>
            </w:r>
          </w:p>
          <w:p w14:paraId="63ADCD2D">
            <w:pPr>
              <w:widowControl/>
              <w:numPr>
                <w:ilvl w:val="0"/>
                <w:numId w:val="1"/>
              </w:numPr>
              <w:spacing w:line="360" w:lineRule="auto"/>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规划文件名称：《落实</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三区三线</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&lt;亦庄新城规划(2017年-2035年）&gt;修改成果》</w:t>
            </w:r>
          </w:p>
          <w:p w14:paraId="1DA52FAF">
            <w:pPr>
              <w:widowControl/>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审批机关：北京市人民政府</w:t>
            </w:r>
          </w:p>
          <w:p w14:paraId="4B9F1857">
            <w:pPr>
              <w:widowControl/>
              <w:spacing w:line="360" w:lineRule="auto"/>
              <w:ind w:firstLine="480" w:firstLineChars="200"/>
              <w:jc w:val="left"/>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审批文件名称及文号：北京市人民政府关于对《北京市人民政府关于对朝阳等13个区分区规划及亦庄新城规划修改方案》的批复（2023.3.25）</w:t>
            </w:r>
            <w:r>
              <w:rPr>
                <w:rFonts w:hint="default" w:ascii="Times New Roman" w:hAnsi="Times New Roman" w:eastAsia="宋体" w:cs="Times New Roman"/>
                <w:color w:val="auto"/>
                <w:sz w:val="24"/>
                <w:highlight w:val="none"/>
                <w:lang w:eastAsia="zh-CN"/>
              </w:rPr>
              <w:t>。</w:t>
            </w:r>
          </w:p>
          <w:p w14:paraId="0EE1D511">
            <w:pPr>
              <w:widowControl/>
              <w:numPr>
                <w:ilvl w:val="0"/>
                <w:numId w:val="1"/>
              </w:numPr>
              <w:spacing w:line="360" w:lineRule="auto"/>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十四五</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时期北京经济技术开发区发展建设和二O三五年远景目标规划》</w:t>
            </w:r>
          </w:p>
          <w:p w14:paraId="08B79411">
            <w:pPr>
              <w:widowControl/>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发布单位：北京经济技术开发区管理委员会</w:t>
            </w:r>
          </w:p>
        </w:tc>
      </w:tr>
      <w:tr w14:paraId="2B0177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29" w:type="dxa"/>
            <w:tcBorders>
              <w:top w:val="single" w:color="auto" w:sz="4" w:space="0"/>
              <w:left w:val="single" w:color="auto" w:sz="8" w:space="0"/>
              <w:bottom w:val="single" w:color="auto" w:sz="4" w:space="0"/>
              <w:right w:val="single" w:color="auto" w:sz="4" w:space="0"/>
            </w:tcBorders>
            <w:vAlign w:val="center"/>
          </w:tcPr>
          <w:p w14:paraId="01007D5E">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规划环境影响评价情况</w:t>
            </w:r>
          </w:p>
        </w:tc>
        <w:tc>
          <w:tcPr>
            <w:tcW w:w="6741" w:type="dxa"/>
            <w:gridSpan w:val="3"/>
            <w:tcBorders>
              <w:top w:val="single" w:color="auto" w:sz="4" w:space="0"/>
              <w:left w:val="single" w:color="auto" w:sz="4" w:space="0"/>
              <w:bottom w:val="single" w:color="auto" w:sz="4" w:space="0"/>
              <w:right w:val="single" w:color="auto" w:sz="8" w:space="0"/>
            </w:tcBorders>
            <w:vAlign w:val="center"/>
          </w:tcPr>
          <w:p w14:paraId="131F5D16">
            <w:pPr>
              <w:widowControl/>
              <w:spacing w:line="360" w:lineRule="auto"/>
              <w:ind w:firstLine="480" w:firstLineChars="200"/>
              <w:jc w:val="left"/>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 xml:space="preserve">文件名称：《中关村科技园区通州园金桥科技产业基地（一期）规划环境影响跟踪评价报告书》 </w:t>
            </w:r>
          </w:p>
          <w:p w14:paraId="155EEB33">
            <w:pPr>
              <w:widowControl/>
              <w:spacing w:line="360" w:lineRule="auto"/>
              <w:ind w:firstLine="480" w:firstLineChars="200"/>
              <w:jc w:val="left"/>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 xml:space="preserve">审查机关：北京市通州区生态环境局 </w:t>
            </w:r>
          </w:p>
          <w:p w14:paraId="7F278AB6">
            <w:pPr>
              <w:widowControl/>
              <w:spacing w:line="360" w:lineRule="auto"/>
              <w:ind w:firstLine="480" w:firstLineChars="200"/>
              <w:jc w:val="left"/>
              <w:rPr>
                <w:rFonts w:hint="default" w:ascii="Times New Roman" w:hAnsi="Times New Roman" w:eastAsia="宋体" w:cs="Times New Roman"/>
                <w:color w:val="auto"/>
                <w:sz w:val="24"/>
                <w:szCs w:val="32"/>
                <w:highlight w:val="none"/>
              </w:rPr>
            </w:pPr>
            <w:r>
              <w:rPr>
                <w:rFonts w:hint="eastAsia" w:ascii="Times New Roman" w:hAnsi="Times New Roman" w:eastAsia="宋体" w:cs="Times New Roman"/>
                <w:color w:val="auto"/>
                <w:sz w:val="24"/>
                <w:highlight w:val="none"/>
                <w:lang w:val="en-US" w:eastAsia="zh-CN"/>
              </w:rPr>
              <w:t>审查文件名称：《北京市通州区生态环境局关于</w:t>
            </w:r>
            <w:r>
              <w:rPr>
                <w:rFonts w:hint="default" w:ascii="Times New Roman" w:hAnsi="Times New Roman" w:eastAsia="宋体" w:cs="Times New Roman"/>
                <w:color w:val="auto"/>
                <w:sz w:val="24"/>
                <w:highlight w:val="none"/>
                <w:lang w:val="en-US" w:eastAsia="zh-CN"/>
              </w:rPr>
              <w:t>&lt;</w:t>
            </w:r>
            <w:r>
              <w:rPr>
                <w:rFonts w:hint="eastAsia" w:ascii="Times New Roman" w:hAnsi="Times New Roman" w:eastAsia="宋体" w:cs="Times New Roman"/>
                <w:color w:val="auto"/>
                <w:sz w:val="24"/>
                <w:highlight w:val="none"/>
                <w:lang w:val="en-US" w:eastAsia="zh-CN"/>
              </w:rPr>
              <w:t>中关村科技园区通州园金桥科技产业基地（一期）规划环境影响跟踪评价报告书</w:t>
            </w:r>
            <w:r>
              <w:rPr>
                <w:rFonts w:hint="default" w:ascii="Times New Roman" w:hAnsi="Times New Roman" w:eastAsia="宋体" w:cs="Times New Roman"/>
                <w:color w:val="auto"/>
                <w:sz w:val="24"/>
                <w:highlight w:val="none"/>
                <w:lang w:val="en-US" w:eastAsia="zh-CN"/>
              </w:rPr>
              <w:t>&gt;</w:t>
            </w:r>
            <w:r>
              <w:rPr>
                <w:rFonts w:hint="eastAsia" w:ascii="Times New Roman" w:hAnsi="Times New Roman" w:eastAsia="宋体" w:cs="Times New Roman"/>
                <w:color w:val="auto"/>
                <w:sz w:val="24"/>
                <w:highlight w:val="none"/>
                <w:lang w:val="en-US" w:eastAsia="zh-CN"/>
              </w:rPr>
              <w:t>审查意见的函》（通环函</w:t>
            </w:r>
            <w:r>
              <w:rPr>
                <w:rFonts w:hint="default" w:ascii="Times New Roman" w:hAnsi="Times New Roman" w:eastAsia="宋体" w:cs="Times New Roman"/>
                <w:color w:val="auto"/>
                <w:sz w:val="24"/>
                <w:highlight w:val="none"/>
                <w:lang w:val="en-US" w:eastAsia="zh-CN"/>
              </w:rPr>
              <w:t>[2020]25</w:t>
            </w:r>
            <w:r>
              <w:rPr>
                <w:rFonts w:hint="eastAsia" w:ascii="Times New Roman" w:hAnsi="Times New Roman" w:eastAsia="宋体" w:cs="Times New Roman"/>
                <w:color w:val="auto"/>
                <w:sz w:val="24"/>
                <w:highlight w:val="none"/>
                <w:lang w:val="en-US" w:eastAsia="zh-CN"/>
              </w:rPr>
              <w:t>号）。</w:t>
            </w:r>
          </w:p>
        </w:tc>
      </w:tr>
      <w:tr w14:paraId="5068B6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4" w:hRule="atLeast"/>
          <w:jc w:val="center"/>
        </w:trPr>
        <w:tc>
          <w:tcPr>
            <w:tcW w:w="2129" w:type="dxa"/>
            <w:tcBorders>
              <w:top w:val="single" w:color="auto" w:sz="4" w:space="0"/>
              <w:left w:val="single" w:color="auto" w:sz="8" w:space="0"/>
              <w:bottom w:val="single" w:color="auto" w:sz="4" w:space="0"/>
              <w:right w:val="single" w:color="auto" w:sz="4" w:space="0"/>
            </w:tcBorders>
            <w:vAlign w:val="center"/>
          </w:tcPr>
          <w:p w14:paraId="724AC9AB">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规划及规划环境影响评价符合性分析</w:t>
            </w:r>
          </w:p>
        </w:tc>
        <w:tc>
          <w:tcPr>
            <w:tcW w:w="6741" w:type="dxa"/>
            <w:gridSpan w:val="3"/>
            <w:tcBorders>
              <w:top w:val="single" w:color="auto" w:sz="4" w:space="0"/>
              <w:left w:val="single" w:color="auto" w:sz="4" w:space="0"/>
              <w:bottom w:val="single" w:color="auto" w:sz="4" w:space="0"/>
              <w:right w:val="single" w:color="auto" w:sz="8" w:space="0"/>
            </w:tcBorders>
            <w:vAlign w:val="center"/>
          </w:tcPr>
          <w:p w14:paraId="3A279943">
            <w:pPr>
              <w:widowControl/>
              <w:numPr>
                <w:ilvl w:val="0"/>
                <w:numId w:val="2"/>
              </w:numPr>
              <w:spacing w:line="360" w:lineRule="auto"/>
              <w:ind w:firstLine="482" w:firstLineChars="200"/>
              <w:jc w:val="left"/>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与《亦庄新城规划（国土空间规划）》（2017年-2035年）的符合性分析</w:t>
            </w:r>
          </w:p>
          <w:p w14:paraId="1C2F67CC">
            <w:pPr>
              <w:widowControl/>
              <w:spacing w:line="360" w:lineRule="auto"/>
              <w:ind w:firstLine="480"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根据《亦庄新城分区规划（2017年-2035年）》，亦庄新城功能定位是建设具有全球影响力的创新型产业集群和科技服务中心；首都东南部区域创新发展协同区；战略性新兴产业基地及制造业转型升级示范区；宜业宜居绿色城区。</w:t>
            </w:r>
          </w:p>
          <w:p w14:paraId="53D4B3A8">
            <w:pPr>
              <w:widowControl/>
              <w:spacing w:line="360" w:lineRule="auto"/>
              <w:ind w:firstLine="480" w:firstLineChars="200"/>
              <w:jc w:val="left"/>
              <w:rPr>
                <w:rFonts w:hint="eastAsia"/>
                <w:color w:val="auto"/>
                <w:szCs w:val="21"/>
                <w:lang w:eastAsia="zh-CN"/>
              </w:rPr>
            </w:pPr>
            <w:r>
              <w:rPr>
                <w:rFonts w:hint="default" w:ascii="Times New Roman" w:hAnsi="Times New Roman" w:eastAsia="宋体" w:cs="Times New Roman"/>
                <w:color w:val="auto"/>
                <w:kern w:val="0"/>
                <w:sz w:val="24"/>
                <w:highlight w:val="none"/>
                <w:lang w:bidi="ar"/>
              </w:rPr>
              <w:t>规划中要求</w:t>
            </w:r>
            <w:r>
              <w:rPr>
                <w:rFonts w:hint="eastAsia"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加强科研服务，完善应用研究和科技转化的研究型服务设施。提升中介服务，完善法律、会计、人力等咨询类型的服务设施，完善具有平台公共属性的服务设施，优化提升研究开发、技术转移、检验检测认证、创业孵化、知识产权、科技咨询、科技金融、科学技术</w:t>
            </w:r>
            <w:r>
              <w:rPr>
                <w:color w:val="auto"/>
                <w:szCs w:val="21"/>
              </w:rPr>
              <w:t>普及等专业化服务</w:t>
            </w:r>
            <w:r>
              <w:rPr>
                <w:rFonts w:hint="eastAsia"/>
                <w:color w:val="auto"/>
                <w:szCs w:val="21"/>
                <w:lang w:eastAsia="zh-CN"/>
              </w:rPr>
              <w:t>”。</w:t>
            </w:r>
          </w:p>
          <w:p w14:paraId="60FF2A14">
            <w:pPr>
              <w:widowControl/>
              <w:spacing w:line="360" w:lineRule="auto"/>
              <w:ind w:firstLine="480" w:firstLineChars="200"/>
              <w:jc w:val="left"/>
              <w:rPr>
                <w:rFonts w:hint="eastAsia" w:ascii="Times New Roman" w:hAnsi="Times New Roman" w:cs="Times New Roman"/>
                <w:color w:val="auto"/>
                <w:kern w:val="0"/>
                <w:sz w:val="24"/>
                <w:highlight w:val="none"/>
                <w:lang w:val="en-US" w:eastAsia="zh-CN" w:bidi="ar"/>
              </w:rPr>
            </w:pPr>
            <w:r>
              <w:rPr>
                <w:rFonts w:hint="default" w:ascii="Times New Roman" w:hAnsi="Times New Roman" w:eastAsia="宋体" w:cs="Times New Roman"/>
                <w:color w:val="auto"/>
                <w:kern w:val="0"/>
                <w:sz w:val="24"/>
                <w:highlight w:val="none"/>
                <w:lang w:bidi="ar"/>
              </w:rPr>
              <w:t>本项目</w:t>
            </w:r>
            <w:r>
              <w:rPr>
                <w:rFonts w:hint="eastAsia" w:ascii="Times New Roman" w:hAnsi="Times New Roman" w:eastAsia="宋体" w:cs="Times New Roman"/>
                <w:color w:val="auto"/>
                <w:kern w:val="0"/>
                <w:sz w:val="24"/>
                <w:highlight w:val="none"/>
                <w:lang w:val="en-US" w:eastAsia="zh-CN" w:bidi="ar"/>
              </w:rPr>
              <w:t>位于北京经济技术开发区经海四路25号院</w:t>
            </w:r>
            <w:r>
              <w:rPr>
                <w:rFonts w:hint="eastAsia" w:ascii="Times New Roman" w:hAnsi="Times New Roman" w:cs="Times New Roman"/>
                <w:color w:val="auto"/>
                <w:kern w:val="0"/>
                <w:sz w:val="24"/>
                <w:highlight w:val="none"/>
                <w:lang w:val="en-US" w:eastAsia="zh-CN" w:bidi="ar"/>
              </w:rPr>
              <w:t>，</w:t>
            </w:r>
            <w:r>
              <w:rPr>
                <w:rFonts w:ascii="宋体" w:hAnsi="宋体" w:eastAsia="宋体" w:cs="宋体"/>
                <w:color w:val="auto"/>
                <w:sz w:val="24"/>
                <w:szCs w:val="24"/>
              </w:rPr>
              <w:t>属于亦庄新城范围内</w:t>
            </w:r>
            <w:r>
              <w:rPr>
                <w:rFonts w:hint="eastAsia" w:ascii="宋体" w:hAnsi="宋体" w:eastAsia="宋体" w:cs="宋体"/>
                <w:color w:val="auto"/>
                <w:sz w:val="24"/>
                <w:szCs w:val="24"/>
                <w:lang w:eastAsia="zh-CN"/>
              </w:rPr>
              <w:t>，</w:t>
            </w:r>
            <w:r>
              <w:rPr>
                <w:rFonts w:hint="default" w:ascii="Times New Roman" w:hAnsi="Times New Roman" w:eastAsia="宋体" w:cs="Times New Roman"/>
                <w:color w:val="auto"/>
                <w:kern w:val="0"/>
                <w:sz w:val="24"/>
                <w:highlight w:val="none"/>
                <w:lang w:val="en-US" w:eastAsia="zh-CN" w:bidi="ar"/>
              </w:rPr>
              <w:t>行业类别为</w:t>
            </w:r>
            <w:r>
              <w:rPr>
                <w:rFonts w:hint="eastAsia" w:cs="Times New Roman"/>
                <w:color w:val="auto"/>
                <w:kern w:val="0"/>
                <w:sz w:val="24"/>
                <w:highlight w:val="none"/>
                <w:lang w:val="en-US" w:eastAsia="zh-CN" w:bidi="ar"/>
              </w:rPr>
              <w:t>“</w:t>
            </w:r>
            <w:r>
              <w:rPr>
                <w:rFonts w:hint="eastAsia" w:ascii="Times New Roman" w:hAnsi="Times New Roman" w:eastAsia="宋体" w:cs="Times New Roman"/>
                <w:color w:val="auto"/>
                <w:kern w:val="0"/>
                <w:sz w:val="24"/>
                <w:highlight w:val="none"/>
                <w:lang w:val="en-US" w:eastAsia="zh-CN" w:bidi="ar"/>
              </w:rPr>
              <w:t>检测服务7452</w:t>
            </w:r>
            <w:r>
              <w:rPr>
                <w:rFonts w:hint="eastAsia" w:cs="Times New Roman"/>
                <w:color w:val="auto"/>
                <w:kern w:val="0"/>
                <w:sz w:val="24"/>
                <w:highlight w:val="none"/>
                <w:lang w:val="en-US" w:eastAsia="zh-CN" w:bidi="ar"/>
              </w:rPr>
              <w:t>”</w:t>
            </w:r>
            <w:r>
              <w:rPr>
                <w:rFonts w:hint="eastAsia" w:ascii="Times New Roman" w:hAnsi="Times New Roman" w:cs="Times New Roman"/>
                <w:color w:val="auto"/>
                <w:kern w:val="0"/>
                <w:sz w:val="24"/>
                <w:highlight w:val="none"/>
                <w:lang w:val="en-US" w:eastAsia="zh-CN" w:bidi="ar"/>
              </w:rPr>
              <w:t>，属于</w:t>
            </w:r>
            <w:r>
              <w:rPr>
                <w:rFonts w:hint="default" w:ascii="Times New Roman" w:hAnsi="Times New Roman" w:eastAsia="宋体" w:cs="Times New Roman"/>
                <w:color w:val="auto"/>
                <w:kern w:val="0"/>
                <w:sz w:val="24"/>
                <w:highlight w:val="none"/>
                <w:lang w:bidi="ar"/>
              </w:rPr>
              <w:t>检验检测认证</w:t>
            </w:r>
            <w:r>
              <w:rPr>
                <w:rFonts w:hint="eastAsia" w:ascii="Times New Roman" w:hAnsi="Times New Roman" w:cs="Times New Roman"/>
                <w:color w:val="auto"/>
                <w:kern w:val="0"/>
                <w:sz w:val="24"/>
                <w:highlight w:val="none"/>
                <w:lang w:val="en-US" w:eastAsia="zh-CN" w:bidi="ar"/>
              </w:rPr>
              <w:t>专业技术服务业，</w:t>
            </w:r>
            <w:r>
              <w:rPr>
                <w:rFonts w:hint="default" w:ascii="Times New Roman" w:hAnsi="Times New Roman" w:eastAsia="宋体" w:cs="Times New Roman"/>
                <w:color w:val="auto"/>
                <w:kern w:val="0"/>
                <w:sz w:val="24"/>
                <w:highlight w:val="none"/>
                <w:lang w:bidi="ar"/>
              </w:rPr>
              <w:t>符合《亦庄新城规划（国土空间规划）（2017年-2035年）》</w:t>
            </w:r>
            <w:r>
              <w:rPr>
                <w:rFonts w:hint="eastAsia" w:ascii="Times New Roman" w:hAnsi="Times New Roman" w:eastAsia="宋体" w:cs="Times New Roman"/>
                <w:color w:val="auto"/>
                <w:kern w:val="0"/>
                <w:sz w:val="24"/>
                <w:highlight w:val="none"/>
                <w:lang w:val="en-US" w:eastAsia="zh-CN" w:bidi="ar"/>
              </w:rPr>
              <w:t>要求</w:t>
            </w:r>
            <w:r>
              <w:rPr>
                <w:rFonts w:hint="eastAsia"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eastAsia="zh-CN" w:bidi="ar"/>
              </w:rPr>
              <w:t>本项目在亦庄新城规划图</w:t>
            </w:r>
            <w:r>
              <w:rPr>
                <w:rFonts w:hint="eastAsia" w:ascii="Times New Roman" w:hAnsi="Times New Roman" w:eastAsia="宋体" w:cs="Times New Roman"/>
                <w:color w:val="auto"/>
                <w:kern w:val="0"/>
                <w:sz w:val="24"/>
                <w:highlight w:val="none"/>
                <w:lang w:val="en-US" w:eastAsia="zh-CN" w:bidi="ar"/>
              </w:rPr>
              <w:t>中</w:t>
            </w:r>
            <w:r>
              <w:rPr>
                <w:rFonts w:hint="default" w:ascii="Times New Roman" w:hAnsi="Times New Roman" w:eastAsia="宋体" w:cs="Times New Roman"/>
                <w:color w:val="auto"/>
                <w:kern w:val="0"/>
                <w:sz w:val="24"/>
                <w:highlight w:val="none"/>
                <w:lang w:eastAsia="zh-CN" w:bidi="ar"/>
              </w:rPr>
              <w:t>的位置示意图见</w:t>
            </w:r>
            <w:r>
              <w:rPr>
                <w:rFonts w:hint="default" w:ascii="Times New Roman" w:hAnsi="Times New Roman" w:eastAsia="宋体" w:cs="Times New Roman"/>
                <w:color w:val="auto"/>
                <w:kern w:val="0"/>
                <w:sz w:val="24"/>
                <w:highlight w:val="none"/>
                <w:lang w:val="en-US" w:eastAsia="zh-CN" w:bidi="ar"/>
              </w:rPr>
              <w:t>下</w:t>
            </w:r>
            <w:r>
              <w:rPr>
                <w:rFonts w:hint="default" w:ascii="Times New Roman" w:hAnsi="Times New Roman" w:eastAsia="宋体" w:cs="Times New Roman"/>
                <w:color w:val="auto"/>
                <w:kern w:val="0"/>
                <w:sz w:val="24"/>
                <w:highlight w:val="none"/>
                <w:lang w:eastAsia="zh-CN" w:bidi="ar"/>
              </w:rPr>
              <w:t>图。</w:t>
            </w:r>
            <w:r>
              <w:rPr>
                <w:rFonts w:hint="eastAsia" w:ascii="Times New Roman" w:hAnsi="Times New Roman" w:cs="Times New Roman"/>
                <w:color w:val="auto"/>
                <w:kern w:val="0"/>
                <w:sz w:val="24"/>
                <w:highlight w:val="none"/>
                <w:lang w:val="en-US" w:eastAsia="zh-CN" w:bidi="ar"/>
              </w:rPr>
              <w:t xml:space="preserve"> </w:t>
            </w:r>
          </w:p>
          <w:p w14:paraId="52A3CB6C">
            <w:pPr>
              <w:widowControl/>
              <w:spacing w:line="360" w:lineRule="auto"/>
              <w:ind w:firstLine="420" w:firstLineChars="200"/>
              <w:jc w:val="left"/>
              <w:rPr>
                <w:rFonts w:hint="default" w:ascii="Times New Roman" w:hAnsi="Times New Roman" w:eastAsia="宋体" w:cs="Times New Roman"/>
                <w:color w:val="auto"/>
                <w:kern w:val="0"/>
                <w:sz w:val="24"/>
                <w:highlight w:val="none"/>
                <w:lang w:eastAsia="zh-CN" w:bidi="ar"/>
              </w:rPr>
            </w:pPr>
            <w:r>
              <w:rPr>
                <w:sz w:val="21"/>
              </w:rPr>
              <mc:AlternateContent>
                <mc:Choice Requires="wps">
                  <w:drawing>
                    <wp:anchor distT="0" distB="0" distL="114300" distR="114300" simplePos="0" relativeHeight="251670528" behindDoc="0" locked="0" layoutInCell="1" allowOverlap="1">
                      <wp:simplePos x="0" y="0"/>
                      <wp:positionH relativeFrom="column">
                        <wp:posOffset>2005330</wp:posOffset>
                      </wp:positionH>
                      <wp:positionV relativeFrom="paragraph">
                        <wp:posOffset>1350010</wp:posOffset>
                      </wp:positionV>
                      <wp:extent cx="75565" cy="75565"/>
                      <wp:effectExtent l="6350" t="6350" r="9525" b="9525"/>
                      <wp:wrapNone/>
                      <wp:docPr id="148" name="椭圆 148"/>
                      <wp:cNvGraphicFramePr/>
                      <a:graphic xmlns:a="http://schemas.openxmlformats.org/drawingml/2006/main">
                        <a:graphicData uri="http://schemas.microsoft.com/office/word/2010/wordprocessingShape">
                          <wps:wsp>
                            <wps:cNvSpPr/>
                            <wps:spPr>
                              <a:xfrm>
                                <a:off x="4389755" y="2740025"/>
                                <a:ext cx="75565" cy="75565"/>
                              </a:xfrm>
                              <a:prstGeom prst="ellips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7.9pt;margin-top:106.3pt;height:5.95pt;width:5.95pt;z-index:251670528;v-text-anchor:middle;mso-width-relative:page;mso-height-relative:page;" fillcolor="#5B9BD5 [3204]" filled="t" stroked="t" coordsize="21600,21600" o:gfxdata="UEsDBAoAAAAAAIdO4kAAAAAAAAAAAAAAAAAEAAAAZHJzL1BLAwQUAAAACACHTuJAMMkJn9kAAAAL&#10;AQAADwAAAGRycy9kb3ducmV2LnhtbE2PzU7DMBCE70i8g7VI3Kgdh6QlxKkQCE5cWpC4uvESR4nt&#10;KHZ/8vYsJzju7Gjmm3p7cSM74Rz74BVkKwEMfRtM7zsFnx+vdxtgMWlv9Bg8Klgwwra5vqp1ZcLZ&#10;7/C0Tx2jEB8rrcCmNFWcx9ai03EVJvT0+w6z04nOueNm1mcKdyOXQpTc6d5Tg9UTPltsh/3RKXhf&#10;3sonMXDzUGxehp0sc+uWL6VubzLxCCzhJf2Z4Ref0KEhpkM4ehPZqCDPCkJPCmQmS2DkyOV6DexA&#10;irwvgDc1/7+h+QFQSwMEFAAAAAgAh07iQKi0IsiRAgAAJgUAAA4AAABkcnMvZTJvRG9jLnhtbK1U&#10;zW4TMRC+I/EOlu90NyFp2qibKm0oQiq0UkGcHa83a8l/2M5PeQCegiNXHgueg8/ebZsWDj1w2cx4&#10;Jt/4+2bGJ6c7rchG+CCtqejgoKREGG5raVYV/fTx4tURJSEyUzNljajorQj0dPbyxcnWTcXQtlbV&#10;whOAmDDduoq2MbppUQTeCs3CgXXCINhYr1mE61dF7dkW6FoVw7I8LLbW185bLkLA6aIL0h7RPwfQ&#10;No3kYmH5WgsTO1QvFIugFFrpAp3l2zaN4PGqaYKIRFUUTGP+ogjsZfoWsxM2XXnmWsn7K7DnXOEJ&#10;J82kQdF7qAWLjKy9/AtKS+5tsE084FYXHZGsCFgMyifa3LTMicwFUgd3L3r4f7D8w+baE1ljEkZo&#10;vGEaLf/94+ev799IOoE+WxemSLtx1773AsxEdtd4nX5Bg+wqOnp9dDwZjym5rehwMirL4bjTV+wi&#10;4UhA8BBhjnhnAq94gHE+xLfCapKMigql0MrEn03Z5jLELvsuKx0Hq2R9IZXKjl8tz5UnG4Zej8+O&#10;zxa5PAo8SlOGbMF2OCkxA5xhghtMDkztoEIwK0qYWmE1ePS59qN/h/0iwzeT8dlhTlJr/d7WXe3J&#10;uAR2d9s+P/N8BJRoLFhou7/kUCeWlhH7paSu6BFw7pGUAUjqRad+spa2vkX3vO3GOjh+IQF7yUK8&#10;Zh5zDIbY9HiFT6MsaNveoqS1/uu/zlM+xgtRSrbYC0jyZc28oES9Mxi848FolBYpO6PxZAjH70eW&#10;+xGz1ucW7RjgTXE8myk/qjuz8VZ/xoMwT1URYoajdid+75zHbl/xpHAxn+c0LI9j8dLcOJ7AU/uN&#10;na+jbWQekwd1etGwPrkH/aqn/dz3c9bD8zb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DJCZ/Z&#10;AAAACwEAAA8AAAAAAAAAAQAgAAAAIgAAAGRycy9kb3ducmV2LnhtbFBLAQIUABQAAAAIAIdO4kCo&#10;tCLIkQIAACYFAAAOAAAAAAAAAAEAIAAAACgBAABkcnMvZTJvRG9jLnhtbFBLBQYAAAAABgAGAFkB&#10;AAArBgAAAAA=&#10;">
                      <v:fill on="t" focussize="0,0"/>
                      <v:stroke weight="1pt" color="#2E75B6 [2404]" miterlimit="8" joinstyle="miter"/>
                      <v:imagedata o:title=""/>
                      <o:lock v:ext="edit" aspectratio="f"/>
                    </v:shape>
                  </w:pict>
                </mc:Fallback>
              </mc:AlternateContent>
            </w:r>
            <w:r>
              <w:rPr>
                <w:rFonts w:hint="default" w:ascii="Times New Roman" w:hAnsi="Times New Roman" w:eastAsia="宋体" w:cs="Times New Roman"/>
                <w:color w:val="auto"/>
                <w:sz w:val="21"/>
                <w:highlight w:val="none"/>
              </w:rPr>
              <mc:AlternateContent>
                <mc:Choice Requires="wpg">
                  <w:drawing>
                    <wp:anchor distT="0" distB="0" distL="114300" distR="114300" simplePos="0" relativeHeight="251669504" behindDoc="0" locked="0" layoutInCell="1" allowOverlap="1">
                      <wp:simplePos x="0" y="0"/>
                      <wp:positionH relativeFrom="column">
                        <wp:posOffset>212090</wp:posOffset>
                      </wp:positionH>
                      <wp:positionV relativeFrom="page">
                        <wp:posOffset>349885</wp:posOffset>
                      </wp:positionV>
                      <wp:extent cx="3542030" cy="3544570"/>
                      <wp:effectExtent l="0" t="0" r="8890" b="6350"/>
                      <wp:wrapTopAndBottom/>
                      <wp:docPr id="123" name="组合 123"/>
                      <wp:cNvGraphicFramePr/>
                      <a:graphic xmlns:a="http://schemas.openxmlformats.org/drawingml/2006/main">
                        <a:graphicData uri="http://schemas.microsoft.com/office/word/2010/wordprocessingGroup">
                          <wpg:wgp>
                            <wpg:cNvGrpSpPr/>
                            <wpg:grpSpPr>
                              <a:xfrm>
                                <a:off x="0" y="0"/>
                                <a:ext cx="3542030" cy="3544570"/>
                                <a:chOff x="5519" y="147258"/>
                                <a:chExt cx="4337" cy="5082"/>
                              </a:xfrm>
                            </wpg:grpSpPr>
                            <pic:pic xmlns:pic="http://schemas.openxmlformats.org/drawingml/2006/picture">
                              <pic:nvPicPr>
                                <pic:cNvPr id="144" name="图片 4"/>
                                <pic:cNvPicPr>
                                  <a:picLocks noChangeAspect="1"/>
                                </pic:cNvPicPr>
                              </pic:nvPicPr>
                              <pic:blipFill>
                                <a:blip r:embed="rId7"/>
                                <a:srcRect/>
                                <a:stretch>
                                  <a:fillRect/>
                                </a:stretch>
                              </pic:blipFill>
                              <pic:spPr>
                                <a:xfrm>
                                  <a:off x="5519" y="147258"/>
                                  <a:ext cx="4337" cy="5082"/>
                                </a:xfrm>
                                <a:prstGeom prst="rect">
                                  <a:avLst/>
                                </a:prstGeom>
                                <a:noFill/>
                                <a:ln>
                                  <a:noFill/>
                                </a:ln>
                              </pic:spPr>
                            </pic:pic>
                            <wps:wsp>
                              <wps:cNvPr id="145" name="文本框 17"/>
                              <wps:cNvSpPr txBox="1"/>
                              <wps:spPr>
                                <a:xfrm>
                                  <a:off x="7869" y="148529"/>
                                  <a:ext cx="1092" cy="404"/>
                                </a:xfrm>
                                <a:prstGeom prst="wedgeRectCallout">
                                  <a:avLst>
                                    <a:gd name="adj1" fmla="val -52056"/>
                                    <a:gd name="adj2" fmla="val 103885"/>
                                  </a:avLst>
                                </a:prstGeom>
                                <a:solidFill>
                                  <a:schemeClr val="bg1"/>
                                </a:solid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7D9A025A">
                                    <w:pPr>
                                      <w:ind w:left="0" w:leftChars="0" w:firstLine="0" w:firstLineChars="0"/>
                                      <w:jc w:val="center"/>
                                      <w:rPr>
                                        <w:rFonts w:hint="eastAsia"/>
                                        <w:color w:val="auto"/>
                                        <w:lang w:eastAsia="zh-CN"/>
                                      </w:rPr>
                                    </w:pPr>
                                    <w:r>
                                      <w:rPr>
                                        <w:rFonts w:hint="eastAsia"/>
                                        <w:color w:val="auto"/>
                                        <w:lang w:eastAsia="zh-CN"/>
                                      </w:rPr>
                                      <w:t>本项目</w:t>
                                    </w:r>
                                  </w:p>
                                  <w:p w14:paraId="036D4EE4">
                                    <w:pPr>
                                      <w:pStyle w:val="6"/>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6.7pt;margin-top:27.55pt;height:279.1pt;width:278.9pt;mso-position-vertical-relative:page;mso-wrap-distance-bottom:0pt;mso-wrap-distance-top:0pt;z-index:251669504;mso-width-relative:page;mso-height-relative:page;" coordorigin="5519,147258" coordsize="4337,5082" o:gfxdata="UEsDBAoAAAAAAIdO4kAAAAAAAAAAAAAAAAAEAAAAZHJzL1BLAwQUAAAACACHTuJAiRokY9kAAAAJ&#10;AQAADwAAAGRycy9kb3ducmV2LnhtbE2PQUvDQBSE74L/YXmCN7vZxhSNeSlS1FMRbIXS2zb7moRm&#10;34bsNmn/vetJj8MMM98Uy4vtxEiDbx0jqFkCgrhypuUa4Xv7/vAEwgfNRneOCeFKHpbl7U2hc+Mm&#10;/qJxE2oRS9jnGqEJoc+l9FVDVvuZ64mjd3SD1SHKoZZm0FMst52cJ8lCWt1yXGh0T6uGqtPmbBE+&#10;Jj29puptXJ+Oq+t+m33u1ooQ7+9U8gIi0CX8heEXP6JDGZkO7szGiw4hTR9jEiHLFIjoZ89qDuKA&#10;sFBpCrIs5P8H5Q9QSwMEFAAAAAgAh07iQIMOmji6AwAAiwgAAA4AAABkcnMvZTJvRG9jLnhtbK1W&#10;S28kNRC+I/EfrL5v+jHdyaSVyWqYkGiliB1tQJw9bvcD3LaxPY9wRizc9sQFLtz5B0j8m83+Darc&#10;3fNcYEGMlJl6ufzVV2U7V883rSArbmyj5CSIz6KAcMlU0chqEnzx+e2zcUCso7KgQkk+CR65DZ5f&#10;f/zR1VrnPFG1EgU3BJJIm6/1JKid03kYWlbzltozpbkEZ6lMSx2opgoLQ9eQvRVhEkXn4VqZQhvF&#10;uLVgvemcQZ/RfEhCVZYN4zeKLVsuXZfVcEEdlGTrRtvg2qMtS87cy7K03BExCaBS579hE5AX+B1e&#10;X9G8MlTXDesh0A+BcFRTSxsJm25T3VBHydI0J6nahhllVenOmGrDrhDPCFQRR0fc3Bm11L6WKl9X&#10;eks6NOqI9f+cln22mhvSFDAJySggkrbQ8ne/f/f2zQ8ELcDPWlc5hN0Z/aDnpjdUnYYlb0rT4i8U&#10;Qzae2ccts3zjCAPjKEuTaASkM/CBkmYXPfeshgbhuiyLLwMC7ji9SLJx1xlWf9pnSEeji255Fo0T&#10;9IbD1iEi3ALSDcvhrycLpBOy/nlEYZVbGg7UYza5mjdsbjplj7A0HQh7+/Mf7358TVKEhSswqFtC&#10;Ecu9Yl9bItWsprLiU6thLKFOX8RheIjqwX4L0ejbRghkGOX/95wQk/N2waH95kXhAdHcGvYKAEIp&#10;IDvDHatRLAFEbwfmtw6PeAcS8VsYE1xxNBjvbfAwIH/TXqDQWHfHVUtQAKiADlpDc7q6t4gT8Awh&#10;aJYKCfP4hTwwQCBaPOYOpRcBNI453Gd24Be0k7n5V4fsoaYaBwjT7s9MNszM00+vn3757enX70l8&#10;gZPQB+IZI27ziYIj4RuC9r9g9GJ8PhyZcZZcYhaaD4zG0WXSHZg08oO5PS87tnpC17yoOPZ2RoVQ&#10;yz1yMWFV9NcCLb6KA1K2Am7IFRXkWZZE2Xm3634QbLsLiqPReJz5Ue8bdtIvq0RTDDNuTbWYCUNg&#10;g0lw6z/94oMwIcl6EpyPsshPwoHvKEUEn9MUwyjs6EXJbRabvhcLVTxCK4yCiYOLy2p228D43VPr&#10;5tQABWCEZ9S9hK9SKECjeikgtTLfvs+O8TBW4A3IGh6dSWC/WVK4aIh4IWHgLuM0hbTOK3BHJqCY&#10;fc9i3yOX7UwBS9AUQOdFjHdiEEuj2i/htZ3iruCiksHek8AN4sx1TyG81oxPpz4I3iVN3b180HBz&#10;xp5dqaZLp8rGnzWkqeMGGokKHBov+TfKN7d/T/ER3Nd91O5/iOs/AVBLAwQKAAAAAACHTuJAAAAA&#10;AAAAAAAAAAAACgAAAGRycy9tZWRpYS9QSwMEFAAAAAgAh07iQO7+yGiYvAAAjrwAABUAAABkcnMv&#10;bWVkaWEvaW1hZ2UxLmpwZWcAjrxxQ//Y/+AAEEpGSUYAAQEBANwA3AAA/9sAQwAIBgYHBgUIBwcH&#10;CQkICgwUDQwLCwwZEhMPFB0aHx4dGhwcICQuJyAiLCMcHCg3KSwwMTQ0NB8nOT04MjwuMzQy/9sA&#10;QwEJCQkMCwwYDQ0YMiEcITIyMjIyMjIyMjIyMjIyMjIyMjIyMjIyMjIyMjIyMjIyMjIyMjIyMjIy&#10;MjIyMjIyMjIy/8AAEQgCQAH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pQDel2g7yMv6VyGmaT4v0zT4rKNdEkjhyqO00oYjP8XyV&#10;10RKxXbDqsrn9K4LT4/GWpaXFqf/AAmUNtHcFisQ0ZZdnzHAyG+agDb+yeMv+eOg/wDgRN/8RR9k&#10;8Zf88dB/8CJv/iKzfsfjDzUT/hPbcb0LDdoiD+7/ALfvUsOleNbj/U+PrV8f3dGT/wCLp8zAu/ZP&#10;GX/PHQf/AAIm/wDiKPsnjL/njoP/AIETf/EVD/YXjn/oerf/AMEyf/F0yTRPHcabv+E4tz/3Bk/+&#10;Lo5mBZ+yeMv+eOg/+BE3/wARR9k8Zf8APHQf/Aib/wCIqsmh+OnRW/4Tq3+Yf9AZP/i6X+wvHX/Q&#10;9W//AIJk/wDi6OaQFj7J4y/546D/AOBE3/xFH2Txl/zx0H/wIm/+IqH+wvHH/Q9W/wD4Jk/+LqKT&#10;RvHkX/M727D/ALAyf/F0c0gLf2Txl/zx0H/wIm/+Io+yeMv+eOg/+BE3/wARWdc6d41twy/8J3bG&#10;VRu2/wBjJwvud9Oh0zxtLM0Z8c26N/BnRE+b1/jo5mBf+yeMv+eOg/8AgRN/8RR9k8Zf88dB/wDA&#10;ib/4is2fTvHdvKVfxrb7P7/9jJ/8XTv7O8c/9Dvb/wDglT/4unzMW5ofZPGX/PHQf/Aib/4ij7J4&#10;y/546D/4ETf/ABFZUln43idFfxxbKrfxNo6f/F0fZvGX/Q+2n/goi/8Ai6XMxmr9k8Zf88dB/wDA&#10;ib/4ij7J4y/546D/AOBE3/xFZkNj4zcHzPH1nEfl+VtHj7qp/v8AvU/9meMf+ih2X/goj/8Ai6OZ&#10;gXPsnjL/AJ46D/4ETf8AxFH2Txl/zx0H/wACJv8A4isz7J40/wCh8tP/AAUxf/F0fY/Gv/Q92n/g&#10;pi/+Lo5mBp/ZPGX/ADx0H/wIm/8AiKPsnjL/AJ46D/4ETf8AxFZqaf44fdjxxbNg9tIi/wDi6X+z&#10;vHW7H/Cb2/8A4Jk/+Lp8zJNH7J4y/wCeOg/+BE3/AMRR9k8Zf88dB/8AAib/AOIrKex8dqdqeNLd&#10;z1b/AIlEQx/4/TksfHT5x41t/l6/8SZP/i6OZjuaf2Txl/zx0H/wIm/+Io+yeMv+eOg/+BE3/wAR&#10;Wb/Z3jv/AKHW3/8ABOn/AMXTfsHjrft/4TS3+7u/5A6eq/7f+1T94V0an2Txl/zx0H/wIm/+Io+y&#10;eMv+eOg/+BE3/wARWK6+MIndH8dwhk+9/wASJeP/AB6kx4vY7R48hLH+FdDU/wDs1TzMo2/snjL/&#10;AJ46D/4ETf8AxFH2Txl/zx0H/wACJv8A4is1dP8AHLFSPG1vg8/8gZP/AIulew8cJtz43t+Wx/yB&#10;k/8Ai6fMyTR+yeMv+eOg/wDgRN/8RR9k8Zf88dB/8CJv/iKqQ6P47n3Y8cWwx/1Bk/8Ai6kfQPHY&#10;Un/hOrfj/qDJ/wDF0uZlE/2Txl/zx0H/AMCJv/iKPsnjL/njoP8A4ETf/EVUi0jxxKjsfHFsgDbe&#10;dGTn/wAfpw0bxqxAHj223H/qCJ/8XRzMCz9k8Zf88dB/8CJv/iKPsnjL/njoP/gRN/8AEVF/YHjv&#10;/oe7f/wSJ/8AF1HJoPj1EynjeB/9kaNH/wDF0czAs/ZPGX/PHQf/AAIm/wDiKPsnjL/nhoP/AIET&#10;f/EVmfYfHG7H/CawffZf+QMnb/gf/jv3qVtP8cbFceN7dlLY+XR0/wDi6rmZLaRpfZPGX/PHQf8A&#10;wIm/+Io+yeMv+eOg/wDgRN/8RWcth44P/M72/wD4Jk/+Lpf7M8df9Dvb/wDgmT/4uleQKzND7J4y&#10;/wCeOg/+BE3/AMRR9k8Zf88dB/8AAib/AOIrN/s/x15pT/hN7f7uf+QMn/xdO/szx1/0O9v/AOCZ&#10;P/i6XNIo0PsnjL/njoP/AIETf/EUfZPGX/PHQf8AwIm/+IrMex8cIyq3jeHn+7oiH/2em/ZfG/8A&#10;0O8X/gjX/wCKo5mBq/ZPGX/PHQf/AAIm/wDiKPsnjL/njoP/AIETf/EVl/ZfGv8A0O8X/gjX/wCK&#10;o+y+Nf8Aod4v/BGv/wAVRzMDU+yeMv8AnjoP/gRN/wDEUfZPGX/PHQf/AAIm/wDiKyvs3jX/AKHe&#10;L/wRr/8AFUsVl44kZlXxvDwB97REH/s9HNIDU+yeMv8AnjoP/gRN/wDEUfZPGX/PHQf/AAIm/wDi&#10;Ky5LDxzF/wAzrbnu3/EnT5V7n79VyvjGN9kvjm3jf+FToqc+v8frRzMDc+yeMv8AnjoP/gRN/wDE&#10;UfZPGX/PHQf/AAIm/wDiKxMeMmmMSeOrV2/2dHT/AOLq0lh43lTenji2K/3v7GT/AOLo5mBo/ZPG&#10;X/PHQf8AwIm/+Io+yeMv+eOg/wDgRN/8RWd/Z3jrey/8Jvb8D/oDJ/8AF0v9meOv+h3t/wDwTJ/8&#10;XRzMDQ8L6Bquna9ruq6q1nv1I2+xbV3YJ5SFedyiul0//j0H++//AKEa5DwRqetz6/4j0nWtSj1B&#10;tNa3EUyW4hzvRmbgfhXX6f8A8eg/33/9CNIC3RRRQAUUUUAUU/4973/ff+Vcp4Ynil8GWFtIrco3&#10;3WVd3zNXVp/x73v++/8AKsTwMq/8Ibp+V+bY3/oTUATB7dZYne3csisqsz/7v93/AHadZyx2jFoo&#10;ZTkbfmP/ANjWu/yvF/vf+ytUtAGf/am75RC27/gX/wATT/tDyrgxbASvPzf/ABNXain/ANQ1AFVW&#10;ufKVYFyq/dZl6/8Aj1MC6izct/6Cv/xVXYP9Sn+7T6AK8cNwEw8v/j3/AMSq1XubV2ZFM3yu23+L&#10;+63+1WhVe6/5d2/6bLQAQ2UaeWT87oOG6Y/Ci5t/O+Yf60e+N+KfNP5TKv3qRbhW2/eVqAK6Mt1t&#10;SU4mHRsbd9QSW/kb23MjfeZlq7d2u/8AfRgK68njr/8AXqrEwviod04GflPL/wC9/hTjLoyJLqit&#10;EzNMjSf3fk/2v9qrLvsRn9F3U6eHduB3Bv8AZqrLvlt3h+652o23/abbTasOMrmnFGn2d29Cw4/2&#10;fl/pWe8rRMq/eZvu1etXMWlecy/wGXH61TCbvndfnf73+z/s0RYpLqghf5dp+8PvU+oWT5v7rD7r&#10;U7z2ZdoX97/d/u0ONhqVxNiurP8AdZWbay0zzWgXdJ8391v7zVaht9yKm5t275qDal2JQZiT5drL&#10;95v71GyFuyKJNi/7R+Zm/vU54ldlb+Jfusv8NM2Mn+rb/gDfd/8Asaekqv8A3lb+633qksZveL/W&#10;LuUfxr/8TTZnVfn/AIWVv/Qd3/stTVWuIPlXYzKq7m2/w/dagmRG+m287O7728z7y7qYmjWifd3/&#10;AHty7m3bauqpVVXdRudfvfNTsLn7oNuxkX+78tOk/wBS+3+7TS27bint8y0MIbst2CP5YlPR1FXq&#10;p6b/AMeMXtkfrVykWYMMqsqp/Eqqzf8AoP8A7LU6NtdW/utTLlIre+b+8/8A7N/9kv8A49S0AbNF&#10;RW7+ZCrVUu7ryV2J80h9Fzj/AD2oArXxQzsq/wCt2KD/ALu7/PvUMh83AmDKyM2xm+8qr/P/ANCq&#10;5a2xE4eb5mIyqnt7n/aqWCJJknVxuXzmx7U2JGYH2qvmfMh+ZXWpQqsu5Wpbi2e3jLrlox/e5x9f&#10;8R+tQBtjK0Lbkb7qt/Ft+9t/+xouxciF+Zb3bu+8n/s1WKqb1e6Rh/c+7/wKrG9vSqtcnmSdgP8A&#10;r1/3W/8AZafUJ3+cn+63/stS/P8A7NLlHzi0Uw7tu4ttVaPm27kbd/u0rBz+Q+mD/j4f/dX/ANmp&#10;JJ9q7U+//CrVWmTY64eVt/yttb5l/wBqizK5kSODu83fsc/cX1Xd8v8A301VZtOS8ZXd/niXY3y/&#10;e/zuq3HteXcfuJwNy/MPb/gP/oW6pN224Vf4XX/x6nsLRmSNAilm+R2dn+bayr/DWlZwJawrbomx&#10;F3bV/wCBVOjrFcI4/wB2pLlP3nnIx552/oaJISnfQgDf6U6/7C/+hNUlVjKq3vCs+U2/Kv8AtVKz&#10;TN9xUX/eapLOf8Hf8lF8c/71j/6JNdlp/wDx6D/ff/0I1xfgvf8A8LD8b79ud1j0/wCuJrtNP/49&#10;B/vv/wChGgC3RRRQAUUUUAUU/wCPe8/33/lWN4JYL4P0/JVfkb/0Jq2U/wCPe8/33/lWD4MtYZfC&#10;Wnu8Ss2xvvf7zUAbtxPEr2/71P8AW/3v9lql+0W//PaL/vtaq3NvCnk4iRf3q7vlq0sES9Ik/wC+&#10;aAG/arf/AJ7Rf99rTJp4WgZRKh/3WqwFVeir/wB80y4/493/AN2gCKCeJYVUttZal+0Rf31og/1C&#10;0+gCL7RD/wA9U/76qtfTxNEmJU3LKrfe/wBqrAuFZmX7tUp2ZlZid2KAGtOjdZV/76pyXESyq29W&#10;2/w0tMXatxu/idV/8d//AGqAL8jednJIt16/7ft9KpSjLmSAGMr820dDj+LA6n+a1p3S7oG9qz/u&#10;tuH3hQBYjkW8h3cLIOv+fSs+5WUSKkG3zV3bdzfxN93/AOK/4DTi6wzrIr7P77N0XP8Aj6dqmtbY&#10;zR+e5zJk7Q3VfWnfoQ11RNPMjWPyrs3/ACbGGCPaq9F0vPnbfmX76/8As1RNLu2pH8zMu7/dX+9S&#10;asOLuOlf5tiLuc/98r/vUgt9jfI26X+838X+9U3kfZVXP33+ZmpY2RJA7NhF+YtVKQONwe52p5Kw&#10;yB36nI3be7VZguYNgQZTYMbW6063gyDNKgEsnUeg9KbPaj5ZY1+dO394elGgrNbCyLBL3wfVazLx&#10;7e3VftMqJ/Cr7tv/AHzVye6s7eJGmdE35wrHH3fvflWNLp8upDfqMLW/lv8AIy/Mf93C/wDoVGgL&#10;nLpleJdz/On3VZfvVErK0zec6qy/eVvlb/d/3f8A2aiC33IiBtkSfc/i2/w7V/8AiqsCyJbdE+90&#10;Taqt95fx/wAaB8webF/fVv8AdpGnX+47f8AakRtrsk7lNi8tj+lXxYoRkSE0rIV32M0y/wAQhl/7&#10;5q7BGZI9zQup9yBSzWRQbvN+X/dqWR5IUBL7s8BfWqexKlZ7BB56RssccWA5+85/+Jp3+nEcmAfQ&#10;E02D7QkWHT5skmpd8/8AcqbFc5n6hBIpSY4d/uZC4x/d/WkR9yK33c/w1cmhmuImR2wDWfG8MDSr&#10;IxeVdzf3R/tf/Ff8CosF30LIvFt7cqF+ftu6fjRbQyK3nPGWdvu7xyPr70tra7n+0Sd+ny7c+nFa&#10;DOqJuY4AoHZ2KruWdXKMCKbay4875HOZWqf7XD7/AJVDZTxM0oH3jK3ai4lFrqTO8jqVEfB9azRb&#10;NtAY/PG3O0fK3+0VrSN3GrY549qrxXUf2q4Jzg7e3tRcOR9zMNuyOrPuwfvN/Dt/3v4f8/NTgm5V&#10;YO3P3V81latOR7Z+Q+G/3TVd7L922z7j/N6r/wB81W+xGq3KTwSxXCZ84fK33vm/u06V5WZURlZX&#10;/i+6y09jcW7QrHud9rYbd/7K1LOAkQlMAzncTyv/AMUKPUafZjG+8vmK7r/dXay05Vt93+qRWb+8&#10;m2po/sssO8Bk/wBpTv8A/QaWOzhukZUuQ6+m3pS0KuyB/KgVtiLub+6v3qg27vm3fOfusr/KP8/+&#10;hL/s1LJZJG/kgtNL7Nt2/wD7VSPaRJNsPzOgUuy8Zbt+i0cw4x6saiPEioNroq/xfeqCV082Jirr&#10;tZvvL/s1aKbV4d/++qhaBmeJllZW3fxKrfw0oie9ge4TZ+7V938O1ammjmubR3H7ry0YqO5/vK1T&#10;W0cnk7mRZGzg4+VhUsU0Yd0PI77utVuTqpamfC6PMmzbtEX3f7tTl0Rdzsq/71JPYQNNE6yFVPyf&#10;T+7TLmyS3mTPzbl++/PzVBqYHg11f4heN2Xpmx/9Emuy0/8A49B/vv8A+hGuN8Gtu+Ifjc7lPNj9&#10;0f8ATE12Wn/8eg/33/8AQjQBbooooAKKKKAKMf8AqLz/AK6P/KsjwT/yJ+n/AO43/oTVrp/x73n+&#10;+/8AKsPwZPs8I6euxm+Rv/QmoA273/Uo3911b/x6rFUruVntmXZt/i3Nu/8Aial8+XtC3/fLf/E0&#10;APVvKbDfc/hai4+a1f5v4aiaebp9nz/wFqZ5kjBgYiF9Of8A4mqFyyRYgZfJXDbsUTy7E4+8awLz&#10;V00+dLaO1uLmUx+dthKcL053MrdaSPXbS4DGZ0s5kOHhupUDrxuB+VmqOeG1zT2U7c1jTpk3/Hu/&#10;+61NjkM0SywPFNEfuujMyn/gS1I8dw8TLs+8v91v/iaZH+IVfmVWqOVW86Fh/tL/AOO//Y0qJcbE&#10;wmV2/eVWqV7eXYpPy/Mu3kL/APFUAXUl+0QuD8tZj72fajfKvzfL/F/9j/tVbjtWXd5lwNp/hVqJ&#10;IUBxHIm0L/E1AFO22r84++nyfd+7/s0+AfZpsp9xvlZVGc/5/wDsf7tOjiV71k3jcU3L/wB9VoJa&#10;IqMr/NmgBXijmXI79xVGJEsLna4+SVvlb0apIpXtZfJkX91/CVXhf/rVZuohLF93NNPoQ1bVBNb+&#10;c6tvxUEcQNyUBykf3wR1PaoVungVYWG+Q8RN/e/3ver8EIgiCBi3qzdTSLUrk9JVGTUbOC4S3luY&#10;Emf7kbyAM30FWpJAibsFvYUDaaMy6tUkuZl3FGBSWMp97dzmqyW6KiIkSpbqu1EX7u3/AD/31V0w&#10;SzkylU3/AN1+/wD9asXUdauY9SmWGy8+C1QecsZ/fBj02r0PSk3YuEHJ2RrojOcDrTrG4t555lhu&#10;I5GiYxuFP3T6Vn6hNby6JeGG7VGeF03M23YTxzjkba4CSS20m4urK2W7gIuHZ7iG5Ildvu/MdvT+&#10;KsauIjTJqTpUYXqyt20PWpkimj2SgY+uKqC3ngl3QuSjvuf/APV/hj8a83u9aZrJJcXLO2BsW8de&#10;EwP4W/ipqeKJoLOG0sby8t7y1TdF/a7qiXIdsnd83zFVYYqY4uEjKjWoVmlCWvnoemfbTPD+6hZz&#10;n+E/41NHFIx82QDfjAUfw155rXjJWup9LtLoiVv3PmxW2/YGGOGV933uc7asaP4kaPVI4Y2nubWO&#10;2W2eXDSMsyOysXGeARtbdWvto7GyjFuykm+x6RRVWC7SX5crvB2/KcjNTu6xoXchVHc1oQNmkWFN&#10;x/Aepqlb27TP50pyhfeqe/Y0oVryXe2RGv8AD/nvVzzYkGC6AD/aoAS4kMcRZetZ7yu6/Oc1auJo&#10;JYmRbiHd/vis/wA+L/nqn/fVAD6SzVmd1Vtrb2203z4v+eqf99UWE8SzcyoPnb+KgB/97dTIF3Xc&#10;qn7u5f8A0Ghp4tzfvU+9/eplvPEt27GVNu5f4v8AZoAmo2j+7TPPh/56p/31R58P/PVP++qAFjVP&#10;7RtwduCr1dljMYbHKEfNWXJLF9qgbzU2ru/iq5HfpjY8sRXH8TU07EOFyWM209pEk6K3yL94U2aK&#10;GK12pls9Azbh/wCPZoje1+yRZlTdsXgMuTVZJEd2d3i2hvus3zf5/wDZqNOgXa3JU06VvKk3rHsz&#10;tQJtx/3yRTryxmnIGd+3vux/T+tTDUoccyJ/31TTfO/+pQP/ALX8I/GjlYe0RUS1li4lyi/3v8tU&#10;T7VdFFzEzDcy7l/+Jq4sMkp8yT94fRvur9BTdqjUBvgTakX9z3qrCU1e46xvIVXyiyl85ODVpzbX&#10;XySbS3ZW4NKi2rniKLP+6KWS0jfb1GPSoNL8xTuLaWFd8bbxvXCN1HPrU8d2rEpIPu/ez2qK4jmh&#10;G7eXTeu1ffdTne3uPlmHly45deNv/Aqd+5HJ2OZ8L4/4WX4429N1j/6IrrNP/wCPQf77/wDoRrkP&#10;CcflfEfxwm9n+ax5b/rhXX6f/wAeg/33/wDQjSLLdFFFABRRRQBRT/j3vP8Aff8AlWN4J/5E/T/m&#10;/gb/ANCatlP+Pe8/33/lWF4LiuH8IaeUmQLsb5Smf4jQBvXW5rWX5v4KmZyrcf8AfNV5ILrynDXK&#10;Fcf88qaZbhFT5Fm+X7yttoAZqNzHaadcTPLHCAn35X2Kp6DntXDWRma3n0uO9e7tWmSK482TzJo3&#10;3DfhuA0f/j3+zXW61YLremSWMyTRJJj50ZSQQQw7+1cfqWnPZJeWi3ts98I/tLTeUUfBO3cUXj/g&#10;VYVebc3pzSptp7atW7bBe3TRC7tdOt4bdEuHRTB8hKq235m/CoLcwagIzqFpaXU8SFWeeBJH4B27&#10;iaxBprtqb3Nr4gEa3jNKVS3LfPu+deflzuq9Auo2+sRSRtAloQVl4V2Pykbm/wCBf3a5OaXNzGeH&#10;xMnNVFBvSztr8zRe51O0W5s9LutPt7Gf7qFZFeAEc7AvAP3j9a6Xw5qE7xX1jcXBma2kAhlcYd4y&#10;isCfX+IZ9q5Vnu12IZYdxVvm8la07HU7e21iWO6mJeSzjlTYGX5EyrgBepDZb/gWK3pVLv3jtnKN&#10;WEkotNem+n6HUB3gfynZ9rN8rfw/7tJM7+bDlm2bvm/75rEvdWmaTZZeH7i7i4O+S6EeRnsGbNXt&#10;OutNvnmgjDTSwHa+/ehX0yPwroU4t2RySozirtf159jS3L/eWk3ov8a/99UqWtq5wlmhP+81W49N&#10;tFTm2i3f7tWZGe86Ah45YhKnTc1aUWoW0sSv5yKT2ZhkU/7Far0t0/KoZIltHaZEXyj/AKwY6e4o&#10;AfNLaTpsM0THthgagguXRfLKZ/hG/j/IrQVEUcAD6VHcW63CYPB7GgCiltulIuAC7fd2fwfT/Gp4&#10;pzHuW4IDoud3QEetV1eSG4CSDp0b/ZrK13VU+2Wmlo4W6uXKHb8xjTb8zen50Skkrjpwd/62Oc1J&#10;7bV7m51C0t/t7LdRw25aXegwm4vHtwV5+981V9R1nakVvJbW8zooDHfJt4+6F+f5vvN81Wrm+SQG&#10;HTkEVt8371F2BlI5UJt4+vXiqZt4mVQUX5RtWvNnzuTsbrC4jE3nSk4x0tf8zYsNZh0OCVbax1a9&#10;inkaRRHskCdOB82QvPH0o1nUoda0KC706G6h1CbJi2MkckbL/f8Am6Yz68GsxG8pgU4x/dpsotbn&#10;U4ruV2S8jV0IWL/Xb0wG3fw4AatoycvcO+dBUbSl8X5u23zK95rml3eq3dra2lj/AGkh+RriEMJW&#10;/wBhlb5m+78u3/vqsWztdRvPOe++eaSVnZ2+626tP+w9PjvVu/I/fhtytuZfm/vVfrnnTcnaZ58M&#10;oq4u0sTLTt/WxSg06KKJEf5tn8P8NWJrWC5bdNbxSn/bRWqWinGCie3Qy/DUIckIIr/2daeb5wsr&#10;bz925XaJd26myaWq6it9CzW8yzK7tE2zd8395f4W/wC+asuu5GX7u6pIDu3Ix3KDlfqP/Qf4uf4a&#10;qcuWBzV8LR9slbo/zRpJro0x5oZptL8p5Hkj/ft5rbun7tU5561bh1DxBP4hSxcabJY/emMTOZYf&#10;lDDOehJPHHSuT1vRLfU7PKMI5Y/minG75d3+z/wHb/49Tb7WhZalc3TWlzGWCeZeRXJTOBsDFPmX&#10;/vmqp4i6OGralOTqL3Xs7dfPseti2g27fKTH0oFpbL0t4v8AvgVz+meI7a6kjtpZf3kv+pkP/LbG&#10;OemA2c/LXTZrtjJPY5pJoaIo16RoP+A0w2kLfwVPRVElX7BD/t/99VDZW0S735OHZfm+taFVbX7r&#10;/wDXV/8A0KgCgyrub7v3qltYI3uNxX+GtAwxk5KCowqpdIFXHyN/MUAR/wBnw/7VH9nw/wC1Vyig&#10;DMe0iivrXAznf1+lWp4oUhc7EHHpUV04ju7R3bCrvyf+A0395cy/xIiN+X+f0oAht4ftKxZRQiKO&#10;3+eav/Z4QMeUn/fNQvb/AGeNnt2KY+Yr1Bp5uVMSOOS4BFCRMnYhuoo0UPHGnmD7oxwfrToU+0KH&#10;Pyj+50qWOEk75OWqSP8A1kv+9/QU722J5b7kiqFGBUARWuZTjPyKP/Qv8asVWtm3S3PtLj/x1aRo&#10;D2qnlflaot80LfN8y1dpCoPWq5u5Dh2Kk8qNAW6bMP8AN7VM8McoyR82PvDr+dRz2geJ1XjcKhtp&#10;ZIoUV+cDFO19hczW5zHhSJYviR44Regax/8ARFdbp/8Ax6D/AH3/APQjXJeFn3/Erxwf9qx/9EV1&#10;un/8eg/33/8AQjUGhbooooAKKKKAKMf+ovP+uj/yrJ8ENt8F6cf9hv8A0I1rJ/x73n++/wDKsTwZ&#10;Lt8G6eu3d8jf+hNQB0WX2tk5qKBiYIm29UXvSfbEVtpVv/QqZaSBbOEP8rbQNpoAxLXxhp9ywjkj&#10;uLaRt20TQkbwH2ZGM98VQ1i5sb64S+gv4JIba3uElCMG/g787vwANUdL+2assa7NQtJY9weN4d2A&#10;XP8AG/Y/Kdv+zWdqMNtJZzLaWFpppDvb3MklvFC6fL97d/dZWrlnUlyanTOXslKVOLutOj309TnJ&#10;ta0Fr/a81w9rNt3+VFtWKUfdlXd825R/s966KIzq4iuoliuAWWVFdW2f7X/AvvVx2qaA2kRRTWqP&#10;Nv27Z2Xejbl+8jfdqRdR1FU80Nl57eHe2WV/lXb97+9tWuWM+Xc8ehmNXD1ZOel97L/M6C5uorK9&#10;givZV3S/cZWVdjf3WXd/F/eqxDLqiIyJcukRfds3ferj5YdPilV765L3X3niyzL/AJ+7XW6TP9s0&#10;/wA1FLIjMm7H91Vb/vn5vvVN+Z66HThZRxlWUZ3j1Wv5hpWrWzX1xZQ3G+48122ruXbt/wBptq1p&#10;SXNvNPayC9ihuIeIbpV3bEPUFO4b7vqOtcxceEre4vZ7g3Eq+YzMyr/tVqfYLK3iTerKq/L97bUx&#10;U4y5onYvrdGHJZWXVtbHoGk6ql1HIjxeVeRNskiLbyjdQCRx93afxq/G8nnBuST+tedafMLm/e/E&#10;k9vcpsOIbh0SbZ03j+L5flra0y5urDUmvWuJpLSc5uYbifJgP3vMTPSPHGPavQhWulciMqdb34P/&#10;AIfsd4CPxrP1XUotL0ye9kGUiXcw3Bc/ieKa+saZHseW/tlL42ZlA3Z6VyninxC01jNYWoFnJKMJ&#10;c3yhIzg84DfM3T0rac4xQQptzXNout9CTVNUv2sW+yJf6SsEUsrg2ySbtvON2WX1/wDrVQ0PV5tL&#10;HW8uraeBb15nQIqb2O923dNo28A/8BqOa7nlu5GsLUQo8u53vvnlH8XyJ91T/d3VMss480NcyuJW&#10;Ztkrl02/3dv3dn0+grz3ilzXOugp1FyuKUf61va47XNal1eWGw0PUbtZknKTNbQ/Lgd2dlAGMdAa&#10;FDLZWdirRpeRyu88Ua48/wC9yrfdz827b/tUw3UitsM0yjO5gH6Z9v73t90f71Z88TXEqO0rxsjf&#10;L5TNx/u1UMRPn50i8ZhZzwzhSX+b+eg/52uJZfvQPtZG/wCA7WX/AMdp1Al8wLG8kSXrtu2FuHX/&#10;ANBV24/2W701HVtyjqh2sv8AErf3W/2q1qThUfOupGS4v939Xn8Ufy/zQ6mFHaaKXzVWJdysjL95&#10;v4W3U+ippz5Ge1Wp86sFFC/L8vp93/dopTVpWKpT5kFFFFI1BqfGzbxvbk7cbm28/wAO3+983/Aa&#10;ZUu/btZ9z/J8n8X+VonHmps4MR/Fj8/0Ell80fd/2uucf3uf4v8Ae/KonRXXaaeW3Nu2qv8Asqu1&#10;abWcIWjY3dKMockkQ6bZ29us1tNDutH2v8rbdjbvvL/ErL/s119vrgR4LG6faZlH2acnIn46E4GH&#10;74rlsU/KywG2nDPATuXb9+M/30bs47GtqUuTY4Z5fGEbRvb8vQ9EgutvyS/99VbDBuhrjLPXIrd4&#10;YLqVvJf5YbqT2HSZvuhyen96uihf7PJubP3ei967FJM8qpSlB6l2ecQpngseEX+8fSlgjKRAN948&#10;t9aiiR3fzpev8Cf3B/jVumZhVdmxeRf7SN/SrFVbnajxTN/A2D+PFAElxcR2tu80rbUQZY1gQ6nf&#10;y6u4QRtaBc43LjGfvbv6f/tVZ1FZLu5No6BYNm8OeNrA/eB/FeKdbWiRxJbQKUt4/l+bn/Z/76oA&#10;fI5uL2EFWVdzYb04/wA/StREWNAijCr0FVJUWO9s1QYGX/8AQammkIIRfvGhIluwSzY+ROXqK1j2&#10;x5YYYEqPoGqaGHZ8x5anRjAx/tMf1pt9hJX1ZLUcf+sl/wB7+gqSsm41P7PKAED72/hbp/nFIs1q&#10;q2q4kuh/02z/AOOrUUmpRRy7OvH3qabvy90uEVHwzM7cLxQBo0VDBI0sKu67Se1TUAFU7YY85H/h&#10;lP5dauVTWTbqDRn7roD+NAHKeGFC/EvxwB/esf8A0RXWaf8A8eg/33/9CNcp4Z/5KZ45/wB6w/8A&#10;RFdXp/8Ax6D/AH3/APQjQBbooooAKKKKAKMf+ovP+uj/AMqyPBP/ACJ+n/7jf+hNWun/AB73n++/&#10;8qyPBP8AyJ+n/wC43/oTUAbrIjdVVv8AgNVrBFNonHPzfd/3qtVDZLttVX/af/0JqAJNq47/APfV&#10;c/c+FbK/1tr64Z5NmzbEcbMgN1Hf71dFUAbbdvHj7y7w36UnFPc0hUlHVOxw16Raajc6HbPPCqRG&#10;9iZJeAmcFMdsHoOmKyraG7t50kupUuojCuxZYlfP3vvblrq9S8N3k17NPYahDarOv70Na+axb6lv&#10;YcVi3ME0FrbpcsGuAjB2CAZ+c4+UFh0rlqQ7ndTo0K8ouWr+f4lK5tdOvP8AX6PYM5+86w7G/wDH&#10;adDa2MEHkw2nkpuZmWKV13btv/xK0tFYvU9B5fh39lDjFaMir5VwuP4luGqrdabZXnlb5tRiVF27&#10;Yrhefm+98y1Yoo5UKWBozjytfmSwWulwfda/zs2D50bHq33fvVMlxY6efOjimnwvz/aNv3f4htFV&#10;Ka8Xmo29N9uhVrn5tu2Lcu9v++d1U2ctXL6FCk3BWtr1tcvWtmHgm1i7sbSG2T54nihxLNnkYLbv&#10;lbdWJaaQ8upf2pqlw2o3xPyJ99U/2djf+O/7u5quy6xqGrXyNLbLDpUa7YbZRyP7r54/h/h6VKzg&#10;x7dpXOV69FPUfjWNVcytE5MDhvbLnqXbW1yRmCBWMm8n/byp/wBr6erfePb5ajd9xVkbaq9P8/w/&#10;+y0juXdndssabShRS3Pdp0lEPvfMaKKK3Nivc26zJx8rjlWpYLmW6R1kX/TYOT286Jf/AEJ//Qlq&#10;eqt3G8ciXcBxNCVYH6VD9zVHgZpgXH/aMP8AEt/P/glhJA6qV6NTqJHE8VveRrtt5m2SN08l/wC5&#10;t+825vu7aP4WP8Krurbkvbl6nXl2PjiKXvaSW/8An8wb76e6t/6Ev/xVFOP3l9lZdv8A3z/8TTaK&#10;nQ7aK3fmFFFFQbhSb2dlXYiqi7fl/i/2m/76pe9O8ranm/N8zsv3f9lf4qcepxYq8Zwa7/mhtFFF&#10;I7Q3Lu2/xU51ZG2n71WImtntnikXa6/N/wDZf/Y/5WrTasY06spt6bENw8sKPKEa5QqqvaNtZHXd&#10;/Eu35v8A7Gtqw8TwwpbyTQSG3QYkjYZmteByyn5iv+12zWXVBtO8rUxqdpI0N0OWx82/5dv8VKMp&#10;R2POxeEmp+0hquq/VeZ6xbXMV5FHPbyJJC4yjochhVkdK830XxbIGa2gsgJbc/vLEFR+6H3pUIXk&#10;5b7n5V3mnajbanaJc2sm+F/utjFdkKqmeVKHVbf1v5l+oblUe3dZDhSOtSMyqMk8VQLPey4XKxCr&#10;IGxeZdBA/AUYb6/41oKiouFGBVayRYzOq9BKcfkKmkmCcdTQDdiC54vrT6v/AOg06Dc8rSHpVa6d&#10;5Lu1Xbt++f8Ax2r0bR7QiEGnsRuyao4+Yl+lNe4jRtrH5vpTof8AUp9KRZJWW+lrM7sz5Of4h/vf&#10;/FVqVGn3n+tAFY2MTfMevHQe1QxW/ml0DfJGyoysuQ2AtadVLP8A1l1/12P8hQBPBF5USpnpUlFF&#10;ABVO4TFxbzf3G2n8auVWu/8Aj3/4Gn/oQoA5Lwz/AMlM8c/71h/6Irq9P/49B/vv/wChGuU8M/8A&#10;JTPHP+9Yf+iK6vT/APj0H++//oRoAt0UUUAFFFFAFFP+Pe8/33/lWJ4L83/hENP2Mm3Y33v95q24&#10;/wDUXn/XR/5VkeCf+RP0/wD3G/8AQmoA2WW4/wCesS/8A/8AsqhgS48ri4QfM38H+1/vVbqO1/1P&#10;/A3/APQmoAj8q5/5+l/79VE8U6TRM1z8x3Ju2D6/+y1cJ5FZniC6ex0O6uotvmwxtIhYZxik3bUq&#10;MXNpLqWnScf8vZ/74WvPktpLbTLWKZNjiS4Yr/vTOy0+88q7YpLd6mARgSRXrqR33bfu/pU99sNr&#10;aPEjJGUbam0dctlvl7nrXNOfOevhqEqD16/5MpUU1ZUMyQiQb3YKq050mileI2lzuRtvywt83+7W&#10;B2TxdGDtKSCinLDduHIsb0ADP+of5qhuWmtkLy2d2g9TCQP++m+Wi5P1+hvzonhieedIY13O7bVq&#10;LX5YbPybR7j/AEFH2zNs+9cf738Kqv8AwGqGq+Irey054dKuUlvZEYXFxGwMVuPZ/wC/9KxtG1G4&#10;1UtaDZ5VvFjfN87Sr/Crq3ysv/oP8LVXND4WeBj8xeIrKjR1/XyOpXbsXb93+GlNZsCTW8qxQq29&#10;vmaD7yN/1yb+H/darcd1A8mxJ03j/lnnDflTcLHsYPG05rkl7kl0ZPRRRSPTCiiigAooooC19CKO&#10;6NvqRS7nItLnbvbbu27eU/75OKfIJEuCDGRKN37r0/vLu/3lqO6t/tEBQbd3alSU3aPdm4V5YlVJ&#10;XZuv91m/9B/3q3wt1zKW3T17HxuIpPA42/2Zfl1+57E38dJSI25dwpawPraUoyjzRCiiig1Comup&#10;Uuvsv/LKVd/3v4lb/wCyqWon2LMjlNzbdq/7PzLTirnFi3aPP2a/NEtO/h/2qB97kbv9mhyXdi5y&#10;TSOte8BYsclsk02iigAooooKKt1ZRXW0n5XDBldfvDb92pLPxNfnVGVdqXMYwrM3yzIu7bE38KMz&#10;fx1NWPrlreutu1kis88y2qru2s27du/4D8q1PNy6nh5nR9lH21Pfr5nqNpdzatZRzGB7d8ss0ci5&#10;2MO3v+FasMaJGqou1RXnc+vDSriw0qyM7XcKKkck0geG62jlGf727k4/2sV3un30OpWUN3bsTFKu&#10;5dw5rthPm0PNaTXOv+G8hsMmxZz3MzYqeNRFE0kh/wBotVe3TfI3pvZv/HqS+kifyo87/wB586Jy&#10;fumtXojNau5EZZXZmkXazfLt/urQhKOHHUU398/zGF/+BUzdL/dT/vqkWX/KW4fzUf6rirMP+pT6&#10;VlRvMqbGKYJ3fKrf/FVbtUeS1T986cfw4/qtAF6o0+8/1qFbUxkFbiYn/abOaqzS3aTOFmQDP9z/&#10;AOyoA1KrWwxLc/8AXX/2Vaz3eeXrdyr/ALm0Uun2nnRyu9xc7vMYcSsKANiiqf2FP+e9z/3+aj7A&#10;v/Pxdf8Af5qALEs8cK7pHCj3qhdahbGHAkP31/gb+8KtLbRJg7NzL0Z/mb8zRd/8e/8AwNP/AEIU&#10;Acf4UlSb4keOHjO5S1jz/wBsK67T/wDj0H++/wD6Ea5Xwz/yU3xz/vWP/oiuq0//AI9B/vv/AOhG&#10;gC3RRRQAUUUUAUI/9Ref77/yrA8K3Mdn4FtbmRlCRwu7EtgcM3et9P8Aj3vP99/5Vz3hezg1DwJa&#10;2dwm+GWF0kTJGVZmoY4WvrsWjr122zytPRlcBlLXKLuyKU6nfxW37q2tCfvfPc+uWPaseCH7NZ/Z&#10;mcukDyxpuVuEEvyjLLztXb827/4qo3ZFhZS6KpX+9/u/5/z8uSel7nQ5QU+RJfj/AJmpB4iumVzd&#10;LZRnI2BJy+R3/h+lY19qOo6g8cV2umNZiQNIiTSb2A7Y24P+6aoLtZdworB1Wz1oYOmveSHTyrl5&#10;TgL976LXRW9pb2/hy3m1OArIjMRGx5GT0/rXLW0ljf6itjJcqEjVpbkq/wBxF+9u/wDHV/4FXQ6q&#10;LqTSYp7hNnmTudgfIA6J+gqYPdnFWr+2xCpQfur8zK+0MjbraJLb/rgu1m/3m+81Y3iexOp3EV+L&#10;m5/c2YRoovvu6bv/ALGtKsrW7+401bW4h3mKN2e4iVV5X5V+9t+Vf4f+BUtJKzKzWjShh+ZrRdjP&#10;0y4k/sy+nTUdct1RFTY1x/ExX7v3fmqrK+n3t7+/uNcvrdm2qj/Oytt/vb6rX2qSy6fK9zablvJf&#10;OVtyrsTdtVf9r7rVu6feaNpulIhu4beW4bdtRvNZf9lt27+H5d1a0adKpeLe3U+Mni+WCXLqczcz&#10;6BtWGNdRaJD/AAsibv8Aa+781bvhW3sY4557WZnd227X4YL/ALS/+zVVj8HyX9g14Xa3u33Mtrs2&#10;qP7o/wDsqzrGz1HSdYcK2028Xm3Gwq21P4h/vfw1jPDzhJSa0NstxlOjiFOSud86K67Svy1Ql051&#10;RmRkuH/h+2pv/wDHvvU2y1m3urdpZQ1rIm1nil+8qt91v9pf9qtJSCu4NuFUm0faTjhMcr6fqZln&#10;P5DIh3Lbu2xVlbc8Uv8Acb/e/hrT6VSngtreV72aEyIVXzl3bV+X7rt/u/7NS2dw06OJFVXRtrbf&#10;ut/dZf8AZaqnrqjLBTnQm8PVd7bea/4BYoooqD2QooooAdVOOKzsHaSSNpIfmR7dV3I6t90N/s/+&#10;zVaqK4VPKZn+63ysv9+tIJuPLHr+Z5Ob4RYildfEiQqiostsu63Zv3Squ1VT/wCKX+KlVt1UY3l0&#10;6X7PKS1qX3bv7jfd3r/uru+X+KrzLs2sNvlOu9W/2W+63+63/jv3aS99abrc8rK8fLDT+r19P0fb&#10;0YUUUVB9WFBLKfkXdn7zbfur97/2WioZ1VjBm48lfNX5tjPn/Z/4FTg7O5xY1tUXYmop23Y7I6sr&#10;fw7tq/5/9lptR5DwuLo14+4woq7a2qSws7/N/wAC+7/n/P8AsxXdutvt2vu3fwt/DWnI7XLWJpup&#10;7LqRRxmV9gbrSMrK20qyt/darVsjLEzlflO3+H+H5qrTOsszOKHGyuKFZzquC2QyqWtXE1hp/mR/&#10;NLM32W3Rvvea6/M6/wC6v8X95qusyqu47tq/3az5/K1HXlAt8Jp6bXbd/wAvDfM6/wDAfu/8BrN7&#10;HDmMnU5KEd2QSaJ5+jw2s0ztcQ/Mk+75lb/ero/DHiO4lmjtr1trXH7qUqflgkA4/i+VXVfl/wBr&#10;dVOqzqtrdrcbgsDsq3C7N+7b9xtv+y3zVUXySuiMRhIU1zJaWs/8/kelxpumNshIRPvsv8qnmiSJ&#10;7YRoF/e9h/stWR4b1FL+3lDf8fMEnkzNt2+YwH38ejDBrZuf9Zbf9df/AGU133vqeY4OD5WWD0aq&#10;UNq6yhnVdtX6KBFCS1dpSwC7c1Ys02Wka/7NT1FB/wAe8f8AuigCWsu4/wCPiX/e/wDZa1Ky7j/j&#10;6l/3v/ZVoAiqSwW5EDmPy9plbhwfWonZlRsferTtozFbRo3UDn60AN3Xf/POL/vs/wDxNLuu/wDn&#10;nD/32f8ACrFFAFfdd/8APOH/AL7P+FV7s3Pk8pFjenc/3hWhVa8/49j/AL6f+hCgDkPC2/8A4WT4&#10;48xVB3WP3f8ArhXW6f8A8eg/33/9CNcp4Z/5KZ45/wB6w/8ARFdXp/8Ax6D/AH3/APQjQBbooooA&#10;KKKKAKCf8e95/vv/ACrI8GNu8L2P/XKtdP8Aj3vP99/5VheBZd/hi2H9xdtNbC+0como3yajJ++P&#10;l/2rcRLnB+VX+7/49WVqVjFcMix6cyKm1/4/7q1uXEJ1HUZFt4pf3OqTI/z79v3G3f7K/N92uGh0&#10;XW711Se4Fm7Iqf6fceUztu+6u77zV5FWm3Jnm46lVqV2op/0kdTp6vBp8STjY67lZW/3qtLl8sPm&#10;XaW/4DWMtg2naFZW73dtcSxyy72t5d6ru2stIlxcqm1Jn4Xaqq3zN/srUOtKD5bHfTz+WHtQqw2S&#10;QumaIbdr24n+9Pdsv31bdEvzbf8Avrb/AN8V1qXoiiSxlcPavApdF/gJ+bIrEt1VpWYIytEvlMzf&#10;xv8Aedv++vl/4DWldooS1lVCFeFfmYLzt+X+lbw02O/CUbqMrW5m3+GhFPbm3YZZWRhlHXoRVK/g&#10;iuLSVJnZF2Mu5f4dy7W/8datCCZUHlzJ5kB/NPdKZPFCjoJJENvM2wPu+9u/h/3v9mtEelipRlRl&#10;Sn2PNNS82C9lhfc0UKratt+Vl2Vf0zS7ZrdmC/aJQu93dG2orfd+X/d+b/gS1oajqN5qmrLaW9nm&#10;KSVP9IWHe21m/wDQa2PEMQ0aX+0IIWe3kb96rJuSL+Ff+A/drklyXtc+DxdHkuqbvY5+4i1a6urd&#10;hdpM6N8rNCi7P9qrVhql9Zaj5N1Kbm3YKzvtWIRLu+ZvlqZluV3LvZN/9xNtauk2bJDLFPbq0T/M&#10;zSruZv8AZrpwyqTqpXZ5ftJx6nL63e2Eesw6hZTTO4+ZpYpejf3drf5+aurFs12HNmV06LCbUiXf&#10;lsKxLbv4fm+7XCeKfK/tuVYYkiUBV2qu2vQNKmWVJVH3QsX/AKKSu3CRjWryjJaHZHE1adP2kHr3&#10;6lcTsk32S7TZK27b/clX/Z/+JrPngmspdyJL5SLtS4i2s0Sf3GT+Jf8Aa+9XRXdtFeQ+VMv+6y/e&#10;Rv7y/wB1qzbV333ELyrKsL+Ur4+Y/L/F/tVWKwroSvHZn0WXY5ZlFUqt1Napor2Gqfb7pLe2aG5/&#10;vMrbGX/gDVahv7aeVoUlxKPvI6sjf+PU2bTbSd2cwokv/PVF2uP+BVHJays3zrFcqPu/aF3Mv/Aq&#10;4ro9Oc8wwnTnj9zL1FVNPt23ysZpocIzslw+5P8AdVm+ZW/+yqyj7jtIZW/2v4v9paOXS524XM4V&#10;Xyy9yXZjmXcrKG2tt+Vtv3aBsZmcfxf3qKP4tpb733V/z/n71XCT5GkdlVJTU2I6K6MjruU1HYp9&#10;m329xMkds5bypW5xK3t95l/vfw0938rZvVtzuqKqio7y38+HaVZX27lVvvf7tZShOFqiPKzPC0sR&#10;ByhrNf1YlO+J1im2q/3dq/3l+9Rzn2qO0uvtlt5U7IktsNrf33X+9/vL/F/s0CR3iR2t7hWdd2wx&#10;MrL/ALy/w1o7TSnDqYZXmcfZuNd25er7f5olpkyq2zP3VlRv/Hlp0nmxOym3lb/aVflalZJXRcxM&#10;qv8A7S/LThF82zOnF5lhalGcOZbMuuu5WU1R3KE2/wAI+6275T/n/wBmqzNeW6uywOrof77bn/4C&#10;q1UeeaeJFSLcu7/l4bdt/wCAr8tdeJlCo03pY+Xyp16E70ouXpt97LFneP5vlQNv3N93bU76jaSq&#10;yTN5Tr/C6t/n/P8A3zT3S7Vw/lbf+eS7aZf3/kQLK+7zWZU+WHfvb5fmb5l/2q5+aCVr/h/wT18T&#10;PHpe2nBK3nqTPqKsuwfe2/wruqpc3CWqK1zcJbbvuq67qbZ38V7p1xcvc3CeSy7lghRH+78y/MzV&#10;DrF7F/YkTi3hu3WXbDbzMzvK33f4du77392sZ16S8/w/I82eZ4qa9y0V5b/ibemSW629veiVbgz3&#10;IhtwnCs33s5/4C1WY/DUkNxObaO1RZZmlZneRzIzd+NoWnaDbM8mnvJBBaRW3nILZV2q77Uy6D/Z&#10;beuT2rquK2ioy6HqxrSUITlrK25yGtafBBMtrEHhllheZZYnJwFdBt2t8v8AHWJeeH4dSvYrSTUD&#10;LcQ/O9ojKrN/Ev8A47Xf6poVpqk8Esk1zHJCjoHt5dnDbc5/IVVHhnTItTu70wmSS62Z34Pl7OAE&#10;9KfIuyJqqNVfvJyWmy2vf/Ir6HDHLe6lOlsYrqORE3l2OY1UMnH8P3vu/Wtm81JLe3gnILEPt2ju&#10;cVUttO+wT3lzaTTNNcy+aVmfcPl/gX+6tTM0VwqNsDAnDxOu7Y2PusOwrSHwhUlGUvd8vyNWzuku&#10;7ZJkBCt/eqzXPSQXAv7Wa2m8i0iVt0fRUHfK/wB7mtHT9WttS3eQWDr95HXDVZmaFRwf6hPpUlRw&#10;/wCpT6UASVmyRM9zPs5bcNy/gtaVZM05t7u4cYzx/JaAAW7m5iR/l+beR7CtasyzmPmb51+d+FP9&#10;0eladABRRRQAVUv/APj3/wC2if8Aoa1bqpf/APHo3++n/oQoA5Twz/yUzxz/AL1h/wCiK6vT/wDj&#10;0H++/wD6Ea5Twz/yUzxz/vWH/oiur0//AI9B/vv/AOhGgC3RRRQAUUUUAUE/1F5/vv8AyrmPAU6R&#10;eGkLnau5q6dP+Pe8/wB9/wCVct4Q0uwk8MWU9zCpDKfmZzgnc38NXCSs0yJJ9C+lrol3qFzI1pYs&#10;5YZlCLuY8H5m+oqzZaTo0bJeR6dZi5f5i8cC7tx681czbWiqkFuo3dF24/TrS232gwwrH/qlTr0z&#10;USUL6I0Up2s2cPrWky3Or608EWN32aVFbjPDI3H4LWKmlXNvH5he2F1v2JE0y5j/ANtv9pf4V/vV&#10;1vii6uYLiS1WfYs1oH3InzKyzIPr0eufS3S3d03b33fMzfe/4F/drzqsYKp5mNbBxxFZVJaRsrv0&#10;/wCGHtZ3NuiIkXm/ulfdu3Z/vNVy+aYadpReNwmJUfav3cPVYXkc0CgCKT5GRv4lVlf5f97/AHfu&#10;1NM3m6TYjOWhnmDf8C+f+tEXudUo1ZcihN8j0Tsvw+Ry9xdaxPdvb2Vsqon3pbjdtb/dq5ollqMF&#10;9El5FpkkDzK7Iyu21/4XXd/FWnTlba24feFO7OxZLDec236ldNSvre5S1+yW6LDLt2rC21drfNVX&#10;R9cvdRaW01rRyIX6Mlu2z/ddWrWugRcbz/y0Ak/Pmq/2H+0ZEt92GLcNtrlnSUUefWyb2dJzjJtr&#10;UqTy3CTTKLDUZbdW/dNCrbdv/Alb/wBCqD7TdvteLS9fK/3uv/stdZbaU9raNaFVZNrL8zruZWqt&#10;c2Mml6ZM9pviAXf8zblX+9TeLmun5nzkqCS5pI4HVdMlnvvPOkas7kKzb4nb/wBBWuys/JRVVEEL&#10;mJN0TfKw+RV+796sG4aWWWLVg+6VG8pl3Ntb/gP+61XLAQ3WnwSh2mXHyyvwxrrwOLVOpextg8B9&#10;evSg7Pc3qy4UVPNcLjzZWf8A76p6gqNod/8Avs05RtAX+7XdjMYqySSPpMmySpgqzqVGnp0Ciiiu&#10;A+nA/NUTIy/KN2zd/e+43/xP+zUtNbeoZ1+8o/76X0rWg7TPMzDCxqU+ZdPv+QqM+394mx/7tLu2&#10;/Njdj+HbuquLjDt5zbj/ABu3y/N/tbqtpC7xq+GXPZlO6tPZzjO8FdHPhsdTnh+WpJKWzuV2iZZV&#10;eB9nz/OuxfmX+792nO5T5USWZ927avzN8zf+g/NT9kuXXY4Tcu53VlULt/2vvUxG2vugb5N27f8A&#10;xS/7X+yv+zVVubae34nL9Z5p+ywqvLv0S7harNa3f25hbqyP91Bvdl/9BX/aqe8EYlVFeT7Kjb4T&#10;FLzKG+9+R4/OoJIlmiZG+61Q2UwlgaylJWay3SwDH30b769f4flauVz+xBWOCtgXQxEJ1XeMt/Xr&#10;oWy0TRbTEWZTuXe38X8S/wC7/s1G6RPCsRt4l2NuVlX5tvy/+PU6io1Po45dhf5BAiL0VV/3VpaK&#10;KDujRhTjyxCkkRZYmR13Ky7WpaKocoxlHlkYWuTtZpdvDFbxRPEiNFt2+bu3fMi/xN93dV7SpWv7&#10;n7ddFLW0ti32eZxxu27Xdv4dq7fl/wBrbVxdLstZu4Le6DMqMz7l+XG35vvfwr92s7X4Lm6tjo2m&#10;Iqp/y2f7iuq/Mo2t9xVP/fX3q5/Zxp+8fCZhQhh60uR6dP8AI6Lw7qp1D7GbaeR7eG9e2H/XPyuM&#10;/wC1xk++a7P5a818FhtBhiiE3nyXd7HG/lHCjKP8vPX7vt9a9K+au6hLmgddKTlRg32/Ukj+Xd8v&#10;ymo5W+dVDbsbqkCvt2/w1G6MrI25WraIwpkbKl9tP+y7N/wFlp9MeBJZVd0bft27ldl+WiIojplR&#10;D5lv8y/xIBn9O9Z1/bPZ2LRaUnkyltx2r8x5/wDQau/ZYv7kv/f16idnsz5u8tbj84v9r/aquYu5&#10;oWVw/wBki+1Onn7fm2ipoZo/JTnt6VHDcrIibmHz/cfs/wDn0qxB/qU+lMBPNT1b/vk1m6g0bXET&#10;4ZsK3RTzWvWdqBxcwe6P/wCy0AUhO27iJ/8AgXy1q5uiBtSIf7xNZ9a6fcH0oAr7b3+/B/3y3+NN&#10;iNzKjEyRjkjhP/squVUiBW7mjz8mFZR7ndmgBXt5H63Mw/3cCoL22RLRvnlPzJ95z/eFaNU7/wD4&#10;9/8Aton/AKGtAHKeF0CfEnxwBu+9Y9Tn/lhXWaf/AMeg/wB9/wD0I1ynhn/kpnjn/esP/RFdXp//&#10;AB6D/ff/ANCNAFuiiigAooooAop/x73n++/8qxfBFuj+D7BmydyN7fxGtqP/AFF5/wBdH/lWV4F/&#10;5E7Tv91v/QjQB0CIiLhFAHtVfT/+QfD/ALtW6q6f/wAg+H/doA4TxVrUT2t9fNBJ9nsR9nU5A892&#10;kTcq/wAQxtrirnxDbak1uiXDs23/AFWzasS/3d38X+9XfXlrFPrOoWa28dzFv3yReUX2FwjZbdxz&#10;tbpUf9kQ26K39nxQqG+80SpXj4ty5zizCnUqS9nDay/z/U5XQ/lhuF/6bM3/AH0q1uxyoumXaMCu&#10;HSXdu/vfJ/8AE0l6n+m742haLyV+46t/E38K0lvGk/n2hba08LBTjOGX5/6VpRvyHsxi6eBpvrFr&#10;87ENFAbcqsP4qK1Peh7yK+qXs9pDDemJZreNPKZPu7m3f3v90/8AjtN03XNPvGlaOKVWhVX+Z/mb&#10;5qram5ZXt5LiaGKVUZWifawZX+b/AMdb/wAdqhZTtFauk6M1wjMm+VF3N8zf3v8AgNZVpw5fe3Pj&#10;81xNalUnytpbbm1L4luFVWgsUfa2198u35f++a2kvFaxW9xtXZu+X+GvO9C8QXNxrFvaXcVs0Uz7&#10;G/cqvzNXf74fJlsUh+XYysyq21f4a4JwStY8OnOevMzn7/xC9nYalImZVk+4svzbd33qXQHWXRLV&#10;kiSJdrfKm7avzf7VUtSt9PntLq33XKHb95dj/d+b7vy/3f71WvDWz+wbdY3Z1Xd8zLj+Jq6qJ7PD&#10;c28Q030f5o1aKKK6j7gKKKKACjdtoo27tv8Avf8AsrVVP4zGv8DGyKGHzIG+tMa3h+9sUVLQrRM+&#10;yTft2/wf+O07NnJiYUY02+VP9X0RCkXzbSu1Fbdt3feapqaFwAKdUSlzGmBwsaEPN6v1Exxiqcwl&#10;tNQt9Qt/9bE/3v8Ax3/x5flq7TXVXGHAZf8AaqZLsTmOF9vRa67r1HTpFbXohgJe2ki82GXd1+ba&#10;y/8AAaKp2Nrf3zvpifIwV7i2lPC+d/cb/ZK/w/7NacOmXWmaHNqHiGaJZEBaOC2O0ucZCnP8R/ui&#10;iGqueThMz9lR5aqd0V0bzZvJj+Z2bbtX+9UjWmo7QwsWCnd80rrEP/HqxNB8QanrN7cPAkNnb2yb&#10;mS3XY7M3yrub+KuhZDqF1b3ctpbOsirLmQlnf5V9eMZqJV6aRy1c8nP4NChNKsG5ZLi2Rv7yu0v/&#10;AKDUcl5Y/Z2x9ovnX+Bka2if/Z3Mu5q6aOQrHIotFRkTPyKo71zesWVpq1xBd399cWbW/wA6L5qo&#10;y/xbvmrH635HHWzKvPRz/Qjhd9RMFxcTpLp7/OLKJNiBtv8AE5+Z/wAas3Fmb2xjRZVie2H3du7e&#10;P4f4v4am2wySsYJYvJdvkbf8rbqwG8Z2FrcspiuQ8bMrfIv/AMVWzlCV+Y76cMvlRXtpe911ZqaP&#10;p/2KWI3d0bgPfwNEB+62P86huc7vvfdr0sfKytXAw239r2GnajZJi3e9t5sSYGza/wAw/wAK7xut&#10;dNDl5fdLrQowhFUfh1JfNXdu20x33bf7tNpGroObmFoHyyp/vUlLtXYr/wASvREC03zfLt+9TFiV&#10;Wod27I3/AHzUa+bu3bWpFleSzaIM9q33j88X8L//ABLU63vyI8BchTtbeceWf7rf41K7bvl+7/eq&#10;rMkqS/aINrPt2vE33XX/AOKqkxcxp7J2ky0+F/uqn9aq39pzFcLljGedzfw0W16rJnO6L+8x+5/v&#10;VoOodCjDIIwaoZkj5iqj+KtcdFrOtlmQuiQx7ozty7ncR2P3atbr3/nnB/32f8KALNVo/wDj/uP9&#10;xP8A2akzff3Lf/vtv8KrR/azfT/6lTtTPU/3qANI1QvruEQlA2996fKP94U2WW2Vyst4ruPvR+YB&#10;/wCO1E8to0at51uEMijAcbchqdiW+hznhNnf4jeOGcKpLWPA/wCuFdfp/wDx6D/ff/0I1yPhV0l+&#10;I/jh43DoWscENkf6iuu0/wD49B/vv/6EaRRbooooAKKKKAKMf+ovP+uj/wAqyvAv/Inad/ut/wCh&#10;GtVP+Pe8/wB9/wCVYHgy88nwnp6GFyNh+YH/AGjQB1tU7UCOSWDHCHcn0NINStScGUo3o6kVIhVr&#10;rIKnKdRQBnS6BYvqLX+JlnfG/ZKyh9vTIHWluPDej3bo9zp1tcPGmxWmjDkD8a1+fQUmPYUuRD9p&#10;LuzgtasIrDWTBZWcENsbB5AkMQX50kU9h6Max9PnS3vkuJvtBw67FZfl+b73/oVdf4mvbDS5LO7v&#10;ZvJjd3ty23I+ZCeT2+7XJKba5sTcxXsJiHz7wjv90j+FR6la46sbTOipRdejdN6LTzYixPbkwyAh&#10;42ZCD9adWncm11PUp7iO4uUDqrKr2cox0X+7WdcNY21y8Mt1KsqtsP8AoczLn64qeWx6+DrKNJQk&#10;ndLsNW3huJoknj3q25Pu5+8u3/2ai2eJtrOvyv8ALuRtrL81LcyWNnGs016iRbym5oZPvL97tVu/&#10;trTSmlhjt5rlg+QqJu68j+dYVkuX3jyszlSTcprSS7dUULPRrBbOW4FjC00LvLFMqLu/vL8y/wC1&#10;VrU7ffbPdpczRHYu5FfarL/lqzrPXNVEsdvFchQ7Kijyhhf/AB2uptY9Ra3+cJMfus2wYb8641FS&#10;0ufJwUKytG5zVm0MuhXCOybkZtm7bu2/erN8LjZoywt9+N3Vv++q6+ZYokcm2hZk+8vlD/4muR0u&#10;9ebWNSgdk2LsdMIqfeX5vu10Yex6uTSVHFRg+qa/U16KKK6z7sKKKNy/3loIc4rcKCu5fm/9C204&#10;7lXLBh/F92opHZNqojSyuu5EX+KmuZP3TCti8PCD55KwuCDlWdv9lcH/ANCpm+JXZt6bv++WarsU&#10;Ell5M2pTQWcsi7khZfOI/Bf97bVIslv+9gRLdm3NuZd7fe+Xbu+X/wDarpmpTiox1fXufOvGyqV+&#10;ajD3F379yWMTSY8q2uJFP8SRMauDTbvGfIk7f8sz/wDE1QnilvG3z3N2zN/D5rJt/wC+al3y7ETz&#10;ptqLtX9633a5nHllyyPWhLGzjzK34lv+zLz/AJ4Sf9+2/wDiaqXb2OmxebqWoW8Kr96BHVpm/wB1&#10;aVZ5lXb50u3/AH2qstlbLu/0eLn5m+Sj3QlDHSVrpfeX7nxFp0+lJY6JJKkbqSblD+9VvRv4gzf3&#10;qydRvb290iHSFvILnULZfMjklDYnXG3Zu3bmm/nVpYolfeEUNt27ttFvYWTaglzNF867WDf3WVty&#10;tWdS+/Q8bF5TiFDnvfuvIzfB90ss17DJb/Z7vbtliZNrbvmrS1KBo2S7S7+zwOi7UTcrfL8v3Vqb&#10;WfD82pSy3mmzi11Rl5lU4Wf/AGT/AHfl70251XRmtpLa6Z0lstouYmR1Krnr/tde1cModVseDKjy&#10;x5fuNKw1C0l3qlwD+5bd1GPu81y/ia40+4ldBqVujPDsXer/AO1/s1atXsbWZvLvNwm/dcxMuxW/&#10;iqhf6Xoz/vdYvPKdHZPlVuPm/wBmpVrXsYynKceWxn+VcrcaV5Wr2hR4l2w75djbfl3bdv3vlrUf&#10;wZbTXMt5JfRG4a5Z9m/5GTd/u1kx6W11/ZtxaxbbK1Zmdnf5tu/5f++tv/j1dZXZyKf4fke1leXw&#10;xMZyqeRlaVHLZavcxx3ttNawPEiQrLvZVEyfOydFb5m+b/ar1Y/fb/erzuytfs99e6hPbCJBa7d2&#10;zcr/ADoytt3fe+WvRH27maunC25NDogl7JRXRv8AQKY/3asBF+VqZcKqo1dS3FyjolVn/vUsq/un&#10;wv3aiDbW3CnNK7Ky+tA7lpHVulLUNs33qmqGXEruyYZdvzVDT5f9c1NqzORXkjdX86Bf3v8AGn/P&#10;Rf8Aa/2qmtL0bFPJT/0D6+38qcq7m21SKTSFbuyjdt/LqwGJf8KqJUTW4W7SUnCyJs/Hr/jVush3&#10;8tAsqMuzbKq9du2tHzU8sSZ+UjIpjJazxI32658sbshKlklJQs7eVEOpaqixFrvBJihmGNvd9v8A&#10;KnsRe+xA2nvcXcrx3D7n4Y/wL/u+9RL4btYTCJD5zebuDMPm/vf+y1ulorWIDhEHAFUpZHmmQLxh&#10;/uZ/9CPb6UhpWOY8KKi/EfxuEKlV+wr8v/XCuv0//j0H++//AKEa5DwlF5XxH8cIWU4Nj0XH/LE1&#10;1+n/APHoP99//QjQUW6KKKACiiigCin/AB73n++/8q5rwh/yKmn/AO43/oTV0qf8e95/vv8Ayrlv&#10;Cnnf8IvYbPK27G+9u/vNQB0CfK6t/tVZms4J7ob4lzs+8ODVFVuNy/PF/wB81eZJvtaK0w5Q9EoA&#10;l+z7VwksiD/ez/OorqFjbtuklP8AwLb/ACqbyZD1uJPwxTGs9yndPcH234/lQBnIsVqrbNse7+Kk&#10;jvxKqkM2f7qqaXyIt3MSsw/vLupIvllli27VHzL/AMCoC5PaKYrRP+mbuG+m6rWTjd5Q/Os/zHt7&#10;ndy0c5Cv/sHsa0IvmiZT/u1Ex3Oa1bVklvrjS0024vFMP75onRQN+V2/Mw+asm81KOKG1LjerKsM&#10;3lS79jL/ALXy/e/9lrQ18y2l63/EvvLq0nRWL2g3uHHZl/u4xWaNLjEpcIY4WbZcW0soY9FKt8v3&#10;W5auPExvDUWOjKVNKK001Kt3oN2dQ3WWkXLxrtfz0uIuW/3G2nj/AHqtXGmakb271FdPJlTS/Kie&#10;YL/rwzMAEyf9n2+WrNqk1t4nWaC+CpcttnincLvGxdmxeueTn/arrP8AgVOlRhui4Ro0EpU4rVef&#10;zuedapqN3qGnQT6PexR3r7jNBKm05VVZ1+f+7urAsNN1K11C0vrpYfKdWhleKVHH+z91m/ytevPb&#10;xS/6yBH7fMgNc3reh2tun2iztooIwu24ito8F/mBRtiD5sP+hal9WUPeRMKFGWIjVjdNart6fMyC&#10;21abksyBFZmf7qqOT/n/AL5ps5tTbzX8t0trYqzI6XI2XCH+5s9WX5lrn31nU9Zd7fQYms7X7rXb&#10;/LK3+86/+grRpHVm+JzTESm6VGNn+P3G7qEltps1o+oaz/Zw8o+ZbxQ+ZI75P8S/d+XbxWU17oc7&#10;p/o19fec6runvnTdub+781SQaBb/AGWJL1mu5UleVnf+JmVVb/eX5K0orS1h/wBTbwxf7iKtHPP7&#10;Nl+Jmsqxle06s/1/4Bk23iGF9lvp/g+3tlPG93eTHv8AdFa8OoavLMm/ZbW4iaLZbgI23Py7W+Zq&#10;lop89TZs7qORQi7zd/uX5EMNnFb/ADIrM39523NUgkcg4b5hK+3d83y7mp1Mh/1St/e+b/vqrpe5&#10;B27o7lh6UJqnFWVntp2H/wAKqWZv9pv4qKKKzlLmldnbGKjHliFFFFBQUUUUAWIbyW3RlVFf5flV&#10;m6Vh3F+G1O3Op28cDDH2O9RmleDb8zKR1f8A4F07bq1OgpGihfd51vFKrf313Vk421R4WZ5X7X95&#10;S3/P/glbUP7cltWt7MCG98nzRFbsgSRPu71Yf+g1g3eqajYC0+1yysVdWuIG+bcu35l2tUmnazfa&#10;DItnqiM0KEFZYuqL/sH+nQ1u6xp+mapHFf3SFpZlQRTRNtEzfNtTb/z1/wBmspwe6PjqlGUZdU0V&#10;rJ5bjQWmLwypudX2wqm3a25VZdq/3qiiv72V9qKjtt+7sWtLTWhtbdoZ0W0ik3TSpcIoZN397d/e&#10;/wDiaqJqMy+a9rbW7ozfLKkKtuX/AIDWVWco9RSxNWmlySa72Nu1nsdSs7i2W5xJJaspIiYsPl+9&#10;j+L/AHa7NFbYv3m+X723bXmUVxK51C3ht4Vd7WZUWGJd27Y21V216Pp6ONHsWkUiU26bweobaK7c&#10;G/dPYwM3Uw92+r/JFlWdV2imvuZWz/dooruNRE+6rFd1Ltb0pF+4v+7U3lJjcWokAlr/AOy1ZqKH&#10;aq7PRmqWpe5aKs3+tplS3H3laq/mp6iqiQ9wlZkt3cfe+VV/4E22rsEcVnbRwg/Kg21nyNvCwqj7&#10;n2vuZflVVargJdSyQPu9ZuKteY9eg6YrcDYE3Y5DehrLG6yuNihXx8zxbv8Ax5f7v+7WoLaV1xJM&#10;U9oflqO5ihiaBPuBnOSOp+Vqd+wW7k0dtlxJK/mOPu8YC/SobyaPay9TGQWbsn+P0qBJpFj2ZZQf&#10;4V+8P/iasG2RbZ3fDtsYjb0H0pFDIonucTOzYK43DjeP6D9asSIqPbIgwqvx/wB8tTrT/jyg/wCu&#10;a/ypJ/8AXW/++f8A0FqAOS8M/wDJTPHP+9Yf+iK6vT/+PQf77/8AoRrlPDP/ACUzxz/vWH/oiur0&#10;/wD49B/vv/6EaALdFFFABRRRQBRj/wBRef8AXR/5VzPhNlTwlp7v8q7WXd/wJq6aP/UXn/XR/wCV&#10;c74XihuvBOnwvJtIVn+5u2/M1AGssqM6KHXcfmX5vvLV3z45b6Dy5Ef5H6H/AHao/YoPMjdZvnjX&#10;aP3Pbv8A0/75psEEVpdQyRtM4C7XyjUAbtFVDfR7flWQ/wDAcfzqM3+eBC35/wCFAEU4xcP9aqvl&#10;biJh91tytV85ugsipwV+VqoTT26PsL4dGXd+6ZttBJKUZ4nT5lV127v7v+1UlncI0KsZU+VVWX5v&#10;uv8AxVAjW97LKm8uiIvyruT5tzbqsQ20MEOyGBEXOc/eoZQ03DTzbIWwv8TN92sO48OXJ1O4ura4&#10;QpdsjXEcgI5RNqlGX7v/AALdW8XdXVQ21d38K08urN93d/vNWc0pR5RwqWuu5y1xYX0ut6f5EQgg&#10;tX3zyyzDEm5eiYX5tv8Atba6Euyt9+Lb/s7marSMnysFCt/dp2+JlZTt21MIqGw5T50opWSKZaLK&#10;sHJ+r4/8dWnBkz8mxD/sfLuqVfKWXcEVV/2Vom2y7dvy7a0uZnB+JtPt7yVrW70vUEE16kpuI0R4&#10;2bGxN5U7tmD3HFQC2WzzBHGsaxnGFXatdVqd/HFo94zpvPkkKu4rvY8AZH3dzVzMskUkv7sr8gET&#10;qpztccFfzrnqw5Xqexl/JN89rN/jYjooorI9kKKKKACk27PmT5dq/dX7v/fNLQd21sLmtKbfMkc9&#10;ZLlb7Dm+9Tac33qbWbNohWqum27KrCV/++l/z/n/AHtuVWrHv8pcSt91f4v/ALL/ADt/750pRUtz&#10;hx9ScEuR2Imsoldvmfb/AL3+f8/+O0XXZK6f3W21ror95f8AgO3/AD/lf++aF9EUmVi27ctXUgra&#10;HPgcROVS03cq0UUVgexeJFPb290qpcxLKisrbWXdVC6Szs7lYLW5mvGuUaKWyd1dP7y8L91l/h2/&#10;Mtabyon32Vayrx9P+0RXYult7qPdLvVN7Oiq25Nu7b839771YVP7rPms6hSnDnjJKa/I19Ss7S9t&#10;Z7SQiKEqsLT7fnh2qv8ArWb+FtvytS6bYPpFlDZwsXWHdt3/AHm3fN81cjo3iOxsDK72ktw8y7XE&#10;su1Zk3f3V+VWrurjULnSZDb2C292I2fzZShP2dAqlVOMturqoqjKH7xXPnKGDli52pys+plQaRf2&#10;if2gNq+TC8p3blYfI3/xVdbY6neTaFZyx+SXktY3CurH5igPzHdmqWhaHbf2Lv1GHzr29SSWcHP/&#10;AC22714/3VrYisTHEkUSbIo0VEX0A+6tdOHpQhrayPVWHhhqbpQbbvuTWl4t1uUpsmT76bvu/wC7&#10;/s1a+X+7WXDYXfn7zcNDhcfLhs5/3vpVnyNl2iGV3V4mZtzN95WX/wCKracIX0ZKcvtFjen3d6r/&#10;ALzU43DNtUROyr/dWhYlT7qLS1noWBlm3syKg3f3mqvcwPcKuZmVl/u/KtT7W3Kw+7/FRSv2AhlM&#10;USI0u98vsA2s5J2+lKs6L0huV/3bdlp7/wCts/8Ar4/9karNzPsOyPhv723dz6fWjccUVoJlbUEL&#10;LKmEI/ertzVr7Wnmhdrrju+F/nzRDaMrs7HaX6gdfzqeO3ii+4gB9e9UUVEluZWZdhVf4WRf/Zm/&#10;wpqwgMnnsd7thSDlv73X/CnT3Dl2VDtUcVUlYtLBlm++38X+y1AGo6QeV5eURfY4xVGaR7a3kjPz&#10;oyNt2/0qNtqruO1f96mPOz2rNHvZUXcrbflXbQBr23/HrB/uL/KmT/663/3z/wCgtVGG5mgjVGjL&#10;56bjj8f92p5WuHmt8oiNvbHOf4TQBzPhn/kpnjn/AHrD/wBEV1en/wDHoP8Aff8A9CNcj4WV1+JP&#10;jjeQx3WPIXH/ACwrrtP/AOPQf77/APoRoAt0UUUAFFFFAFGP/UXn/XR/5Vj+CII28I6e5QFth6/7&#10;xrYj/wBRef8AXR/5VleBv+RO07/db/0I0AaMzOkzKu1f7vy1FI7snCruX5l+X+7U14MXH+8tQo21&#10;1agCaaVkl/d7Qu3+FajaV/77VGrblXP91f8A0GigC7YPvtsf3GKVDC3kRMp+ZjK7f+PVLZhYy6f3&#10;tr/p/wDWquW/0i4HpL/7KtKQCszN/E1IPlK5Ztv8X+7S0bd3y+tIgiZFRv8AaVtv3qlpJ1+T6f8A&#10;oS0tEhozIvE+g/afsJ1CBrhnYKict+lIviHSpZYYhcOsk7BYS9u6ByRkDcV2521lW9vb6fA0VqED&#10;xzSo7om1s7t3X/gVSljPIiXGyRQ4eMzrkRupyr/8Bb/P92Yxla50zjRT5bP+vkdJ/F81PdYtvyNW&#10;VpWom/hlVwyXNs/kzhl27iv8ar6H+GtHcq/xUbnPODpvlZn3mkQXsMKu7jyZ0uF2nujblWsC70+7&#10;trq8jurxpoCnnW5kX/VKPvqXx9OprrfMX1WqWp2Fvq1l9kumn8kuGIidhv8A9lv9lv7tE1z6nRhs&#10;Q6cknsci6GJ2R/vCmVamsvsp+x+bGZbWMbI/m3mHdtQ/N94/LgtVdkdVViu1W+7XLKMj36deEna+&#10;o2iiikdD2ELbWVjuVF/iVvl3f7W3/wBm/vUbfnyzbv7tabwKkG2CLdM67UXbubd/u1nxfaLW3Rd1&#10;vFhmX5m+Zf8Ae3NVwxHPT91a7HzVbNYU5axbX3agVZUZyG2ou5m/urTYv3tu1wP9SP42Xav/ANl/&#10;wGpZrqa4Z7fymVivzMq7VVf95v4f92q/kXbMrMlof95Wbb/vf7v8X92srwh/El92plLNsXPWlDQh&#10;kvUTdtSV/wDgO2tW5uZrKy87yg6qyr1bd/n/AD/drLmXUEvUSG3tngO7c23cy/3fu/3qvzT6g77R&#10;9k8oqvzbtyfd+Zv93d8tT7RL4J/gcNXFZhWXvxf3IsQz3F1aJcJKkKld23Zu2/8Aj1RXdvqFxYzC&#10;G4Dy7CYVMOz51Hy/99fd/wC+aq/aNUVdqeSvy/dX7o/3v/ZqLi41OKTT5UubdXfaz+duVF2/Nt+9&#10;SUpTfx/gYPEYinbmTXysc7qC6/ZaXdXk9/bxywbN8CRK3ys33tzf71O0f7ZrWmRCa4mNwpbywBtW&#10;TccYZv8Ax5a3tasGlu/KiM1xDN825SvzD5dvO35vmp0ejXDwor3EMWz+FpmZm/75/u0Knyq83uYV&#10;amLq6XbXqzA/s64SxdbSLzrgttWJm+ZP9rczfN/u0yFVubW9lmvki2W7w7djM0Lqys+1v4vlrqf7&#10;StLW7aI2jC6Utu8pNisv8NZVpapeSyxGyhiWaZm3ur7trfdbd/3zThRjCfv7ephHDVZNLqZ1hpNv&#10;eO01tbO6O3lfN95W/wB35v8AK13djY32nahFchU2XClL4tIMpsH7uT/2U1lwF9LspfIWUKvGxywy&#10;zN8275v/ANmjTtftp7iWLUoEmt7ldhZdrrj/AGqUcTHn5VsdmGksJV5ZddH2PQERW3N+dEiLs4+W&#10;sDw7qErJLazsryW/+qbGPNt/4H+v8J/2lrYeWVv7u3/ervj72p6k1ZiVRvpfs1za3DEiJd6OQrNt&#10;yP8A7Grnz/7FOR22Mh27v4qtOzuYy1IrW8hvEZ4H3qrbW+Vl2tU271qhZKsFxdQ71ZzK0q/N8zK3&#10;+dtX6qcUnoCegjt8v/Alpf8AgNI/T/gS0VHQojuG2tat939997+78jVZhtjnfvZSfu4/9CPuarXE&#10;TMsWHVZUlD/MMj7rfLT/ADr9uFkh/wC+G/8AiqZUQmaZJnQXMvH0pgluV/5eX/75X/4mrdqi3drF&#10;cSD53RScVL9jh/un86oZmbJf+fh/++Vpjo/mwKZWbL/7K/wtWhJaOHPlr8v1qvNby+bCpHV2/wDQ&#10;WoAalkVbcITu/vdatOhTSZ1YYbyn/rVmBCkKoeopt4M2NwAMny2/lQASQLNAEOOBw3oapxu63FvE&#10;6n5XOGx0+U8VoowZFKnII4NUr+MvLCI+HJYfex/DQBzPhn/kpnjn/esP/RFdXp//AB6D/ff/ANCN&#10;cf4QkaX4i+N3fbuzY9P+uJrsNP8A+PQf77/+hGgC3RRRQAUUUUAUY/8AUXn/AF0f+VYvguES+D9N&#10;JeVfkb7rsP4mraj/ANRef9dH/lWV4F/5E7Tv91v/AEI0AX7y1UMn72b/AL+tVb7Ov9+X/vtq0bxH&#10;cptXdVbyJf7jUAU44FaJG82X5kX+Nv7tSfZ1/vy/99tT7WJ2tYsIfu7al8iX+41AACtpJGVZpXmU&#10;IEL5/vHPPao4y3nXEkjRfvHUqEfd/Dtp0kWzUbeUhd3klFz2b/O6mvLDB9+VE/4FSkJkm70Vm/3V&#10;pu5s/cdatQ/KrKabMq7d38VTzCsRM7NE4K/N95aRdrKrUqbd6sf71JDE32dWLf7LUdBHMPFImqas&#10;7g+TJNE8WQQpzGN3zH5W+7/DULtMs4jLwR7iAnnSAM2fu9/9n/O2tC7ivY9ZmZLa5ubeeBNmxl2o&#10;6E8fM3GcrTtJ01otVvrq6sI0ZvKMbuQ77gmD06VPkj0Lw+OVnov0RhpfmDUYryGG+vJwohb7HC5h&#10;dN3c42sV+bFds8Sg42rUpkPYKtRs7K2/d/vfLTirHNXqxq2srWBV9Fp/lPt3babub1pyvsRlH3v7&#10;1MwMrVNJF1Pb6hHHuvbbdsX/AJ6I33kb2/rWBc2yPfSWVveWrujt+6MmJF4X7w69q7UTnb/tf3qy&#10;tR0HS9WZJL60WR4vuy7ij/8AfQwaTvayOmjVjGcZy6Xt8zm/sTCTDMSg6mNCcfnineVZ7kVUnd2+&#10;8uR8v+8v/oVb+o6Q8lon2bULmK5jyUd3yp5z846EdqxHgjitzc387WqwDbMkSEtvHzYQ/wB3vn/v&#10;quSrCd/dO6pjHKk2nsY9zqep3mqJZWSxQ4VhK8KMW2r/AHfm53Nu2/7PzVo22n2lvBsd2vrhzu3u&#10;+URfqq/+g/eqG1+xKsl5aWP2T7SPnZ5XZnRfl6n7n3v4fvZxVjAMvRlk3fRgwH/fP3f++f8Aerkq&#10;VLaROHCYK0faVdZMsSXarKzLbW2N4bd5YZfl9/8AZ7t91frTVunkIAhtlyu0t5S/3t2Fb/x5Qfq1&#10;OMe6yRIV3fL8rKNm1f8Adb738Pyt97+KoU2b5BJ8vDM6r975vvK3r/vf7W1a5/as6YTg4vuvvFN4&#10;VR5Vhgz975ohg5+XIb+63r/F2qXzVTfDuVm3fKyqit8vzf8As3/AagkRHlZYG2ys23c38LL/ALP3&#10;W+X/AICtMt4rdl8qSFNqMu35fm+b/Z/h+b+GplNnPiJ1eZci03FmNxHcq6OFU7VaIIAP9pcf+y/8&#10;Cp13516ifO6qisquq/N/vf7S/wDoTUNb+VlEDMnzbm/2W+8v/wBl97+FasbmRIl3su5fvf8A2P8A&#10;DVRqTjqmZzjDkTtzN67kASJbS33SbSrFGkn+V/8AZ+bbt3f+g7f71KsttE3mo+7d8yqjf7P92oLl&#10;xLhlbP8AvfeK/wDstV66Yr2kednpUMDGpSXRdh1xI80zytK/zrt2qcf7NXbBd0PPzbX+8/zfdWqF&#10;ORSzKg/ibbWk6d42N8RgYey5Y6eZsFUdlUsu3d/d3f8AjtWp9CtWtJnhcHcn7otjYv5VjRfulR3d&#10;Wxv2/wC791vm/wA/3VqG11d31CaxjfZcRDcqJL1Xv/sr8v8Ae+7/AL1ee4N7M8h4ajGKTle/4jNN&#10;vdQ0tRb7suH3wBycSNt+aJvm/wC+f9quytb4anYpc2ff5XR+sZ/iQ/3WWucuLNZ7TaFRWC/L8u7a&#10;3+997/gVVdM1+WyjSTbvYuxubdUC7guC84bb8zqMfL3r0MJiPsSOKhUXN7GW/T/I7cM3yK67Xb+H&#10;bTiq91qKzubfUEhv7SRZonU7HX+P/ClSd5U3TKq/7X96vS9DonBrRiS28UrKzorKP4f8/wDAqq3C&#10;TWti7R3G3y1ZkXYv3f7tWrmVIIvNkbait8zf+O1WtNt/aOGeWVJHdcNxxu9lXitoXtd7GLtt1Lj/&#10;AHKf935j9/8Au/3f/sqax2LlD847+lKq7ayLDbuZF/vNUuxkdc1EzbXRv7rVM8qsq/3qQRH6Z/yD&#10;Lf8A3BVysm1iSC6hSLesexvlLsw/WtarLCq0/wDx8W3++3/oJqzVaf8A4+Lb/fb/ANBNAFmkPSlo&#10;oA5+CPUQzYWbyiPk+f8A+yqG5g1Um1RZXWYNhn3/ACt8vauht/8Aj3T6VDcf8flp/vN/KgDk/DH/&#10;ACUvxx/vWP8A6IrrNP8A+PQf77/+hGuU8M/8lM8c/wC9Yf8Aoiur0/8A49B/vv8A+hGgC3RRRQAU&#10;UUUAUY/9Ref9dH/lWV4F/wCRO07/AHW/9CNaqf8AHvef77/yrG8FLN/wh+n7HRRsbqmf4j/tUAdP&#10;RUGLj/npH/37/wDsqMXH/PSP/v3/APZUAR2C7bNV9Gf/ANCNW6pWqSCJ0MijDt91fenPau4/4+7h&#10;f93YP/ZaAK3lQXYma4RWRJsLu/2fl/xqVXtHRreBdy7duEXj86lSxgRNpTzO/wC8+ap1UIuFAA9q&#10;AMm2Z3t0aRTv+6y/7S/LUtJcadvFxLFNcLI4JCLJtXdj2qCK83NEklvcxO67cvFtXdt/vVLRLRcM&#10;W6Ldu/2qhbcjugVmUFqkV227f4ajDFriX/gLf+OrSiIYd7Kvy/xf3qcyv/eX/vmnOvyN937tKPmp&#10;gM2t3dv++aNi/wAW5v8AgVTpFu/iprKqttpBykX3fl+6v8NO27v4manvE2znatMVmb/eX71MAaJe&#10;6/8Aj1ARV+Ybdwop7Iy+jZ/ipcwAixfdD/7rbfvVmappMF+Ul3PDdJ8sVwh5Td7dCvs1aH8PO7b/&#10;AOg0MrMq/wAW1tzMtFrlwm4O8TlJLOPRYDJq8wjhjIxexIfnY5GSgzs7e3PG2teXS9PjtFlQfIAP&#10;uHIf0rTdVniZJFV0P3kf5gayRpU+mwTnR5kQtylpcn9wrfL93HKDrwO5rz8Tg3PWDOlV+dWvZ/gZ&#10;qbFRYTtX5dzLuZvl/wB7/gVVpWXe5Db1DFjn7u5Ryv8As/L/ABfw/wC9W0IdS1B1a40xIEQfKBcj&#10;JPH+z/vVEthfw3chXTLSaJsoGluRymf7uyuWOEqb2FThyTu7fejBh824R4p4mVG2ovHysv8AD/n/&#10;AIE1SxMlxK6wNuiRtq7mb+L73zf73zf7X3fu1uXtxHZIhk0G5mcu6j7MqNj/AGuoxuqG3u9IuoTJ&#10;NaXOnuASYpojC5Uew+9/9eonQrLoElUsnHX9fuKbbovm27f++mojaV9zBlX5fvbf4W+bd/8AY/8A&#10;Amqe4utMupQLC+gmbGWihnBb5f8AZ3fpSXdlbWcaTXGpwWu/7izMEUv97DZPze/+7UKnK3wipUkr&#10;qSs/Qq3EZuLRbgPHsG75ncD5f4uu3NZCXtkfl/tC13AMeJN/ygZbp9K3JPKTXtHsibe7hl+0K7Mi&#10;Pu+QHHt/urXTw6Lp1u26Gzt0b/YhAr08PS9w74YpUIKDW+q+9nCyyafbXJt7m/2XCn50jtpXx/wI&#10;LWrBBEkIu4ftMwx5QWO1fd8wz9049RzXVEHzX/3qNx/vGtnQi9zkxGL9qrSv9/8Akc1babLO74tL&#10;q3G8bXdUXA59/wDO6qlnZXzXMKy+HJIhu2vO13D93+9hfvV2FFT9WpHK5xas4ppbb6fic99kvohG&#10;sGmQHKb3827xsdidw+Vfm/h+b3qS60Ka8gt2nt7NJreUTQtvc7H9eGX2rcX7xpVlXfsL7m/u7quO&#10;HhHZCjKH2YoydO0/U7W982fUIHtip320NpsBY/xbt1aNzAt0m0t8v3m/2atCdPmwm1qi27fmZmX/&#10;AHfvVqlYqc3N3ZXuf3OlTMnPkxM//fPzVOkqyxKyfddfvf3qa8aypscqBn7v8J/3v9qq6W8VvdRJ&#10;CixKqN8i/Kv8P8NaactjB3Ui3Kj+Uzbf4aP+A06afdEyhf4af5W7bsb5W/vVHQv0ItjPtwv8VSeQ&#10;/wDdqtG32i42mFvKhkZHLEYLfLWj9jt/+eK07BYrKrJf26n+49aNQR2sMT70iUN61PVFBVa4/wCP&#10;i1/66H/0Bqs1Uuf+Pm0/32/9AagC3RRRQBFB/qVqCdgt9a5/2v5VJE6pFuJwoZv51Rkf7VeQqVYD&#10;5tvp77v8KAOd8LOsvxJ8cOn3S1j2/wCmFdbp/wDx6D/ff/0I1yPhVBF8SfHCDdgNY9Tn/lhXXaf/&#10;AMeg/wB9/wD0I0AW6KKKACiiigCjH/qLz/ro/wDKsrwL/wAidp3+63/oRrVT/j3vP99/5Vzng+W5&#10;HhXTUjlRF2N/Bu/ib/aoA7GishZLvPN234Iv/wATQXlbrM5/4FtoAtf6m97lZ/yUgVcLBeprCdfK&#10;xIC+Q6/edv71TuzM7Zb+KgDVDBuhBp1UrJuWT8au0AFVLq0W5VAXdGR94ZPWrdVprqKEgO/zN91R&#10;yx/CgCrJBeRHMZhlX0ZcGoVdXuMeVKrv8qt1X5fdavebcuxCQiNP77n+lU7aBpllUTOjo4+dMenp&#10;QAfe42O1O+dUXMTVHFKYpvs87u0yFsOU271+99KteerfLtqJE8pCHdeitTWdmblGp1PVHZdwWgQz&#10;z93yuj7ajd13bkR/+BLUtJTuA0O391/++Wp4f+Eq23/danI+3r93+KrH3V/2aQ4xKm5f722mr99m&#10;Rv4fvK1W1b5arH/Wv/vUwaF/h27V/wB7+KjavyqG2/73/wAVSUrUhDjK23Z93/Z/ioRlVtx/u/xU&#10;zbu3ey/K3/stKu1mXP3aBh8tSiRW++q8dPlpHVFdVDUkkWxd27dSHeUSi2l6Y7tIbC181+Gdohkj&#10;61G+j6eJ5Lk2cTylT8zDfj6Z6VfpDuVGx/dpcqK9tLuyGW1tCUkjtog4PyuEAK5wG2/8Bq19oTd9&#10;7/x6mIiywsrLSBUVdoXbV6WIc29xS6u25NrL/FTgvrTB8j702tu+Vlb5alR1dtkibGb7vzfepcoE&#10;DypErM7KqimGfcyqi7mb7rfw00WDMkqM7Pu+9/8AtVKkUSIuG+7/AAr83/jzUDsVd01xEyn9027/&#10;AHanSzXcrn5XH8TfLuqTf8/yIqN/e3bmpfvNuP3qZIHanzhN7H725f8A0FalhVH+bczN/e3U35nZ&#10;U3L/AN80x4HifcHwzf3VpbjFuEVWTH96qtys3nxTQrv2KyMmfm2t/d/75qdn2t8//fVOWmnYl6mb&#10;NPdz3cNulvcwxMWaV9qdNvy7fvfxVYt57tLpoXWZ4vlZHbaP95Wq6n3Vz93+Fv7tN2/Ns2tvFXzq&#10;1rC5OtyOw/ew3Ej7VZ5txRT9w/L1/wBqtisS0SWSS9kiddrfLsx8pfHJ3VoQTyTRZAj3Dhlz0b0p&#10;GpbqOfiB/pTcXHpH+ZqOfzvIfIj+6e5oApbm/vN/31UUrN5sPzN99v4v9lqd+9/2Kjffvi+595v/&#10;AEFqANe15tkzUjsEQsx4FVrbzvsyY2VXaSS8l2JsKDncrfrQAkCPcu2W/dh26duf506eWOG/t0Ct&#10;hFb7op1gkiJMibMLKw71UvWddRj34Pyt0oAw/CzrL8SfHDr90tY/+iK63T/+PQf77/8AoRrjfBzb&#10;viJ43+VhzY/e/wCuJrstP/49B/vv/wChGgC3RRRQAUUUUAUU/wCPe8/33/lXPeDEdvC+msB/C3/o&#10;bV0Kf8e95/vv/Kud8HRTv4U097c7G2MCzn5T8x/hoA2X+V2X/aptRG3fzWEjzb2b+Jtu7/dq3Hpv&#10;y/O77v8AfNArlS4/1X/A1/8AQlqdm3MzetPuLaOOHLxBhvX3/iFOH2FusOz8KdguRI7Icg4NXDdh&#10;tywqZnHXacD86gP2NekW6p45VRQnlhE7bRxRZk86FMMsobzpfkP8CcfrU0UEcKbI0CrTxS0iwqjZ&#10;J5c0y/j/AOPNVfUrm/ilQWkIdduTmMnmrsO1ZpcdT/8Ar/8AZqAINTizDHOvWB9/4d6j+Xdx92tC&#10;SNZYmR+VYYNZkVtfoqxg2yonygsC7Ef+O0mJjqmSVdnP3qqxO771kCCWN2QhRhf9lql+71qWidhK&#10;KWigA+apETcvyLtb+FqjoV9vyq3zN92gCdN/zLv6f7NRLAjuzOu7/a3baNzL/F/3zRvZelBXMKtv&#10;Dt5T/wAeaq4iRl3FNtWFnbutIzbl/houyXYZFFErL8nzbvvVGIIsfdqUbt6f7y/+hUg+7T5mAzyE&#10;/uLS+Un9xafTnRlVWPeldgQQ/LvUf3qkb7rVHD91v95qkP3ab3Aan+qWpYmVW5qJNyoq7acNzbsL&#10;uZf4aUgFfbubH8TfLQy/I7fKzqu5f9lqGV0TcNrN/E27/wBBqItKqswVflqogWU/f26v95ttRVJD&#10;+6tV+Zmb/wBmqNmVanqNjP8Alt/wGpKiX5n3bW+7/FUvy9/+A0SEH3Wo3butOaVFi2llX/gVMLqv&#10;3VZv+A0coC7fX5VqEt5TcNtRv/Haezszbdvzf7VCL826Tay/3dvy01oBKsUytuO1qZNE72UqbPm2&#10;Mqqv/oNPWXyH2Fmdf4WprszM2WoGOsr23Fiu9vK8lVRw/G04qKS9gkk8yCSQSdNwhZgRRNHE5WUw&#10;ozbl3My/xf3qc7uqq25tq1Q+YcmrW7x5+Z3PREUmnPdTPGyNZyjIx1X/ABqH/VNuRVRW+9tXbTqX&#10;MHMRptlXKbm2sysv8SstI6Fni+Vvvf8AsrUrQRNubYFZvvMvyt/47UUqNbQvcK87+WN5VpSy47/p&#10;RzBzFuWTEaWsJ3seu07auwRCGPHU929azAjQS8M24fdq7He/wyLg/wB4dKYwsvuz/wDXd6qXkTnU&#10;kwm7KtirNrNEiSZdeZX7+9IZUl1OHY2cI1AHJ+EVZPiN44DjBzY/+iTXYaf/AMeg/wB9/wD0I1yn&#10;hn/kpnjn/esP/RFdXp//AB6D/ff/ANCNAFuiiigAooooAop/x73n++/8qxPBdyIvB+noQxbY3/oR&#10;rbj/ANRef9dH/lXNeEP+RU0//cb/ANCagDrMRXMSs6Bl6/N2qP8AfWy/xTRAfV//AK9Os23QfjVm&#10;gDOv5Vk06V4zuwwbj2YVX+9Vy7sxJFMYzsd15PrVKFT5MO8bGdV2/wC18tAC1pRKstum4dqza0rX&#10;m3SgCLLwPjqlTiVD0INOdA45qE2i9jVaMzs1sVNV8/bEYJvKGTvbcB2pbd3F4ocqd6bt2evC/wCF&#10;VtZtvPtAk86xRK2d7LuqTTVia3tHjnEw2/K6rgFRu/8AiqlopO5sUUUUFFaaytrglpoVckY+as94&#10;7uyi4QXEKN8qjcZcZrZooAw1nkuot1jHn5d2+Vfl+g96lifzYkcL1X5l/ut/EtaiqqDAGBVP7Aqy&#10;u8c0iBzuKr60uUXKRUwfM+4/w/dqrJO8HnCZDceW7YKyruwzfL8tXVtU3MDxj+9S2J5Q+9838VOV&#10;GZdwqCJ4lma3Dr5qfMybvmVal3N8qDv/AArSYDkXe22m05G8p/n2q3+9TdvzbtrOv/fNAcoI3zou&#10;7+Jacu5eqMu5du5vloXKTIQoG4j+GmvuZ/nbLUDDbtb76t/u/NQW9NzL/tNRs3IzelIr/My/3aBE&#10;aM21sJEvzf7VSqjMrNsTj/bakG3c2P8Aep6Pt3ZX71DYRIvn2t8if99tTtzt/Cg/2VbatKP4qKdw&#10;ER2Zen/j1GxpVZUX5v8Aaamp91l/2qeGZG3ChyAAtxEvzojr/s0x3Vl+6qN/tLVjz27rTVZXdmdv&#10;lpcwyHzdyrsZWZl/h/hoCbm3P8zf7VOdEWZWj/i+WpRE7f7NNsRFsRW4VV/4DS1KsSt826iVEVPk&#10;pFcpXf5drf7VPpHXcrYoVtyq3rQSNddyMtWIdksW/b96oqEdon4+ZD95aAiDbdzfL8rfKy0jLt+X&#10;7y/w1NtSfc0bfMOvy03Y23af738NHkVylcLuTYacjbl3U5k2Sr/eel8oo2522qfu0yeUAu75j90f&#10;xVFcSotvKXH7oI3y/wB75f8A0KrSKroy7dv91ahuIkZUt3+9M6qv/Afm/wDZaRXKNZWVtrNub+Jq&#10;bT0hvHO54UT6vUv2O4/vRfrVjKkP3G/32/8AQqls+dTX2ipY7a4MeQqfebv/ALVJAlxFqDfukLeV&#10;/f8A9r/doAwPDP8AyUzxz/vWH/oiur0//j0H++//AKEa5Lwszt8SfHBcAHdY8Bs/8sK63T/+PQf7&#10;7/8AoRoAt0UUUAFFFFAFGP8A1F5/10f+VYvgq3jl8H6czr82xu/+0a2o/wDUXn/XR/5VleBf+RO0&#10;7/db/wBCNAG/HEkS7UXAqSiigBD0qCCMNZojjI2YIqxUEH+rX6t/OgCvLbOi/u18xAMKmdrL9DUt&#10;vLGkDfvPlTrkYxVqq89pHP8AeGD6jvQAwTXTDK2y47bpMH+VHm3n/Psn/f3/AOxohnbd5UuFlH5P&#10;9Kt0AZ15Dc3ts0DwIobuJf8A7Gs+COXS7eG1SL5Id21S+d3zbv7tdDVK+ijaLc/8Pf68UCY/ddf8&#10;8I/+/v8A9jTg1z/zyiH/AAM//E0y1uBLEuT81WRQxKVyPM392P8AOoniuWPy3AQe0dW6KCiv9nLL&#10;iSWR/wDgW3+VZf2KFLgjylznbubmtyoJUhVxLIQNvcmgCvcRC5lW1dA8AGZN3f0FQy6fHaoptbh7&#10;c5/iZpA3tgtSxzuPO2gmUvkZHboOKsJau7752J9FzQBlxGX+1P3jIUdGf5P9narL/wCgtVuZvKtJ&#10;ZXVtkSs+1fl3VZubZ28trdkjZOORxiqc9gqJGsk1w/mOEceacc0ANtrq3vEVoXX7qsyN8rJupYdR&#10;ttvyXETf8C21fNjasBvhRsDGSKbLYWksZiNvHgrtyFGRU2FYhd2b5Sq007c5HOfmP170klpcwhfJ&#10;cTIOol+/+DVF9thb5B5u/wC80SozOP8AeWnyiHyzpBtWR9m/7q7WbdQGVm3BtyuvytS2Qe4unmeJ&#10;4okXZErjax9WpiRJAvkpnbC7L83+183/ALNRyg0O/wCWv/Aaf/vUkrL8mF2/NViLytqsdu6pFEi2&#10;7WpoX5uflp1yyuvDU3c3rR0AHTYzUUm9t7Z+ZdtL/wABoAKKPl/2qFX5tpoAHi2okobo6tVr+L+7&#10;THi3wsgb+HbRC2+FSfvD5W/3qOhaF2ruZaGXcjLRuXcuNtO/jpFFVtvamBtqtlvl3U9/ldqriBvt&#10;Ty7tyMvzf7NOJkNa63IjQpvUtT4IplnmkdldPl/2aq3uq2OkRfOQ0j/6mGEbnm/3V6t+FY2q6hc3&#10;LmI3ZhhycC0wXxxjJbgH6A0nNI6qWFnU9DqDOvzTBsbF+bClvlqVXWWJSvzZ+ZWrhre5lih8hLu8&#10;HXbcPMXcZx+GOOlb+halPLau91C8bJKY5DtIR2/vp/sEfNRCaehdfBzoq99DcydmzPH937tRTbVW&#10;Jht+98u2rA2uvNQyAxbhjcvo1UmcbGo7Iciot+/W7T5f+WT49qkX5l3Ju/3W+9UKkDUrJ/7xdOf9&#10;3dQkNG3RRSHpVDIrb/j3SmKv/Exc/wDTJf5tT7b/AI9oj/sCkQf6XK3sBQByHhn/AJKZ45/3rD/0&#10;RXV6f/x6D/ff/wBCNcp4Z/5KZ45/3rD/ANEV1en/APHoP99//QjQBbooooAKKKKAKMf+ovP+uj/y&#10;rK8C/wDInad/ut/6Ea1Y/wDUXn/XR/5VgeFbprTwRpsoTeOVbnoNzUAdbRWI+tlJYovs4LOF3fP0&#10;zV+0vkuydm3gZ4bNAFyobf8A1X/A2/8AQjU1V7b/AFJ/66P/AOhGgCxRRRQBDNCkwww5HRu4+lRR&#10;zNHJ5M3B/hfs/wD9erdQ3AjMR80gD19KAJqY6h1KsMqaqJeeWrCRt4HR+m6nLcyyL8kOKAKqoYpj&#10;HIzf7Lbflqx5z25AlZce5ppgnmG6XGQDgZ/wqO1jSSZw5xKv8P8Ad/Gnchw6otveRJ/eb6ComuJj&#10;t8qFjkdSP8/zpws1Rt6H5v8Aa5pjzTW7Lv8AmBosHPbdDpI7qQL84Qfxf5/+vUVxaqIQTI/m9EbP&#10;8R/WrEd5HIcbsGkm2TSwoDyH3/l/+ui1hqSZNDEkSYQfU+tS0UUigqtdj91n+66t+tWar3f/AB6T&#10;f7jUATilqOM7okb1UGpKACs3URHGqzqqiUnYXxzt7itKs26LTXiRKoKD5W9iev8A47/6FQBctv8A&#10;j0gz/cH8qzb6H7G0t+ksnJUyRbvkbtWsF2qAO1VdTSSXT5khRXdlxtNAFZ0/9C+WiqV9lI45rwET&#10;lh5SDojZ6k1e3bmapaIaEP3aPvUtEKb127tu2l0AX+Ckp7xbF3bt1MoAKP8AZoooAfE3zbS21fvU&#10;gdIp2T+B/m/4FTaR1V1/ut/C392iIcxMzqyYCtSGVv8A9moElb7j/eH8X96p1T1X5v7tHKVcb8v3&#10;n+7/AOPNWLrd5NBcaapkRLWabynARTufaSBz/D8p962Du7/e/vVna4fK0ma4ETytB++CI+C2Pepe&#10;xrh7e0SZyShY33on77btNzK2+Yr/AHWdvmplTXaCO6dAcjqD7Hmoa5T6anFKN0FWY766giWW0hWe&#10;eD78T/8ALSH+JF/2s4IqAKzNtCszf7NWY7a4hInMflqnO52Cfzqo3Ir8ko8sjsbC9Se0R4ZVmiK7&#10;klVvvLU7tvX/AHa5/wAN6pb39vLDbyrN9nkMTOgABH3hjHy9Pl/4DXRrFtTO2uq99T5urBxqNPoQ&#10;7abIjTxbN+1t25X/AIlarBdNjL91qiVdzbaOYyHW+oeZCryIRk7eOu4deKvo6SL8jA/Ss+0MZmuL&#10;OQfxb1z3B5p0kQimZoZlD/3GarKGJ5GWijvph5YO5VYfLj8KjEkCTPv1F13bSDvX5uPpUKWuyaUu&#10;+xpEO51Re/Wom020nR4jeIMKqoy7V+XbQBk+FU2fEnxwu8v81jy3X/UV12n/APHoP99//QjXJ+F2&#10;V/iT44ZCCN1jyP8ArhXWaf8A8eg/33/9CNAFuiiigAooooAop/x73n++/wDKsXwVG7+D9Pw4C7G4&#10;2/7RraT/AI97z/ff+Vc94QndfCWnqjFfkb/0JqAOn8l/+eg/KqxlZHZQ3/jtOju3RdrLu/2qiZHl&#10;ZnCNtagB32p/75/75/8AsqfaB5YSyPsXe3y7feofIl/55NU+nf8AHuw9JH/9CoAn8ub/AJ7fpR5c&#10;3/Pb9KnooAqPayv1n/IN/wDFUJZRpHhizf8Ajv8AKrdFAEIt4lQoI12t1quWa0++S0H97+59fWr1&#10;IyhlwRkUALVG6HlzRzeZsXuP8+26n7ZLb7gLw/3e4+lE+y4tuDldy/zoAt1Rvv4P+BVYt/8Aj3jz&#10;/cWpSobqAaAMfbup0MRS5Eg4wu2tPYn90flUdwdqKfemiJpWuWKKQdKWkWFMcKyFW6Hin1HNL5Sb&#10;sZoAr2r7QbdgQ8fyj3XsauVmzXHmqCF2uOj+lWrabz48ldrjhl9KAC5uBbx543Nwi+pqrYxYBnKr&#10;l+jKfvd934/4VEMXl5kOTGO38O3/ABP/AKDWqqhQFAAA6AUAOqreXK2sJlKF8Mq4HucVaqGeKKeF&#10;o5lVkbqGoAyria7uY1iFmVjLrvZpU+736VJ8+99kTbS2771RWzQ5uBbcwebuBX7v3fmWrCsy9Knm&#10;FIiZpV/5Zf8Aj1SI8qc+UvP+3/8AY1YEqbfut/3zUDfdFLm8iRzSu67diL/wP/7GmfN/s0tFACf8&#10;CFGx9uQ3y/7v/wBlRVhHV1VCtHMESrtf++v/AHzSbX/vr/3zUzL87YX7tNH3ufur/wCPf7NHMHKN&#10;RSADlWfqDt+570qTsytE67XX73zUTOVRm+Vn/iqgssru0v3mC1qo3iDZqoiunDVE6Iyski7kKsrV&#10;Da3S3C7k3LhvmVqs7Wdt38NZcttyoy7HDx6bqcEsMD6PC6JEE86W/GOPlXhUyalvLL7HPapNHAVu&#10;n8sGLenlnBI+83zZO0dK0rpdRvtduLGCSO2t4oUYyKmZTnd0z8o+76d6rXDql35t/ah7lWLIyJ5h&#10;i/3d/T5R2X1rlqThCVj1Y16jav22V/luzLuIHjsbtFJ8x7Z41+bbubbkbW+ox+tb3hvTNPj0q2ur&#10;Wyjj+0QK5z85w4B27jWfHdpFMH8oNzn5/m/4F/7KW/4Cta2iXxuEu7fyjELW5MSAqB8m1XTaF/h2&#10;t/47U4aXM9ScTUqOLNd03Rff2t/Cu3pUsU6yqyP8r/dZai3etM2bmZ43+b/0Kuzc8rmJn+T5fvZp&#10;lJufcqyL8397+Gl/4FRygRXNul4qrMzLj+Jf7v8AEtJDZ2/lP5cKbT97d83/AKFU3y0zc6MzJ90/&#10;eWgOYia2S3tp3t1eMojMu122/d/u1YiEjbpImBLKhbj/AGf1qCVkla3SR5FR3ZGVGYZbb91q144k&#10;iGERVHtVlROH8IS+d8RfHD7QMmx4H/XE12On/wDHoP8Aff8A9CNcn4ZXHxN8dY/vWP8A6IrrNP8A&#10;+PQf77/+hGgZbooooAKKKKAKKf8AHvef77/yrF8DwqfB9gzBTlGxx/tNW1H/AKi8/wCuj/yrK8C/&#10;8idp3+63/oRoA0vsUvqlXIEMcKoeoqWigAqpY/6uX/rs/wDOrdVLH/Vy/wDXZ/50AW6KKKACqkt5&#10;BC6o8qZZsfeHHHerdUJbV7iQsdqbGynfJ9T/AIUATG7jBABzuwRj0NRG+VYkcxvtcbuSq4/M02Sy&#10;eaRWdti7MEIx60yS2m8hI0Abgq/P8OfegC5bzCaPcAwHuR/Sq94qw/vUZkyw3AdG/wDr8VNaI8UP&#10;lum0D7o3Z4ou1VwiHuf/AK39aAGWs4eNEbKSKvKNwfr9KuVWuEhYb3cI6dH7rVdb6RSi+SX3fdf7&#10;u786ANCqt46LC3K5p/nlV+eOVf8AgO7+VZc91E8rnc3/AHy1OO5M9iUSy7f9a/8A31TvNl3f61/+&#10;+qqpcRbfvN/3y1P89P8Aa/74akxx+E3Kp3ayM4Cq5XH8NRRaku394rlv9lKk/tJP+eUv/fNAyv5U&#10;v/PJ/wDvmlm325baSGnVQD/dI6/+O/8AoNT/ANoL/wA8ZKr3pafZtRwQOB67iB/LdQBaso9kCsUV&#10;Xfltv6fpVuqnn3WeLM/jIKcGuWXJWNPxzQBZrK1Fv9LtxK7CD5t2D8u7tmpoknuBvlm+RuiIMZH1&#10;qtqelJLps8NrGFlfb9Ths9TQA8JsVVSJUQfdVF2rU0e3Y28Lu/2qoC4e32W4tpBBGnzs/LL/ALVX&#10;XVmVcL/D97+9UOJIzb/u/wDfVO2ts+lQssxmghjkCM4JJZM9KrxDUopJTfQq0P8ACYtvy07D5TRE&#10;DbvmZai+VetMLwtMsP2jdKyb1Xc3zLTXCxbDHEru77V3Nt2tt3U+URPtZV+5/wCO03zVRv4VaoTp&#10;2dOZrl5WuNhLESttz/u7ttSsqt8xC7mVd3y0gZJHOm1suv8A31SlWZuNv96owi7vu/L/ABfL/DQy&#10;OreaPl3Nuo0H0BlVdymqMU6RbleL5fu/d3VdVmd9r/KxqrJAyXrApuVq0pdUzOQ/bFsWUbYv9pf/&#10;AEGnxNc7dwT5f++aFTbtz/8As1ceVYlX5qiUuhUUY+o2ct28UkdxdWc0OcOnKHPZx91hWFdyTeV5&#10;uqva280IAeUnEDkscbHb2HzD6Cu0Myn5Svy1DJBbSo6PGrIR8ysMqfwrnqUYVN1qdNGvyaPVficS&#10;kZkRZov3sW5cOm10X6Efd2/98hf9qt7SBC8s88bZlCxwzCN1Kbwmfru2so+b/Zot/C1navLNYAWk&#10;sh3MYi2xvYpnGPypNC099GguIrqZZZ7i5luHlC4G4tjp9AKijh+SdzatWhKDs/8AM2D8q01F2oq0&#10;P80XDbt1OrpOAbMrPsXd/EtTQxcskn3x/tfeqN/ucfe/hqJ7i3Z/3krebt/hVmZf++ardBEmO1Xb&#10;H3aKZDtlZWSXejruVtu2iaWKJuXb5m2rtXduap5QGzRPJs8ltsqPvT+63+y1aNrP9ot1cja3Rh71&#10;RCTSyIkXnQj7zvsH/fPNSRw3dqHSLy3i5cFyc/SrSHsc34Z/5KZ45/3rD/0RXV6f/wAeg/33/wDQ&#10;jXJ+Fzn4leOG9Wsf/RFdZp//AB6D/ff/ANCNBRbooooAKKKKAKMf+ovP+uj/AMqw/BV3bw+D9OSS&#10;VVbYeP8AgRrcj/1F5/10f+VZXgdR/wAIdp3A+63/AKEaANj+0LX/AJ7j8jR/aEH99v8Avg1a2j0p&#10;aAKn2+2/vv8A9+m/wqKxuE8uTaHOZXb7h9a0KqWP+rl/67P/ADoAeZpAPlt5G+m0f1qNZrthxZ7f&#10;96Qf0pl1K3nYR22j722mWxPnpyfzoAtK07dUjX8c0jJct0mQf9s//sqlmz5L7fvYqvZltzqd3/Aq&#10;AF8i5/5+z/37WniGUfeuXP0UCrFFAFdrVH+80h/4GapS2kIvIkCcH72Sxz/nbWrVGfjUYPf/AOvQ&#10;BYS3iT7kar+FPdFkQoyhlPUGn0UAUn822jPJkh/VB/Wqrptx/EpXcG9a16oSRmE7SpeA+nJQ/wCF&#10;AFJPvMtPp6W4kmPlyAj1qX7FL6pVTIhsV6KcV2sy02pLCp7ltjWzD0/qtQVPefKtvn/PzLQBpVVu&#10;m/drEBzIdn+NWGYKpJOAKrwBpZWnb7vSMe3rQBYVQqhV6CnUUUAMdVdCrDcp4Iqo2lWJ5+zIPpxV&#10;6o5m2xMRQBTtrK2t7otFEysFxuLs386vOVVfm6VQilZH3H5t33qlmnSVNozQBQk062RIhZuYXjO5&#10;X+9/6FTkifcrXEzTOj7kZfkC/hUtFADvlf5ZPmRvlaoG3pdRRpM7wyKy4b+Fgu4fN+dS0yXbsU8g&#10;hlIZf71AD921eN25v73zfLTmlZl2mo03qsoeUyqHGGKr8q7adUSFIesDMv8ADzSPFtf5F25o3uu3&#10;5qbvbdnd81AtAlRkRmK/w0n3qJHZ0ZS1CN8qtQIWik3UbloAXeyK2GpN+7ZE/wA2PmprbWZV/wCB&#10;ULtZ2b/gNAEv2W3dtyLhv9mmvBNF8w/er/3y1Csy9Kcsrr/FRdj0IllTds3bW/ut8tS2zpFfSxbv&#10;vor/APsv/stSnynXbIq/8CrO1IRQRJcwttlRtqKv8f8AeXbVRaAtNpzLGEtZ9ic5VxvFS29hHHIJ&#10;pP3s/wDz0Yf07VLslj5jOR/dNOS4B4b5T71Vhc/cjnldZdqmmG4l9aJ2/e1FSLMHw1LC3jTxTAhL&#10;Sw/ZA7N1OYyRzXT2H/HoP99//QjXH+Ef+SjeOfrY/wDok12Gn/8AHoP99/8A0I027iSsW6KKKQwo&#10;oooAox/6i8/66P8AyrK8C/8AInad/ut/6Ea1Y/8AUXn/AF0f+VZXgX/kTtO/3W/9CNAHR0UUUAFV&#10;LH/Vyf8AXZ//AEI1bqtaf6p/+ur/APoRoAZLaF5GYP1p0VqY5A5bOKtUUAFJilooAKKKKACqd5sQ&#10;xSPxhv8A7L/2WrlQXEayQtxuK/Mo9xQBMG3DIparWbq8C4GNny1ZoAKKKKAM+eBVnDKShPJKcVL5&#10;k0X+tTcP78Y/mKW4wzotWe1N7ER3ZSNuJRvikBU1C9vKn8O7/dqxJBbRMZn+Rv7wciona5cq9o7u&#10;v+2F2/8AxVIsLaFnl3OvA/vLTtQ274stjb83/jy0he5SQG4kWOJf4kH3vr6UyeBIriLbu5H3mJP8&#10;S0AWNklzgyApF12dz9atAYpaKACiiigApCu4YNLVZ7nY5XbQBL5Ef9wVDPEqquxP++aI7gyShduK&#10;tUAZu1v7rU2tPA9KYYkbqooAz6il81mVY9u4/wCf8/7taZt48dMfjVK1jWW6MwVgB93d/n/O6gBk&#10;sT2iu2zdANvzK3Iwu2nfdZhVq+RnsZ1UbmKHAql9pieby9zJLt3bHXH/AKFSkJj6Njfe2f8AjtG1&#10;vSq62TS3r3KTeXIkmBncysNu37u6pSJ5Sdol7p/47TUjXYvC/dqMJNatKs7vMjuH3gbQmflpRK39&#10;pT2h27UiV0/9mp6hykuxP7q00+Uv32iTP95lWm3DSrJbwxlEaZ2G884+X0qeHS4kkeWc/aJH27nd&#10;R2oHYYqr/Bhv92mo23cu1lqV9MiimE1tFGj7WUr0DZqMecpPnWrxgfxI28f40WDlFVlbo26h/utt&#10;qJJba4XdHKrbfmb+FlqUxOu35m2/99UCF/3qY6JKux0V1/2qBKkqs0bM+1trfLto3Pu+5/49SAWM&#10;39vF+7KTxD7u/O8irMMsF4m4DDD7ytww+tNjlVYVz96qDwXJvnmt7tYd+3duXdubbtWmpD0ZauIm&#10;SX5Gpm6Vf4abb3X2qJSXRpVXbLt/hapavmFydjmPCH/JRfG+fWx/9Emuw0//AI9B/vv/AOhGuP8A&#10;CP8AyUbxz9bH/wBEmuw0/wD49B/vv/6EaRZbooooAKKKKAKMf+ovP+uj/wAqyvA3/Inad/ut/wCh&#10;GtVP+Pe8/wB9/wCVc94McyeF9PgMjomwkMnyknc3FAHUzXEMH+scD2qPzpnb93D8v992x+lPjt40&#10;IYIN3948n86noArNHcn/AJbov0Sq9pG7I4+0tlZHBAA/vVo1Sk/cXSuSAkvyn/f7UATeS3aaTNMW&#10;K4X/AJbh/wDeSrVFAFcvcjpCh/4HSedcd7RvwcVZooAh8/jmOQf8Bppuo16+Z/37b/CrFFAFT+0L&#10;fu5X/eQ0f2ha/wDPX9DVraPSjaPQUAZkN1Gk7kSbos/Nx930q2t3C/TzG/7Zt/hTL2IbRKDtZf4q&#10;sRyLLEHXoaAIzNIB8kEj/XApFe5P/LFE/wB581ZooApSW88o5uAPolR7XT5J3kcfXb/6DWhTWQOM&#10;EU0+5DXYhgit1+aJVz696s1UMLxtvjP/AAGnC5HRgVNFuwc/cs1mzQJFcRLH8qn+H+H7y1oKwYZF&#10;UJJg+qJF/dx/Jj/8TSLNGiiigAooooAazYUn0qi7b3ZqvP8AcP0rPK7W27t1ADa0I/miGaz6vwf6&#10;lc0AS0UVn3FwXzDBzngsv+f1oAW7lMz/AGaPnP3qtwxLFEqJ0FVoDHAmTy5+9in/AGxf7vFAFqo3&#10;iSVdrorD3FQ/aizjC/LVqgDJl02zhCokTbf7vmtj+dKiLEioi7UH8NW7pfutVWgBHVXR0P3XVlan&#10;LpdjjzpIdz4+87FqSrcfzWxoAgtbawss/Z4wmfTJq19oj/vfpVGigC6bqOmm6TsDVSigCnPpdrLc&#10;GVQ0av8A65VOfM/wqV7aE3UQjBjEnEkafdcVPSwKGvkP9wH9aAEukEN8jnAiePZ+K/Mv/s1H93/a&#10;q7NBFPHtmjR1HOHXNZUDBJpbRvleN2ZF29U/h21LEyXd8zKF3NuoVPmVi25hTqCyqu53VF/vM22l&#10;ckqzWSIz3NsipcL87N/f/wBlqZpGotqVrK7oqOj7dqtSXlwJIZbW0/0id4vvI3yhfu/M1S2Vu9vF&#10;tdIUYoq7Yv8A0JqqJaMLwj/yUbxz9bH/ANEmuw0//j0H++//AKEa4/wj/wAlG8c/Wx/9Emuw0/8A&#10;49B/vv8A+hGmBbooooAKKKKAKKf8e95/vv8Ayrm/C0P/ABRumzpjeinLN2Xc3P8An3rpI/8AUXn/&#10;AF0f+VZXghQ3gzTgfmBRv/QjQBuW84nhDZXd0bHY1PWRC62N4YWdVif7gx+R/wDZf+Ar61r0AFQz&#10;x+bGydM9D6GpqKAK9tL5sXzH514f61YqquYrwgD5JBu/GrVABRRRQAUUUUAFFFFADHUOhUjKmq1k&#10;7DfE/BHSrlZVyVtdRSZpcI/8P6H/ANloA1aKKKACiiigAqN0Vh0FSUUAVYHAYofwqtamK4vpZ15x&#10;/wDq/wDZf1qxd7IoHmb+BarWUXlQ+ZByjHG3/d+X+lPchXSNOioo5Q446+lS0ik7i0UUUDGONyMP&#10;UVQKMjbStaVNdFdcMKAM2pRO6/xU6S3Kcr92s87ryRo4x8nfP91hwW7/AId6ALsk5uW8uD7vr6//&#10;AFqnECQQOB1xyafBCsKbQSxPJY96ZPMqqU6tQBUooooKCtGP/VL9KppC7ruAq5GCqAN1oJElTem2&#10;q8lvtXcrf726rlRy/wCqagDPqxBvZGH8NV6ntDh2X1oAgoqWZGWVtq/LTFVmbhWoAbRUnlS/3Gpf&#10;Ik/uUARU213C+kZvu5AX/P8AwKrP2eX+6tR2sZdRLu6u3/oVAGjVO6slumR97xyR/ddKuUUAZn2b&#10;UCh+a1B/3DRDpcYdJbl3uJE+7v8AuqfYVp0UAU54IokZo40RnPzEL1qvV25/1VUqAOY8I/8AJRvH&#10;P1sf/RJrsNP/AOPQf77/APoRrkPCP/JRvHH1sf8A0Sa6/T/+PQf77/8AoRoAt0UUUAFFFFAFGP8A&#10;1F5/10f+VZXgX/kTtO/3W/8AQjWqn/Hvef77/wAq57whFdt4T094ZMJsb5d+3+I/7LUAdFfW5nh+&#10;QAsP4f7y9xS2M/nw8uruOrD+L0NNjF2qfO27/gQ/+JWqjSvZs3lxMpY8jYCP/QvrQBs0VkwapKzY&#10;khC++1//AImrX25PRf8AvsUAF6p+z+auN0R3j/P0q5VJ7yN0KkLz/tiof7QZLdGCB2xzt3Nn8loA&#10;06Kxv7Tu2PEIA/3D/wCzFale7uHT5dyt/wABX/4qgDUphdVXLMBWH/pjPkzfL/vs3/xNPki81fnb&#10;/wAdX/2agDSa/tlO3zlJ/wBnmj7bCy7hvI/3DWakCp0d/wDvuhokbqit/vfNQBck1OOPtu/4GKqX&#10;WpRXCbfJDYb+9/D/ABf+O7qVYol6Ii/7q1Lb7VnSgATUzF+6nTc6fKzqepq0l9G69G/4D838qo2z&#10;T+TcW8n+t2MUbGeV+X/4lv8AgVUCt+LbPkF5GLBj5OG/9BoA6CO6hm+WORS393oasVx0a6tLcq7w&#10;zJ8jY3Rfxdv4W21JDL4gTzXUO2PurIh/9B/+yoA62is2LUlYiORdkm3c3t9e6/iKvo6SIHRgynoQ&#10;aAKGpTpCiRlQxdt23/d5/nt/Or0MSwwpGn3UGBVCZ0n1NICm7H8Xp/Ef5J/31WnQBWkRkbzE/EVM&#10;jB0BFOqq2YHyOUNPch+7qW6Kajqy5FOpFhUUsqQpvdsD+dNnuEt4y7/gB1NUUjlvpfMkOIR93Hf6&#10;f40AIfOv3/uRg/Xaf6/0rSiiSCPZGNqisq7+1w3kUdp5iQ/xBIvlFVWuNTSZgfM+ZkwuzoCef60A&#10;a73D527drVCzMzbj96sp7/UZjAVhfb8vm7otv+9ViwF9LK5nHybFZeKALdFOb5eq02golhm8rPGc&#10;0/7Wey1XooJJzcSn/ZqRHZ4XyfmqpVq1GVbI4oAq04NtZWFaGxf7oo2j0FADqKKKACiiigAqtYYF&#10;jDj+7Vmqlkpjt1Q/wsy/rQBbooooAKKKKAIp/wDUtVCtCX/Vv9Kz6AOZ8I/8lH8cf71j/wCiTXX6&#10;f/x6D/ff/wBCNch4R/5KP44/3rH/ANEmuv0//j0H++//AKEaALdFFFABRRRQBUgUMtyD0MjVwyeD&#10;9Etw0UHjPW7dAxxFFq4RU56KO1dsn/Hvef77/wAq848P+BvDOo6DaXd1o8MtxMrO7szbmbc3+1Tj&#10;G4Gp/wAIrpH/AEPniD/wdimP4R0V/v8AjvXT9daFL/wrrwj/ANAO3/76f/4qoYfh94Ta6uFOiW+1&#10;WXb8z/3V/wBqnyAS/wDCH6J/0POu/wDg6FH/AAh+i/8AQ9a7/wCDkUj/AA+8HRIzvo1sqr/Ezt/8&#10;VUf/AAhXgj/oGWf/AH9b/wCKo5B8rJf+EP0X/oetd/8AByKQeDNDVdo8ca6B/wBhkVH/AMIV4I/6&#10;Bln/AN/W/wDiqfF4B8Gz/NHo9o+3+67N/wCzUrByyHf8Idon/Q867/4OhR/wh2if9Dzrv/g6FP8A&#10;+Fd+E/8AoB2//fT/APxVH/CufCf/AEA7f/vp/wD4qq5JCGf8Idov/Q867/4ORR/wh2i/9Dzrv/g5&#10;FP8A+Fd+E/8AoB2//fT/APxVH/CufCf/AEA7f/vp/wD4qjkkAz/hDtF/6HnXf/ByKP8AhDtF/wCh&#10;513/AMHIpf8AhXXhH/oB2/8A30//AMVR/wAK68I/9AO3/wC+n/8AiqOSQCf8Idov/Q867/4ORR/w&#10;h+i/9D1rv/g5FL/wrrwj/wBAO3/76f8A+Ko/4V14R/6Adv8A99P/APFUckgF/wCER0ffv/4TvX93&#10;97+2hS/8IrpH/Q+6/wD+DsU3/hXXhH/oB2//AH0//wAVR/wrrwj/ANAO3/76f/4qjkkA7/hFdI/6&#10;H3X/APwdij/hFdI/6H3X/wDwdiq83grwNbvsn0yxifbu2vKyt/6FUX/CIeAv+fLTv/Aj/wCyo5JE&#10;e0RafwforlWfx1rrMvRv7ZHFCeENFi3bPHOujPJxrIqr/wAIh4C/58tO/wDAj/7Krf8Awrvwj/0B&#10;Lf8A76f/AOKo5JFKdxB4Q0VX3jxzrob+9/bIp/8Awiukf9D54g/8HYo/4V34T/6Adv8A99P/APFU&#10;f8K78J/9AO3/AO+n/wDiqOQYf8IrpH/Q+eIP/B2KD4V0g9fHuv8A/g7FH/CufCf/AEA7f/vp/wD4&#10;qm/8K68I/wDQDt/++n/+Ko5JAKPCejL08d6+P+42KX/hFdI/6HzxB/4OxTf+FdeEf+gHb/8AfT//&#10;ABVH/CuvCP8A0A7f/vp//iqOSQCP4Q0V23P4510/Lt51kdKf/wAIrpA6ePdf/wDB2Kb/AMK68I/9&#10;AO3/AO+n/wDiqhm8EeCLd9k+l2cT7d21nZf/AGajkAsf8IrpH/Q+6/8A+DsU0+EtGZtx8d6+f+42&#10;Kqf8Ih4C/wCgfY/9/W/+Ko/4RDwF/wBA+x/7+t/8VU8oFr/hENF/6HnXf/ByKcPCejL08d6+P+42&#10;KT/hXfhH/oCW/wD30/8A8VR/wrzwhu2/2Nbbv7u9v/iqrkAU+EtGbr4719v+42Kb/wAIfov/AEPW&#10;u/8Ag5FL/wAK68I/9AO3/wC+n/8AiqP+FdeEf+gHb/8AfT//ABVHJIBP+EQ0X/oedd/8HIo/4RDR&#10;f+h513/wcil/4V14R/6Adv8A99P/APFUf8K68I/9AO3/AO+n/wDiqOQBP+EQ0X/oedd/8HIp48K6&#10;Qq7R4919f+42Kz7zwH4Wi1WyRNGt1R1l3Lub5tu3/aqx/wAID4W/6Alt/wCPf/FVDAsf8IrpH/Q+&#10;6/8A+DsUf8IrpH/Q+6//AODsVX/4QHwt/wBAS2/8e/8AiqP+EB8Lf9AS2/8AHv8A4qgCx/wiukf9&#10;D7r/AP4OxR/wiukf9D7r/wD4OxVf/hAfC3/QEtv/AB7/AOKo/wCEB8Lf9AS2/wDHv/iqALH/AAiu&#10;kf8AQ+6//wCDsUf8IrpH/Q+6/wD+DsVX/wCEB8Lf9AS2/wDHv/iqP+EB8Lf9AS2/8e/+KoAsf8Ir&#10;pH/Q+6//AODsUf8ACK6QP+Z91/n/AKjYqv8A8ID4W/6Alt/49/8AFUf8ID4W/wCgJbf+Pf8AxVAF&#10;j/hFdI/6H3X/APwdij/hFdI/6H3X/wDwdiq//CA+Fv8AoCW3/j3/AMVR/wAID4W/6Alt/wCPf/FU&#10;AWP+EV0j/ofdf/8AB2KP+EV0j/ofdf8A/B2Kr/8ACA+Fv+gJbf8Aj3/xVH/CA+Fv+gJbf+Pf/FUA&#10;WP8AhFdI/wCh91//AMHYpv8AwiOi/wDQ867/AODoVD/wgPhb/oCW3/j3/wAVR/wgPhb/AKAlt/49&#10;/wDFUAb3hTw9pWiz6jcafqdzqE14YvPluLkTP8gKr830roNP/wCPQf77/wDoRrhPh/p1ppPjLxhZ&#10;2MKw2yfYmVF6DdExNd3p/wDx6D/ff/0I0AW6KKKACiiigChH/qL3/ro/8q5rwn/yKun/AO43/oTV&#10;0sf+ovf+uj/yrk/Dlwln4Msrh1ZlSJmZV/3mq4AdDVWD/j7uv95f/QVqho/iWy1xpfsiTbI3aJnZ&#10;V27l/wBpW+ar8H/H3df7y/8AoK1ZI3UopZ9PlihTe527V3bf4lrn/wCydQ/59v8Ax9f/AIquolYq&#10;ox13ov8A30yrU/2dv+ev/jtcOJr0qc0pHXQrypRsjkP7J1L/AJ9v/H1/+KrQ07TrhLK7hnTymmXa&#10;vzbv4f8AZat/7O3/AD1/8dqpcytapM/3/LTcqqvWpw+Jo1J2huVWxE6kLSOHbwRqjRXWb2HzZHR0&#10;fc38KMrK3/fVMufAuoOmnxebbPBZsqbfmVnVZXb738Pysq1oS+MrhdPab7FFFPti2xSvtZWZGZty&#10;/wDAarXHjq7T+zEjtrZ5bxIndd7fIrOy/wDstd5yF2Xw5qDatcXaLb7JEliVd+1trq33vl+b73/f&#10;VUE8DXyWt3ELtGd5Vlibcy7vlf5fl/36vt4wddYuLLZbskMUzblb5lZN33vm+78u3/eqinjy7SG4&#10;eexi3Qyqmxcodvz/AMLN/srQB1ui2txZaPa210+6eJdrNvZ/4v7zVoVS0u9XUtNguwmzzF+7/dbd&#10;tq7TJCiiiqAbRTqbUlGPqNncy3bPDEzIVX5lZf7tVfsF9/z7v/30v/xValzdTRTMibNq/wB5d1Rf&#10;b7r1i/74/wDsqzeZQpe43seXWw1GdRuV7mbNp189vKgt33FGVfmX/wCKqbWdGu9St7BIJvJaF0Z/&#10;nb5dv8X3v/svm+9U9xqVzFbyyjymZEZvuf8A2VR6z4g/smG0YQ+a8zKzqvzbU/iZfm/+xpxxca/w&#10;9DowtGFO/KZj+FLtfEtrqYlilgSbzWRnZdrbdu5d26oYfCmqRWl0hu0/e/Z9iJ8mzZt/i2/NWxF4&#10;ljuNVW0SFTbsn+v3q2w43Krbdy/Nu+X+9tasrSvGl7eWWpTXNiiva7fKRNytL8zf3v8AgNVodQt5&#10;4VvYGRNOdHQIq7pdu77zbl/3W3f5b5q6+Ld5Sb1VG2/Mq/dWuavfFU1vY2FzHZRfv/mdZXZdir97&#10;+H/P3vu/NWevjm4bVri0W3t3WJnVdjbmbbv/ANr/AGP/AB6gDuaK4yw8ay3FvdzTWgZYHRV2Iybl&#10;b7zbm+8u3+Kp5PEmo280UM1tDFKypvVkdsbndd33vlX5N3/AqdwOqrOvbbUJLvfa6ld2ibFXbDFE&#10;yk/N83z1o0VSYNXMr7LrP/Qf1P8A8B7f/wCJqKez1l7eVP7d1F8ow2tDb8/+O1tUUc39WRHs1/TZ&#10;geItJvtR8lrJ0RgjIzb2Rl3bfu/981Sj8Ib9YtNYneJb2Fot21WZdqptb+L727+Kusp1TYsbTqKK&#10;oAoooqQMrUf+Qxp/+5L/AOy1ZqtqP/IY0/8A3Jf/AGWrNZz3KCiiipAKKKKACiio7i4t7WLzbmaK&#10;FP7zuqrQBi/8JRF/wlTaD9nfzVdV83d8vzRM+7/x3bW9XMPZaY3iuLVP9I+0DdLv2tt3bNn937u2&#10;ujhuIbiLzYJUlT7u5G3LQBJRRRQAUUUUAFFFFAGR4M/5H/xp/wBuP/ok12Wn/wDHoP8Aff8A9CNc&#10;b4M/5H/xp/24/wDok12Wn/8AHoP99/8A0I0AW6KKKACiiigChH/qL3/ro/8AKuQ0K3luvAtrDC6J&#10;K8LKrOu5Vbc33q6+P/UXv/XR/wCVc14T/wCRV0//AHG/9CargBT8PeGrzQ7m6dru0liuZnuGSK3a&#10;Jldv+Bt8v/Ad3+1W5B/x93X+8v8A6CtWqqwf8fd1/vL/AOgrVkktwyJEzSbtisv3f975f/Hqg+2Q&#10;/wDTz/3y9S3Su9uyxqrPuRtrNt+6ytVTZd/8+6f9/aynCMn7yKJftkH/AE8/+P1LDPC6uysy4+/v&#10;3f8As1Vdl3/z7r/39pv2O4nt7tCy27zLtV1+fb8tKFOMZXigCR9Ebc0zae33Vbfs/u/L/wCO1E7+&#10;HvKRXbTPKKq6K2zbt3bVZf8AgW6sGX4fNLbtCdRVV81HXbD/AHV27fvUs3ga4l+yf8TNVW2h8rb5&#10;X31V3Zf4v9pf++a2A6T/AIk7u/8Ax4s6bmb7m5fl+b/x2hLrRpVl2XFiyu22Xa6fM3zfe/75b/vm&#10;spvCsrTPKl3Cqs0zbfs/3fNVl+9u/h3VnS/D1HhmiGofK8vmruRt38fy7lb/AG//AB2pA7O3SFIU&#10;WBUWLb8qovy1LVDSLD+y9Kt7EOrrCu3cv+9V+qJCiiiqAKbTqbQBmaheaPa3CrqF7Dbyld217jZu&#10;X/vqqv8Aanhn/oK23/gX/wDZVzvjnwhqniDWIbmyWJokh2Nvfb826uZ/4Vp4g/uW/wD39WvPqOXO&#10;7QucdSpUU2lG56N/aXhl/k/tO0bd8u37X97/AMerZeC0fY0kULbPmRnVfl2/xLXkkPw31+K4icpb&#10;/I6t/rVrv/EHh651mWF4b57ZUt2iZV/i3Mv+1/s1th29bwsa4ec3fnVjYC6ejtbhbZXd1Zk+XcW+&#10;9u2/3vl/8dplqmmJ5q2iWabtu/yFRf8Ad3bawofCEsXiO31R7uF1iVdy+V825V27t3/Amaq8XhXV&#10;YrS6iN3E29YfKRPk2bNu75v4q2Ok6iW60/ajTXFtt2/Jvdfu/d+WnJZ2W3cltb7T825UX5t38Vct&#10;eeF7uB0TTNjRKirudl3feZmX7v3W3V18W7yk3qqNt+ZV+6tUSRmytmTY1tCyf3di7abPYWV0++5t&#10;LeZ9u3c8Ss1WqKAG06iiqAKKKKACiiigAooooAKKKKAMrUf+Qxp/+5L/AOy1ZqtqP/IY0/8A3Jf/&#10;AGWrNYz3KCiiipAKKKKAGTSpb27zP9xFZm21yd1qLvcLMVhmidFaXzYmb7IrNt27d33tv3v4v+A/&#10;LW/qX2n7LLjyfK+Xdu3fd/irmNQ2NqEv2vyd4u13eVu+5sXbu2/w79v3qAOauvFGsy3Ph/8AsO4+&#10;0y6hLcW7GdN2xYmXc21W9NzfMtdVp99bqFuLW7tlijV/Klt3/dX7L8rfe+9t+7u/vV5PNFdLqz/Z&#10;bd4kbcyojsjjzfl3f7G9Q1ejaTp1npbWFjpyQo8N3tt0dnZlT5mfbu/2t9AHf2863FvFMm5VlRWX&#10;d96paztM+1+T+88rZ5r/AHd27buatGgAooooAKKKKAMjwZ/yP/jT/tx/9Emuy0//AI9B/vv/AOhG&#10;uN8Gf8j/AONP+3H/ANEmuy0//j0H++//AKEaALdFFFABRRRQBQj/ANRe/wDXR/5VzXhP/kVdP/3G&#10;/wDQmrpY/wDUXv8A10f+VcbpU81r8PYprZd0yWzsn+9uargB09VYP+Pu6/3l/wDQVrlvDPiXUdU1&#10;aeyuol8qF2XzfKZGP3/lb/a2qtdTB/x93X+8v/oK1ZJFq8ssWmu8MzQvuRVdVVvvOq/xf981n/ar&#10;lf8Al7b7v3fk+X+H+7/+1W1cJE8DCWFZoyV+Rlzlt3y/L/vVW/su1JZv7FTJ+9/oyc1z1qU5v3ZW&#10;OilUglZozhdXOzb9rdm3f7C/7y/d+7Uum3txP9vi3yzS2+3bu2fNuXd/s/8Aj1XW0m0KgNokRVei&#10;/Zkp8Qghefbbrbv8plyijdxwzf8AfNKjSnB3lK5VSrBqyRxMPirXv7Enea3/ANLHlMreUq7Vbczf&#10;Lu/urt3f8Cq4Ne19nsh9mVd3lJMqqjMzNNsZvvLtro/7W0va7fbrTam1WZZV+Xd93/0GpH1HT08n&#10;fd26/aFVotzqu9W+61bnOcgniXW5fEdxafuordEm2KyfMzLu27W2/wCz/tVTi8W64+5ZvKibzn2b&#10;WT512blX5l2qu7d8zf8AstdudW0xbv7MbuH7QqM+zd8yqv3m/wDQqjTW9GlVtl9aMobb8zr975v/&#10;AIlqALOlztcabBMZfNZ1+Z9qrub/AIDVyooZYp4UlgdHiZdysjblapaokKKKKoBtFFFBRyviTW77&#10;TtSWG2lVU2K21kVqyP8AhKtW/wCeyf8Afpa7S7gtJZt02nPcuq/fWFn2/wCzuqD7JYf9AWb/AMBG&#10;rhqUasptxlY4KmFrzm3CdkconirVmdV+0Jy3/PJa6LW9bu9LlslhitnimdEd55tn3m/3W/76qw9v&#10;p8SF30aQKF3FmtG4qa9l0tVga++yLv2rF5+3+L/erSjCcL87uaYalVp39pK5lN4kdtXNtHHb+Qm1&#10;WlaX+Jt33f7y7lVf++m2/LVKDxbc/ZtQlkiR2t2RUVV2fedk3fe/3fl//aroVl0f7VFEGsvtCr8i&#10;rt3Kv+W/8eqKG80OdXaN7NlO3e21V/i/i/4FWx0mA/iu/uYreW2ijiWUbmX7/wAu51Z/91dv+9/d&#10;3fKrdlG26JG3b8r97bt3VhXWqeFoobeW6l07ynVvJZ0VlZd3zba3Y9nlL5e1U2/Lt+7tqgJKKKKo&#10;AooooAKKKKACiiigAooooAKKKKAMrUf+Qxp/+5L/AOy1ZqtqP/IY0/8A3Jf/AGWrNYz3KCiiipAK&#10;KrSalZQKzSXcKKvzNudf92m/2pY/L/pcLZXcu1/8/wB5aAJ54EuLeWGRdySqyMv95WrlL+zWBWhu&#10;nit4IofKVfm23aL93cy/Krfe+X/2WuuVldVIbcp+ZWplxbw3UXlTwpKn9113LQB5fouh+J4tZ1vU&#10;b+3eGfU9jpbxXCPhYuFVn3f3fl4rp7aBbjdb2KRTW80WzYv3LBWXc23cvz7v7v8A6Ctbp0uL+0Fm&#10;CtsVGXb5rbf++fu1cht4bWJYoIkiRfuoi7VoALaBLW1it4/uRoqL/urUlFFABRRRQAUUUUAZHgz/&#10;AJH/AMaf9uP/AKJNdlp//HoP99//AEI1xvgz/kf/ABp/24/+iTXZaf8A8eg/33/9CNAFuiiigAoo&#10;ooAoR/6i9/66P/KuX8MRJL4RsopF3I8TKy/3l3NXUR/6i9/66P8AyrmvCf8AyKun/wC43/oTVcAN&#10;CGwtLdlaC3SJgzN8q7fmb7zf71EH/H3df7y/+grVqqsH/H3df7y/+grVkkz72X93t3gqRu+78rK1&#10;T/b77+7b/wDj1Yvie6msvDV7cW0rRTIq7HX+H51WvLv+Et8Q/wDQRm/75X/4mq5OYidRQPa/t19/&#10;dt//AB6qskctw9wZmQNIqr8i9P8AvqvHv+Et8Q/9BGb/AL4X/wCJrt/B2rahf6JezXdw8sqPtRmT&#10;dt+X+7RycooVVN2L0fhGyiRot7sjMh+YKX+Td/F/tbm3f7NSnwza7bRQ5X7KiqPl3ebtbdtf/Y3f&#10;Nt+X5qzIr/xI6PC7Kl0rwrt8n7v3mf8A2fu7f/ZafNqGvK2n/wDLLdEjXCrBv77d7fLwuP4V+bd/&#10;s1GhsSy+Dbd9YfUftcqyurq3y/wurLtX/vqoj8P9MZJUM0zK8qy7X2vtZd395f8Abaqzavr7+I2h&#10;j837BslVf3S/eVWZW+7u/u1WGteJ5LKby9xuFmLL+5H+q2f7v977v8VGgHaabZJpunw2UbZSNdqt&#10;VquTXVNYlXT2AuVb5WutsKsqrv8Am/h/u/3aZDdeJjqWpM+/7F5Vx9kZkQbWVl2f7X97b/ep3A6+&#10;iuKvNW8Rppj+Wkv2oTOu5IV+VNvy/eX+9T7bUtcS7shO8rwsq+bL5Kqn+191d397+L+7Rck7KiuO&#10;0q68UvFN9t3+a0TNDuRPmb5Nv3VX+81bPhy61G6tLhtTXbKkzKvybfl2rQBbuNOS5maV3uV9PJvJ&#10;YV/75WnwWKQbNjXTbJN/z38p/wDQu3tVS8mu0vXWG2hmQbfme7MO35f7q1B9o1H/AKB1p/4M3rOV&#10;rl8zta5NPokcsEqJLfZdGVd2pzEflT77RItR+z+fK22FNu1futVWW41FYnb7DbLtVvmXUWbb/wAB&#10;qr4hvdZt/J/s7fte3bcyqrfP8u37yt/tU1boDm3uXbfw4lvfLci5lZl3Ltb5vlZVX73+6q1n2vgW&#10;ytdOey+13DeZt3Stt3/e3fxLUFtqWvNqaJNK/wBlWVUd1t1Zd21m2t8u7+HbuX5fmpIb3X1tbtZL&#10;uV7hViaLdbKu3d8zfdX/AHaoReTwXY/YILSd3uEhR1iaVV3IzNu3L/dZfmWujjTyokQMzKq7dzfe&#10;qhok93PpiPe7vtG5t25VX+L/AGa0qaJCiiiqAKKKKACiiigAooooAKKKKACiiigDK1H/AJDGn/7k&#10;v/stWaraj/yGNP8A9yX/ANlqzWM9ygoooqQOA1i1igu7+0TQ9ZvFmbc89vaI67t2/wCVvvfKzf8A&#10;jtPtU8MrZRRXGp21pLEmxYL2ZVmhb5d29dv3vk+auiVdQfSpZZoV+17l2tsVm/75qOazeV72WO0h&#10;b5E8pWtfmV/4vvfeqtAKaeK5kVUh8N61cRD5UngtVZJV/hZfm+61O/4S+7/6FPxD/wCAy/8AxVaV&#10;ulw2pKhtkW0WH+5t+f5f/sq0fs8P/PJP++aPdA5+HxazSqt3oeqadb/x3V7EsUMX+8275f7tXf8A&#10;hKtD/wCg5pP/AIF//Y1LfQbbi1VIUa3Zm+0J5W7cu35f/HttNsNOhe3Zrm0tmbe21lhVfl/h+Wj3&#10;QGf8JVof/Qc0n/wL/wDsaP8AhKtD/wCg5pP/AIF//Y1d/s2x/wCfK3/79LVS7s4oru3WPS4Wtzua&#10;WXYvy/K38P3qPdAsWGrWWpNL9iube5WLbueB96/N/wDs1erlZ7i+svKWCLyVd3Zmgt925V+7uXb/&#10;AMBqKO/1tvGTIbh/7M3KqpsXbu2/3tu773+1UgdfRRRQBkeDP+R/8af9uP8A6JNdlp//AB6D/ff/&#10;ANCNcb4M/wCR/wDGn/bj/wCiTXZaf/x6D/ff/wBCNAFuiiigAooooAox/wCou/8Aro/8q4TQfEen&#10;aboVrZXi3yXEKsrp/Z9w21tzfxKm2u4RriGSXFnLIrPuBVk/q1S/a5/+gfP/AN9J/wDFU0+UDk/+&#10;Ew0b+/f/APgsuf8A4ioYfFujrcXDltQ2uy7f+JZc/N8q/wCxXZfa5/8AoHz/APfSf/FUfa5/+gfP&#10;/wB9J/8AFU+dgcl/wmGjf377/wAFlz/8RR/wl+iet9/4LLn/AOIrrftc/wD0D5/++k/+Ko+1z/8A&#10;QPn/AO+k/wDiqfPIDkv+Ev0T1vv/AAWXP/xFH/CX6J/fvv8AwWXP/wARXW/a5/8AoHz/APfSf/FU&#10;fa5/+gfP/wB9J/8AFUc8gOT/AOEw0b+/f/8Agsuf/iKP+Ew0b+/f/wDgsuf/AIius+1z/wDQPn/7&#10;6T/4qj7XP/0D5/8AvpP/AIqjnYHJf8Jjo39/UP8AwWXP/wARS/8ACYaN/fv/APwWXP8A8RXWfa5/&#10;+gfP/wB9J/8AFUfa5/8AoHz/APfSf/FUc7A5P/hMNG/v3/8A4LLn/wCIo/4TDRv79/8A+Cy5/wDi&#10;K6z7XP8A9A+f/vpP/iqPtc//AED5/wDvpP8A4qjnYHJ/8Jho39+//wDBZc//ABFH/CYaN/fv/wDw&#10;WXP/AMRXWfa5/wDoHz/99J/8VR9rn/6B8/8A30n/AMVRzsDk/wDhMNG/v3//AILLn/4ij/hMNG/v&#10;3/8A4LLn/wCIrrPtc/8A0D5/++k/+Ko+1z/9A+f/AL6T/wCKo52ByX/CX6J/fvv/AAWXP/xFH/CX&#10;6J633/gsuf8A4iut+1z/APQPn/76T/4qj7XP/wBA+f8A76T/AOKo5wOS/wCEv0T+/ff+Cy5/+Ipf&#10;+Ew0b+/f/wDgsuf/AIius+1z/wDQPn/76T/4qj7XP/0D5/8AvpP/AIqjnA5P/hMNG/v3/wD4LLn/&#10;AOIo/wCEw0b+/f8A/gsuf/iK6z7XP/0D5/8AvpP/AIqj7XP/ANA+f/vpP/iqOdgcn/wmGjf37/8A&#10;8Flz/wDEUf8ACYaN/fv/APwWXP8A8RXWfa5/+gfP/wB9J/8AFUfa5/8AoHz/APfSf/FUc7A5P/hM&#10;NG/v3/8A4LLn/wCIo/4TDRv79/8A+Cy5/wDiK6z7XP8A9A+f/vpP/iqPtc//AED5/wDvpP8A4qjn&#10;kByf/CYaN/fv/wDwWXP/AMRR/wAJho39+/8A/BZc/wDxFdZ9rn/6B8//AH0n/wAVR9rn/wCgfP8A&#10;99J/8VRzyA5P/hMNG/v3/wD4LLn/AOIo/wCEw0b+/f8A/gsuf/iK6z7XP/0D5/8AvpP/AIqj7XP/&#10;ANA+f/vpP/iqOeQHJ/8ACYaN/fv/APwWXP8A8RR/wmGjf37/AP8ABZc//EV1n2uf/oHz/wDfSf8A&#10;xVH2uf8A6B8//fSf/FUc8gOT/wCEw0b+/f8A/gsuf/iKP+Ew0b+/f/8Agsuf/iK6z7XP/wBA+f8A&#10;76T/AOKo+1z/APQPn/76T/4qjnkByf8AwmGjf37/AP8ABZc//EUf8Jho39+//wDBZc//ABFdZ9rn&#10;/wCgfP8A99J/8VR9rn/6B8//AH0n/wAVRzyA4O88UaXLqdlKn25kjWXe39nXHy7tu3+CrH/CV6P/&#10;AH77/wAF1z/8RXafa5/+gfP/AN9J/wDFUfa5/wDoHz/99J/8VUOVwOL/AOEr0f8Av33/AILrn/4i&#10;j/hK9H/v33/guuf/AIiu0+1z/wDQPn/76T/4qj7XP/0D5/8AvpP/AIqgDi/+Er0f+/ff+C65/wDi&#10;KP8AhK9H/v33/guuf/iK7T7XP/0D5/8AvpP/AIqj7XP/ANA+f/vpP/iqAOL/AOEr0f8Av33/AILr&#10;n/4ij/hK9H/v33/guuf/AIiu0+1z/wDQPn/76T/4qj7XP/0D5/8AvpP/AIqgDjP+Eq0f+/ff+C65&#10;/wDiKT/hK9H/AL99/wCC65/+IrtPtc//AED5/wDvpP8A4qj7XP8A9A+f/vpP/iqAOL/4SvR/799/&#10;4Lrn/wCIo/4SvR/799/4Lrn/AOIrtPtc/wD0D5/++k/+Ko+1z/8AQPn/AO+k/wDiqAOM/wCEq0f+&#10;/ff+C65/+Io/4SrR/wC/ff8Aguuf/iK7P7XP/wBA+f8A76T/AOKo+1z/APQPn/76T/4qgDi/+Er0&#10;f+/ff+C65/8AiKP+Er0f+/ff+C65/wDiK7T7XP8A9A+f/vpP/iqPtc//AED5/wDvpP8A4qgDifA8&#10;n2rxj4rv4o5ltbj7H5TywPFv2xMG4dQetdvp/wDx6D/ff/0I0n2u4/6B9x/30n/xVFgrJaqsibHy&#10;zbfTLGgC5RRRQB//2QEAA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hgsxu0AAAAIgEAABkAAABkcnMvX3JlbHMvZTJvRG9jLnhtbC5yZWxz&#10;hY/LCsIwEEX3gv8QZm/TuhCRpm5EcCv1A4ZkmkabB0kU+/cG3CgILude7jlMu3/aiT0oJuOdgKaq&#10;gZGTXhmnBVz642oLLGV0CifvSMBMCfbdctGeacJcRmk0IbFCcUnAmHPYcZ7kSBZT5QO50gw+Wszl&#10;jJoHlDfUxNd1veHxkwHdF5OdlIB4Ug2wfg7F/J/th8FIOnh5t+TyDwU3trgLEKOmLMCSMvgOm+oa&#10;SAPvWv71WfcC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MsQAAFtDb250ZW50X1R5cGVzXS54bWxQ&#10;SwECFAAKAAAAAACHTuJAAAAAAAAAAAAAAAAABgAAAAAAAAAAABAAAAABwgAAX3JlbHMvUEsBAhQA&#10;FAAAAAgAh07iQIoUZjzRAAAAlAEAAAsAAAAAAAAAAQAgAAAAJcIAAF9yZWxzLy5yZWxzUEsBAhQA&#10;CgAAAAAAh07iQAAAAAAAAAAAAAAAAAQAAAAAAAAAAAAQAAAAAAAAAGRycy9QSwECFAAKAAAAAACH&#10;TuJAAAAAAAAAAAAAAAAACgAAAAAAAAAAABAAAAAfwwAAZHJzL19yZWxzL1BLAQIUABQAAAAIAIdO&#10;4kBYYLMbtAAAACIBAAAZAAAAAAAAAAEAIAAAAEfDAABkcnMvX3JlbHMvZTJvRG9jLnhtbC5yZWxz&#10;UEsBAhQAFAAAAAgAh07iQIkaJGPZAAAACQEAAA8AAAAAAAAAAQAgAAAAIgAAAGRycy9kb3ducmV2&#10;LnhtbFBLAQIUABQAAAAIAIdO4kCDDpo4ugMAAIsIAAAOAAAAAAAAAAEAIAAAACgBAABkcnMvZTJv&#10;RG9jLnhtbFBLAQIUAAoAAAAAAIdO4kAAAAAAAAAAAAAAAAAKAAAAAAAAAAAAEAAAAA4FAABkcnMv&#10;bWVkaWEvUEsBAhQAFAAAAAgAh07iQO7+yGiYvAAAjrwAABUAAAAAAAAAAQAgAAAANgUAAGRycy9t&#10;ZWRpYS9pbWFnZTEuanBlZ1BLBQYAAAAACgAKAFMCAAB2xQAAAAA=&#10;">
                      <o:lock v:ext="edit" aspectratio="f"/>
                      <v:shape id="图片 4" o:spid="_x0000_s1026" o:spt="75" type="#_x0000_t75" style="position:absolute;left:5519;top:147258;height:5082;width:4337;" filled="f" o:preferrelative="t" stroked="f" coordsize="21600,21600" o:gfxdata="UEsDBAoAAAAAAIdO4kAAAAAAAAAAAAAAAAAEAAAAZHJzL1BLAwQUAAAACACHTuJAE+Wn9LwAAADc&#10;AAAADwAAAGRycy9kb3ducmV2LnhtbEWPS4/CMAyE7yvxHyIjcVtSEFpQISCegusWDj1ajUkrGqc0&#10;4fXvyUpIe7M1843Hs8XT1uJOra8cKxj0ExDEhdMVGwWn4+57AsIHZI21Y1LwIg+Leedrhql2D/6l&#10;exaMiCHsU1RQhtCkUvqiJIu+7xriqJ1dazHEtTVSt/iI4baWwyT5kRYrjhdKbGhdUnHJbjbWmJhV&#10;ft2P89xsx5vlZZhVRXgp1esOkimIQM/wb/7QBx250Qj+nokTyP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lp/S8AAAA&#10;3AAAAA8AAAAAAAAAAQAgAAAAIgAAAGRycy9kb3ducmV2LnhtbFBLAQIUABQAAAAIAIdO4kAzLwWe&#10;OwAAADkAAAAQAAAAAAAAAAEAIAAAAAsBAABkcnMvc2hhcGV4bWwueG1sUEsFBgAAAAAGAAYAWwEA&#10;ALUDAAAAAA==&#10;">
                        <v:fill on="f" focussize="0,0"/>
                        <v:stroke on="f"/>
                        <v:imagedata r:id="rId7" o:title=""/>
                        <o:lock v:ext="edit" aspectratio="t"/>
                      </v:shape>
                      <v:shape id="文本框 17" o:spid="_x0000_s1026" o:spt="61" type="#_x0000_t61" style="position:absolute;left:7869;top:148529;height:404;width:1092;" fillcolor="#FFFFFF [3212]" filled="t" stroked="t" coordsize="21600,21600" o:gfxdata="UEsDBAoAAAAAAIdO4kAAAAAAAAAAAAAAAAAEAAAAZHJzL1BLAwQUAAAACACHTuJADWWWCbsAAADc&#10;AAAADwAAAGRycy9kb3ducmV2LnhtbEVPTWvCQBC9C/0PywjedGNbJaSuObRYvBoFm9uQnWZTs7Mh&#10;uybpv+8WCr3N433OLp9sKwbqfeNYwXqVgCCunG64VnA5H5YpCB+QNbaOScE3ecj3D7MdZtqNfKKh&#10;CLWIIewzVGBC6DIpfWXIol+5jjhyn663GCLsa6l7HGO4beVjkmylxYZjg8GOXg1Vt+JuFTy1b5qu&#10;ZTp9WdOUH50ZivfToNRivk5eQASawr/4z33Ucf7zBn6fiRfI/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WWWCbsAAADc&#10;AAAADwAAAAAAAAABACAAAAAiAAAAZHJzL2Rvd25yZXYueG1sUEsBAhQAFAAAAAgAh07iQDMvBZ47&#10;AAAAOQAAABAAAAAAAAAAAQAgAAAACgEAAGRycy9zaGFwZXhtbC54bWxQSwUGAAAAAAYABgBbAQAA&#10;tAMAAAAA&#10;" adj="-444,33239">
                        <v:fill on="t" focussize="0,0"/>
                        <v:stroke weight="0.5pt" color="#FF0000 [3204]" joinstyle="round"/>
                        <v:imagedata o:title=""/>
                        <o:lock v:ext="edit" aspectratio="f"/>
                        <v:textbox>
                          <w:txbxContent>
                            <w:p w14:paraId="7D9A025A">
                              <w:pPr>
                                <w:ind w:left="0" w:leftChars="0" w:firstLine="0" w:firstLineChars="0"/>
                                <w:jc w:val="center"/>
                                <w:rPr>
                                  <w:rFonts w:hint="eastAsia"/>
                                  <w:color w:val="auto"/>
                                  <w:lang w:eastAsia="zh-CN"/>
                                </w:rPr>
                              </w:pPr>
                              <w:r>
                                <w:rPr>
                                  <w:rFonts w:hint="eastAsia"/>
                                  <w:color w:val="auto"/>
                                  <w:lang w:eastAsia="zh-CN"/>
                                </w:rPr>
                                <w:t>本项目</w:t>
                              </w:r>
                            </w:p>
                            <w:p w14:paraId="036D4EE4">
                              <w:pPr>
                                <w:pStyle w:val="6"/>
                                <w:rPr>
                                  <w:rFonts w:hint="eastAsia"/>
                                  <w:lang w:eastAsia="zh-CN"/>
                                </w:rPr>
                              </w:pPr>
                            </w:p>
                          </w:txbxContent>
                        </v:textbox>
                      </v:shape>
                      <w10:wrap type="topAndBottom"/>
                    </v:group>
                  </w:pict>
                </mc:Fallback>
              </mc:AlternateContent>
            </w:r>
            <w:r>
              <w:rPr>
                <w:rFonts w:hint="eastAsia" w:ascii="Times New Roman" w:hAnsi="Times New Roman" w:cs="Times New Roman"/>
                <w:color w:val="auto"/>
                <w:kern w:val="0"/>
                <w:sz w:val="24"/>
                <w:highlight w:val="none"/>
                <w:lang w:val="en-US" w:eastAsia="zh-CN" w:bidi="ar"/>
              </w:rPr>
              <w:t xml:space="preserve">  </w:t>
            </w:r>
          </w:p>
          <w:p w14:paraId="40E44A4C">
            <w:pPr>
              <w:widowControl/>
              <w:numPr>
                <w:ilvl w:val="0"/>
                <w:numId w:val="3"/>
              </w:numPr>
              <w:spacing w:line="360" w:lineRule="auto"/>
              <w:ind w:left="425" w:leftChars="0" w:hanging="425" w:firstLineChars="0"/>
              <w:jc w:val="center"/>
              <w:rPr>
                <w:rFonts w:hint="default" w:ascii="Times New Roman" w:hAnsi="Times New Roman" w:eastAsia="宋体" w:cs="Times New Roman"/>
                <w:b/>
                <w:bCs/>
                <w:color w:val="auto"/>
                <w:kern w:val="0"/>
                <w:sz w:val="24"/>
                <w:highlight w:val="none"/>
                <w:lang w:bidi="ar"/>
              </w:rPr>
            </w:pPr>
            <w:r>
              <w:rPr>
                <w:sz w:val="24"/>
              </w:rPr>
              <mc:AlternateContent>
                <mc:Choice Requires="wps">
                  <w:drawing>
                    <wp:anchor distT="0" distB="0" distL="114300" distR="114300" simplePos="0" relativeHeight="251673600" behindDoc="0" locked="0" layoutInCell="1" allowOverlap="1">
                      <wp:simplePos x="0" y="0"/>
                      <wp:positionH relativeFrom="column">
                        <wp:posOffset>2035810</wp:posOffset>
                      </wp:positionH>
                      <wp:positionV relativeFrom="paragraph">
                        <wp:posOffset>1383030</wp:posOffset>
                      </wp:positionV>
                      <wp:extent cx="75565" cy="75565"/>
                      <wp:effectExtent l="6350" t="6350" r="9525" b="9525"/>
                      <wp:wrapNone/>
                      <wp:docPr id="157" name="椭圆 157"/>
                      <wp:cNvGraphicFramePr/>
                      <a:graphic xmlns:a="http://schemas.openxmlformats.org/drawingml/2006/main">
                        <a:graphicData uri="http://schemas.microsoft.com/office/word/2010/wordprocessingShape">
                          <wps:wsp>
                            <wps:cNvSpPr/>
                            <wps:spPr>
                              <a:xfrm>
                                <a:off x="4420235" y="2731770"/>
                                <a:ext cx="75565" cy="75565"/>
                              </a:xfrm>
                              <a:prstGeom prst="ellips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0.3pt;margin-top:108.9pt;height:5.95pt;width:5.95pt;z-index:251673600;v-text-anchor:middle;mso-width-relative:page;mso-height-relative:page;" fillcolor="#5B9BD5 [3204]" filled="t" stroked="t" coordsize="21600,21600" o:gfxdata="UEsDBAoAAAAAAIdO4kAAAAAAAAAAAAAAAAAEAAAAZHJzL1BLAwQUAAAACACHTuJAWSKGKtkAAAAL&#10;AQAADwAAAGRycy9kb3ducmV2LnhtbE2Py07DMBBF90j8gzWV2FE7jpq2aZwKgWDFpgWJrRubOEo8&#10;jmL3kb9nWMFyZo7unFvtb35gFzvFLqCCbCmAWWyC6bBV8Pnx+rgBFpNGo4eAVsFsI+zr+7tKlyZc&#10;8WAvx9QyCsFYagUupbHkPDbOeh2XYbRIt+8weZ1onFpuJn2lcD9wKUTBve6QPjg92mdnm/549gre&#10;57fiSfTcbFebl/4gi9z5+Uuph0UmdsCSvaU/GH71SR1qcjqFM5rIBgW5FAWhCmS2pg5E5LlcATvR&#10;Rm7XwOuK/+9Q/wBQSwMEFAAAAAgAh07iQLmg0QOTAgAAJgUAAA4AAABkcnMvZTJvRG9jLnhtbK1U&#10;zU7cMBC+V+o7WL6X7IYNgRVZtLClqkQLEq16No6zseS/2t4f+gB9ih577WO1z9HPSYAFeuDQSzLj&#10;GX/j7/OMj0+2WpG18EFaU9Hx3ogSYbitpVlW9POn8zeHlITITM2UNaKityLQk9nrV8cbNxW5ba2q&#10;hScAMWG6cRVtY3TTLAu8FZqFPeuEQbCxXrMI1y+z2rMN0LXK8tHoINtYXztvuQgBq4s+SAdE/xJA&#10;2zSSi4XlKy1M7FG9UCyCUmilC3TWnbZpBI+XTRNEJKqiYBq7L4rAvknfbHbMpkvPXCv5cAT2kiM8&#10;4aSZNCh6D7VgkZGVl8+gtOTeBtvEPW511hPpFAGL8eiJNtctc6LjAqmDuxc9/D9Y/nF95Yms0QlF&#10;SYlhGlf+5+ev3z++k7QCfTYuTJF27a784AWYiey28Tr9QYNsKzqZ5KN8v6DktqJ5uT8uy0FfsY2E&#10;I6EsigOEOeK9CbzsAcb5EN8Jq0kyKiqUwlUm/mzK1hch9tl3WWk5WCXrc6lU5/jlzZnyZM1w18Xp&#10;0emiSMdHgUdpypAN2OblCD3AGTq4QefA1A4qBLOkhKklRoNH39V+tDvsFsnflsXpQZekVvqDrfva&#10;ZTEC9lC6z39+jERjwULbb+lqpC1sqmXEfCmpK3oInHskZQCS7qJXP1k3tr7F7Xnbt3Vw/FwC9oKF&#10;eMU8+hgMMenxEp9GWdC2g0VJa/23f62nfLQXopRsMBeQ5OuKeUGJem/QeEfjySQNUudMijKH43cj&#10;N7sRs9JnFtcxxpvieGem/KjuzMZb/QUPwjxVRYgZjtq9+INzFvt5xZPCxXzepWF4HIsX5trxBJ50&#10;M3a+iraRXZs8qDOIhvHp7mAY9TSfu36X9fC8z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WSKG&#10;KtkAAAALAQAADwAAAAAAAAABACAAAAAiAAAAZHJzL2Rvd25yZXYueG1sUEsBAhQAFAAAAAgAh07i&#10;QLmg0QOTAgAAJgUAAA4AAAAAAAAAAQAgAAAAKAEAAGRycy9lMm9Eb2MueG1sUEsFBgAAAAAGAAYA&#10;WQEAAC0GAAAAAA==&#10;">
                      <v:fill on="t" focussize="0,0"/>
                      <v:stroke weight="1pt" color="#2E75B6 [2404]" miterlimit="8" joinstyle="miter"/>
                      <v:imagedata o:title=""/>
                      <o:lock v:ext="edit" aspectratio="f"/>
                    </v:shape>
                  </w:pict>
                </mc:Fallback>
              </mc:AlternateContent>
            </w:r>
            <w:r>
              <w:rPr>
                <w:rFonts w:hint="default" w:ascii="Times New Roman" w:hAnsi="Times New Roman" w:eastAsia="宋体" w:cs="Times New Roman"/>
                <w:b/>
                <w:bCs/>
                <w:color w:val="auto"/>
                <w:kern w:val="0"/>
                <w:sz w:val="24"/>
                <w:highlight w:val="none"/>
                <w:lang w:eastAsia="zh-CN" w:bidi="ar"/>
              </w:rPr>
              <w:t>项目在亦庄新城规划图</w:t>
            </w:r>
            <w:r>
              <w:rPr>
                <w:rFonts w:hint="eastAsia" w:cs="Times New Roman"/>
                <w:b/>
                <w:bCs/>
                <w:color w:val="auto"/>
                <w:kern w:val="0"/>
                <w:sz w:val="24"/>
                <w:highlight w:val="none"/>
                <w:lang w:val="en-US" w:eastAsia="zh-CN" w:bidi="ar"/>
              </w:rPr>
              <w:t>中</w:t>
            </w:r>
            <w:r>
              <w:rPr>
                <w:rFonts w:hint="default" w:ascii="Times New Roman" w:hAnsi="Times New Roman" w:eastAsia="宋体" w:cs="Times New Roman"/>
                <w:b/>
                <w:bCs/>
                <w:color w:val="auto"/>
                <w:kern w:val="0"/>
                <w:sz w:val="24"/>
                <w:highlight w:val="none"/>
                <w:lang w:eastAsia="zh-CN" w:bidi="ar"/>
              </w:rPr>
              <w:t>的位置</w:t>
            </w:r>
          </w:p>
          <w:p w14:paraId="3A07997B">
            <w:pPr>
              <w:widowControl/>
              <w:numPr>
                <w:ilvl w:val="0"/>
                <w:numId w:val="2"/>
              </w:numPr>
              <w:spacing w:line="360" w:lineRule="auto"/>
              <w:ind w:firstLine="482"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b/>
                <w:bCs/>
                <w:color w:val="auto"/>
                <w:kern w:val="0"/>
                <w:sz w:val="24"/>
                <w:highlight w:val="none"/>
                <w:lang w:val="en-US" w:eastAsia="zh-CN" w:bidi="ar"/>
              </w:rPr>
              <w:t>与《落实</w:t>
            </w:r>
            <w:r>
              <w:rPr>
                <w:rFonts w:hint="eastAsia" w:cs="Times New Roman"/>
                <w:b/>
                <w:bCs/>
                <w:color w:val="auto"/>
                <w:kern w:val="0"/>
                <w:sz w:val="24"/>
                <w:highlight w:val="none"/>
                <w:lang w:val="en-US" w:eastAsia="zh-CN" w:bidi="ar"/>
              </w:rPr>
              <w:t>“</w:t>
            </w:r>
            <w:r>
              <w:rPr>
                <w:rFonts w:hint="default" w:ascii="Times New Roman" w:hAnsi="Times New Roman" w:eastAsia="宋体" w:cs="Times New Roman"/>
                <w:b/>
                <w:bCs/>
                <w:color w:val="auto"/>
                <w:kern w:val="0"/>
                <w:sz w:val="24"/>
                <w:highlight w:val="none"/>
                <w:lang w:val="en-US" w:eastAsia="zh-CN" w:bidi="ar"/>
              </w:rPr>
              <w:t>三区三线</w:t>
            </w:r>
            <w:r>
              <w:rPr>
                <w:rFonts w:hint="eastAsia" w:cs="Times New Roman"/>
                <w:b/>
                <w:bCs/>
                <w:color w:val="auto"/>
                <w:kern w:val="0"/>
                <w:sz w:val="24"/>
                <w:highlight w:val="none"/>
                <w:lang w:val="en-US" w:eastAsia="zh-CN" w:bidi="ar"/>
              </w:rPr>
              <w:t>”</w:t>
            </w:r>
            <w:r>
              <w:rPr>
                <w:rFonts w:hint="default" w:ascii="Times New Roman" w:hAnsi="Times New Roman" w:eastAsia="宋体" w:cs="Times New Roman"/>
                <w:b/>
                <w:bCs/>
                <w:color w:val="auto"/>
                <w:kern w:val="0"/>
                <w:sz w:val="24"/>
                <w:highlight w:val="none"/>
                <w:lang w:val="en-US" w:eastAsia="zh-CN" w:bidi="ar"/>
              </w:rPr>
              <w:t xml:space="preserve">&lt;亦庄新城规划（2017年-2035年）&gt;修改成果》符合性分析 </w:t>
            </w:r>
          </w:p>
          <w:p w14:paraId="25285B08">
            <w:pPr>
              <w:widowControl/>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highlight w:val="none"/>
                <w:lang w:val="en-US" w:eastAsia="zh-CN" w:bidi="ar"/>
              </w:rPr>
              <w:t>根据《落实</w:t>
            </w:r>
            <w:r>
              <w:rPr>
                <w:rFonts w:hint="eastAsia"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三区三线</w:t>
            </w:r>
            <w:r>
              <w:rPr>
                <w:rFonts w:hint="eastAsia"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lt;北京市人民政府关于朝阳等13个区分区规划及亦庄新城规划修改方案的批复&gt;修改成果》及北京市人民政府《关于朝阳等13个区分区规划及亦庄新城规划修改方案的批复》（2023年3月25日），亦庄新城规划（2017年-2035年）修改后，亦庄新城不再涉及生态保护红线，</w:t>
            </w:r>
            <w:r>
              <w:rPr>
                <w:rFonts w:hint="default" w:ascii="Times New Roman" w:hAnsi="Times New Roman" w:eastAsia="宋体" w:cs="Times New Roman"/>
                <w:color w:val="auto"/>
                <w:kern w:val="0"/>
                <w:sz w:val="24"/>
                <w:szCs w:val="24"/>
                <w:lang w:val="en-US" w:eastAsia="zh-CN" w:bidi="ar"/>
              </w:rPr>
              <w:t>两线三区规划图、国土空间规划分区图亦进行更新。对照修改成果，本项目位于亦庄新城规划区的集中建设区，用地性质为工业用地，符合《落实</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三区三线</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&lt;北京市人民政府关于朝阳等13个区分区规划及亦庄新城规划修改方案的批复&gt;修改成果》及其批复的要求。项目在亦庄新城两线三区规划图(修改版)中位置见下图。</w:t>
            </w:r>
          </w:p>
          <w:p w14:paraId="2DC3BEC0">
            <w:pPr>
              <w:widowControl/>
              <w:numPr>
                <w:ilvl w:val="0"/>
                <w:numId w:val="3"/>
              </w:numPr>
              <w:spacing w:line="360" w:lineRule="auto"/>
              <w:ind w:left="425" w:leftChars="0" w:hanging="425" w:firstLineChars="0"/>
              <w:jc w:val="center"/>
              <w:rPr>
                <w:rFonts w:hint="default" w:ascii="Times New Roman" w:hAnsi="Times New Roman" w:eastAsia="宋体" w:cs="Times New Roman"/>
                <w:b/>
                <w:bCs/>
                <w:color w:val="auto"/>
                <w:kern w:val="0"/>
                <w:sz w:val="24"/>
                <w:highlight w:val="none"/>
                <w:lang w:val="en-US" w:eastAsia="zh-CN" w:bidi="ar"/>
              </w:rPr>
            </w:pPr>
            <w:r>
              <w:rPr>
                <w:rFonts w:hint="default" w:ascii="Times New Roman" w:hAnsi="Times New Roman" w:eastAsia="宋体" w:cs="Times New Roman"/>
                <w:b/>
                <w:bCs/>
                <w:color w:val="auto"/>
                <w:sz w:val="21"/>
                <w:highlight w:val="none"/>
              </w:rPr>
              <mc:AlternateContent>
                <mc:Choice Requires="wpg">
                  <w:drawing>
                    <wp:anchor distT="0" distB="0" distL="114300" distR="114300" simplePos="0" relativeHeight="251663360" behindDoc="0" locked="0" layoutInCell="1" allowOverlap="1">
                      <wp:simplePos x="0" y="0"/>
                      <wp:positionH relativeFrom="column">
                        <wp:posOffset>139700</wp:posOffset>
                      </wp:positionH>
                      <wp:positionV relativeFrom="paragraph">
                        <wp:posOffset>131445</wp:posOffset>
                      </wp:positionV>
                      <wp:extent cx="3442970" cy="3615055"/>
                      <wp:effectExtent l="0" t="0" r="1270" b="12065"/>
                      <wp:wrapTopAndBottom/>
                      <wp:docPr id="37" name="组合 37"/>
                      <wp:cNvGraphicFramePr/>
                      <a:graphic xmlns:a="http://schemas.openxmlformats.org/drawingml/2006/main">
                        <a:graphicData uri="http://schemas.microsoft.com/office/word/2010/wordprocessingGroup">
                          <wpg:wgp>
                            <wpg:cNvGrpSpPr/>
                            <wpg:grpSpPr>
                              <a:xfrm>
                                <a:off x="0" y="0"/>
                                <a:ext cx="3442970" cy="3615274"/>
                                <a:chOff x="6021" y="278092"/>
                                <a:chExt cx="5268" cy="6508"/>
                              </a:xfrm>
                            </wpg:grpSpPr>
                            <pic:pic xmlns:pic="http://schemas.openxmlformats.org/drawingml/2006/picture">
                              <pic:nvPicPr>
                                <pic:cNvPr id="40" name="图片 3"/>
                                <pic:cNvPicPr>
                                  <a:picLocks noChangeAspect="1"/>
                                </pic:cNvPicPr>
                              </pic:nvPicPr>
                              <pic:blipFill>
                                <a:blip r:embed="rId8"/>
                                <a:srcRect/>
                                <a:stretch>
                                  <a:fillRect/>
                                </a:stretch>
                              </pic:blipFill>
                              <pic:spPr>
                                <a:xfrm>
                                  <a:off x="6021" y="278092"/>
                                  <a:ext cx="5268" cy="6508"/>
                                </a:xfrm>
                                <a:prstGeom prst="rect">
                                  <a:avLst/>
                                </a:prstGeom>
                                <a:noFill/>
                                <a:ln>
                                  <a:noFill/>
                                </a:ln>
                              </pic:spPr>
                            </pic:pic>
                            <wpg:grpSp>
                              <wpg:cNvPr id="44" name="组合 240"/>
                              <wpg:cNvGrpSpPr/>
                              <wpg:grpSpPr>
                                <a:xfrm>
                                  <a:off x="8623" y="279387"/>
                                  <a:ext cx="1546" cy="1077"/>
                                  <a:chOff x="4628" y="237731"/>
                                  <a:chExt cx="2131" cy="1578"/>
                                </a:xfrm>
                              </wpg:grpSpPr>
                              <wps:wsp>
                                <wps:cNvPr id="46" name="文本框 17"/>
                                <wps:cNvSpPr txBox="1"/>
                                <wps:spPr>
                                  <a:xfrm>
                                    <a:off x="5254" y="237731"/>
                                    <a:ext cx="1505" cy="762"/>
                                  </a:xfrm>
                                  <a:prstGeom prst="wedgeRectCallout">
                                    <a:avLst>
                                      <a:gd name="adj1" fmla="val -77932"/>
                                      <a:gd name="adj2" fmla="val 140604"/>
                                    </a:avLst>
                                  </a:prstGeom>
                                  <a:solidFill>
                                    <a:schemeClr val="bg1"/>
                                  </a:solid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501B8B5A">
                                      <w:pPr>
                                        <w:ind w:left="0" w:leftChars="0" w:firstLine="0" w:firstLineChars="0"/>
                                        <w:jc w:val="center"/>
                                        <w:rPr>
                                          <w:rFonts w:hint="eastAsia"/>
                                          <w:color w:val="auto"/>
                                          <w:lang w:eastAsia="zh-CN"/>
                                        </w:rPr>
                                      </w:pPr>
                                      <w:r>
                                        <w:rPr>
                                          <w:rFonts w:hint="eastAsia"/>
                                          <w:color w:val="auto"/>
                                          <w:lang w:eastAsia="zh-CN"/>
                                        </w:rPr>
                                        <w:t>本项目</w:t>
                                      </w:r>
                                    </w:p>
                                    <w:p w14:paraId="3006CCB5">
                                      <w:pPr>
                                        <w:pStyle w:val="6"/>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五角星 13"/>
                                <wps:cNvSpPr/>
                                <wps:spPr>
                                  <a:xfrm>
                                    <a:off x="4628" y="239133"/>
                                    <a:ext cx="165" cy="176"/>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1pt;margin-top:10.35pt;height:284.65pt;width:271.1pt;mso-wrap-distance-bottom:0pt;mso-wrap-distance-top:0pt;z-index:251663360;mso-width-relative:page;mso-height-relative:page;" coordorigin="6021,278092" coordsize="5268,6508" o:gfxdata="UEsDBAoAAAAAAIdO4kAAAAAAAAAAAAAAAAAEAAAAZHJzL1BLAwQUAAAACACHTuJAYggjb9kAAAAJ&#10;AQAADwAAAGRycy9kb3ducmV2LnhtbE2PQUvDQBCF74L/YRnBm91NtFVjNkWKeiqCrSDepsk0Cc3O&#10;huw2af+940lPM8N7vPlevjy5To00hNazhWRmQBGXvmq5tvC5fb15ABUicoWdZ7JwpgDL4vIix6zy&#10;E3/QuIm1khAOGVpoYuwzrUPZkMMw8z2xaHs/OIxyDrWuBpwk3HU6NWahHbYsHxrsadVQedgcnYW3&#10;Cafn2+RlXB/2q/P3dv7+tU7I2uurxDyBinSKf2b4xRd0KIRp549cBdVZSFOpEmWae1Cizxd3Kaid&#10;LI/GgC5y/b9B8QNQSwMEFAAAAAgAh07iQBhe5HihBAAA4gwAAA4AAABkcnMvZTJvRG9jLnhtbN1X&#10;3W7jRBi9R+IdRr7fxnYSO7GarkpLVytVbEVBXE/GY8dge8zMpEm5RizcIYQQEkiIK254ApB4GrbL&#10;Y3C+sZ2k7XbZrnZviNRk/ud8Z875Zrr/cF2V7EJqU6h65gV7vsdkLVRa1PnM+/ijkwcTjxnL65SX&#10;qpYz71Ia7+HBu+/sr5pEhmqhylRqhkVqk6yambewtkkGAyMWsuJmTzWyRmemdMUtqjofpJqvsHpV&#10;DkLfjwYrpdNGKyGNQetx2+l1K+pXWVBlWSHksRLLSta2XVXLkluEZBZFY7wDhzbLpLBPssxIy8qZ&#10;h0it+8YmKM/pe3Cwz5Nc82ZRiA4CfxUIN2KqeFFj081Sx9xyttTFraWqQmhlVGb3hKoGbSCOEUQR&#10;+De4eaTVsnGx5Mkqbzak46BusP7ay4oPLs40K9KZN4w9VvMKJ/78zy+fffs1QwPYWTV5gkGPdHPe&#10;nOmuIW9rFPA60xX9IhS2drxebniVa8sEGoejUTiNQblA3zAKxmE8apkXCxwPzYv8MPAYusN44k/D&#10;vvf9boVxGEGWND0a+xPqHfRbDwjhBlBTiAR/HVUo3aLqvwWKWXapJYin1eqLs0Kc6baypWuEcFq6&#10;nv301/NvnrIhoaIJNKadwQnKqRKfGVarowWvc3loGmgSvnMxXB8+oOq17eZl0ZwUZUkEU/nNmoTp&#10;RFZzibPXj1MHiCdGiw8BEKGgbLW0YkHFDCC6dhC/6XCItyAJv4FKaMYNXbzwfHt9vOR0QaE29pFU&#10;FaMCoAIdToYn/OLUEE7g6YdQc62IMIe/rK81YCC1OMwtSlcE6FblTkNv12OjUS+azmMhZASs9zTZ&#10;JAqHnVmmw4mzKU96MoPxKGqtEvhx17ex2SgK4SOy2TCOh92Zi0VvszBAm7NZMI5fZrNVg+Rvej2i&#10;dstm98pI5wvekN9o2R2LIY7WYlc/PL36+ferX79iQZeU3DjKSMyu31NIIC4Wmn+HAMfhGOTfiHzL&#10;mT9u444jl3s22WUrrk5/K5nmkqxwxMtSLXe0SGLL0w4xTz8Fk1lV4ja54CV7EMfTYZfWdgeFu4OC&#10;kR/5LjNif6fvW/I2qizSPiUYnc+PSs2wwcw7cZ8uNV4bVtZshcQ5HPvOONf6bizh43N7id45W3qp&#10;ZNfztdOuSeYqvcRRaAWDIi+aRpwUcOspN/aMa1CARjw57BN8ZaUCGtWVPLZQ+osXtdN4qAq9Hlvh&#10;gp555vMlR1pm5eMaepsGI8rB1lVG4zhERe/2zHd76mV1pMASDgXoXJHG27IvZlpVn+Blcki7oovX&#10;AnvPPNsXj2z7bMDLRsjDQzcId3jD7Wl93uCeCRy7tTpcWpUVLjURTS03OEiqwDOtyt++eTbX+d9/&#10;fP/Pb99d/fgLC9wdRThgMjJPd3x3WGYnWUyDoZu7k2aizjFBHHWK6VN+n447x8gSN5che9+ZtO8v&#10;ScrlpOogjKFYJkgfGV6AKFZNCq3UOQ6uzPHEFVa/pu5b8x9zs2gt5mBSsDypCotXcFlUM29Cpuld&#10;424YYrjldCuA/6U5iNrOKW/OHtsHnTONe/q6PNg90+ltvVt3o7b/mhz8C1BLAwQKAAAAAACHTuJA&#10;AAAAAAAAAAAAAAAACgAAAGRycy9tZWRpYS9QSwMEFAAAAAgAh07iQLGFr5K+pgAAtKYAABUAAABk&#10;cnMvbWVkaWEvaW1hZ2UxLmpwZWcAtKZLWf/Y/+AAEEpGSUYAAQEBANwA3AAA/9sAQwAIBgYHBgUI&#10;BwcHCQkICgwUDQwLCwwZEhMPFB0aHx4dGhwcICQuJyAiLCMcHCg3KSwwMTQ0NB8nOT04MjwuMzQy&#10;/9sAQwEJCQkMCwwYDQ0YMiEcITIyMjIyMjIyMjIyMjIyMjIyMjIyMjIyMjIyMjIyMjIyMjIyMjIy&#10;MjIyMjIyMjIyMjIy/8AAEQgCJQG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4XXtRu9J+FepahYTGG7gileOUAHafNPrUcWn6oun2&#10;dxP4x13dPCsrbEs9o+XcfvRVD4x/5ItrX/XvL/6NNdHpsAvNE03zbdX2W8RXc7r/AAr/ALNAGO2m&#10;3qNJ5njbXU2Nt+aO0XLccf6n/aqzD4f1K4j3x+NtdK7mXOy07Nj/AJ41tm1jYyL9mTcxDHDsD+eP&#10;ap4h5MW1IcL8x+/nrzQBg/8ACM6t/wBDtrv/AHxaf/GarvoOsLeJB/wmet7SB82y0/2v+mP+zXUP&#10;JNt+SJt34H/2asq4a6a6TKkTb12DCqPuv/tNQBU/4RnVv+h213/vi0/+M0f8Izq3/Q7a7/3xaf8A&#10;xmtuBLzH72X8iv8A8RTpYJpU4l2/gw/9BagDCPhnV9vHjXXc/wC5af8AxmoDoeqRpmTxpr2/dtCL&#10;FaEk/wDfmtxdJXdueZmb/d3f+hbqmhsofJRXXODuxhQN3/AaAOXXR9WAJfxZ4g2qW+ZYrX5gPT9z&#10;z/nFWLnw5rESB4vGmtuvfKWn/wAZrp5YopImikTMTdVrOy1k/kzfNDJkggfiSFUfp+PrQhSvbQwY&#10;tI1aVcr4z1z/AGlKWm4f+QabNpGrxKrf8JprnLbf9Vbf/Ga6W4s1GM8jsaqfNvVzuaJW+X/4r/dp&#10;tWBO5h/2bqn/AEOmv/8Afm2/+M0lrYalMW83xpriDqMQ2x9f+mP0rpal0y2VbL5hliq/+gLSBnPf&#10;2Tdf9D5rv/fm2/8AjFV/7M1H/oeNc/79W3/xmugLsjbU+b/2Wkhf/lk/3wv/AH0v96qcRKVzB/s7&#10;Uf8AoeNa/wC/Vt/8Zp0GkavPFvXxprXU/wAFp/8AGa6Gq0SL9lib7r7flZf9qpKk7GUNE1lv+Zz1&#10;v/vi0/8AjNRf2RrfzOPF+t+WP9i0z/6Jrad2T906/KfvOv8Ad/8AZasqqqqqPur92mxR21OfXRtZ&#10;dVYeM9a2n/YtP/jNObRNaX/mctb/AO+LT/4zW28W5mdGZH/vUebtbbIu3c21W/hai4WOa/s/WIop&#10;ZZPF+t7UG7hLT+8y94f9moGW9Rwh8Y6/uZcj5LP+9t/55e1dWYIniaJ13Kdysu7b/Fu/9mqD+y7H&#10;creT0TYvzN8q0mC2MK0s9UvFYx+MdeGF3fNFac/e/wCmP+zVsaHq/wD0Oeuf98Wn/wAZrVt7K3tV&#10;byUZfl2/fZv/AEL/AHqnT7i0+gdTBg0TV5wn/FZ64Mttb5LTg/8Afmr48Lav38b67/36tP8A4zWl&#10;ZoZbqX5vlRlb/P8A3zWvSGcTDourPdzQyeNNbQJ91tlpz/5B9xU50HUV/wCZ417/AL9Wn/xmtu7W&#10;KO8zn52/9m//AGKioAzv+EW1b/od9e/74tP/AIzSP4X1kJ8njbXM/wC1Haf/ABmunhffEretSUAc&#10;L/ZGteaE/wCEt1z75VvktOPQf6n73/jvvStpGr4BHjLW92fu7LQMv+8PJrobwrLKBGN0g3IJBg7D&#10;jpjv9PzqB4nMeyeJkUHZH8+/Z68/4/h6VRGrMcaNq7f8znrn/fFp/wDGaX+w9X/6HPXP++LT/wCM&#10;1q+YV2lxvRy20/7v+f8AeqVVRlVk+6aNA94wo9G1h9+fGetja+37lp/8Zp/9h6z/ANDnrn/fFp/8&#10;ZrXh+WWdf9v/ANlWpqljjK5zzaRrQZl/4S7X2weqpaf/ABmk/snWv+ht8Qf9+rT/AONV0Q/i/wB6&#10;igo57+yda/6GzxF/36tP/jNH9laz/wBDb4i/79Wn/wAZroaKAOcfS9aVGb/hLfEHA7xWn/xmpH0b&#10;V0RnPjPXNoXd9y0/+M1uXH/HvL/uN/6DRKPNdo+flG9lHf0H4mgDmmstUhj8yTxfrox97EVocLtz&#10;n/U+6/8Aj1RTQahEiN/wmeu7nbChoLbn5tv/ADx9q6JYHZtskShH+RlX/Z+bd/wJt3/jtMksLTYu&#10;+Jm8pdqfN/DT5RXszGtrDUrraI/G2tMxXd8qWnT5f+mP+0Ks/wBiazuA/wCEz1z/AL4tP/jNacWn&#10;R6dKgWHDKmFZW/h/+xbb/wB9Vabqn+9/7LSGYf8AYes/9Dnrn/fFp/8AGam8NjUbfxFqdheazd6j&#10;GltBLGbkRKyFmlDfcRf7q1r1naR/yPGq/wDXja/+hy0AdOnVvrT6YnVvrT6ACiiigDzvxh83wX1r&#10;/r3l/wDRprsNE/5AOnf9e0X/AKCtcf4u/wCSL61/17y/+jTXV6PcINCsMiX/AI94vuxMf4R/s0AX&#10;1b/SnX/YT/0JqfVH7Uq3z/upmzEv/LJv7zVN9s9La4/74oAsVn3P/IWh/wCA/wDs9WhcO3/Lpcf+&#10;O/8AxVUrmV/7Rtz5Lq2V4O3n73+1QBp0Uze//PF/zX/4qm+a/wDz7y/99J/8VQBLUCyhYXbPzb3A&#10;/wC+mpXumTrby/8AfSf/ABVZcMrbpf3Tt+9b+7/e/wB6gDRF069V3VOES4tdsi/K3UZ96ymn2su6&#10;J13NtX7v/wAVV6PzpoEXBjj/AI2z8x+m2gDNjO11glkH2T727AVH77h/s56/4GtGeHHuD0qKZlmA&#10;R0AQdMAZWi3lEf8AosjqvPytkDr02+3p9MU1Ilq5Ud/s8Tqfuqvyf/E1pQTYsWmPIG9l913Hb+lU&#10;braboRqPMdH3ADpn/a+nDH/gPrU8r4sTZ8K/CJgYBH+z+FDGncZt+9n5mb7zN/FUcqfL/u/Mrf3W&#10;qSmfNKdoban8TU4yE43Ikled/KHysn3mX+L/AHavJBGkWZF2xx/rUKW6uVSPcpX7rL/n7tG+9klH&#10;yxlIW6BCA5/+t/On6EvzJvsLojPwXPJUVW8pkZvL/wCBI3+flrRS7LEqY23r1FMmMTrl0ZP9rbU2&#10;Y+dFNHV/l+6/8St95aWqP9o20+ofZBv3/Mqyr8vzf3aWaV2V9pRkUZVmO3f/ALO77v8Avf8AfNIu&#10;5YRYWRVjZeP9r7v+dtO2f7VRQzr8yhJmZfvs+1W/4FUvmf7O3/eammyGl1Dcy9acn3aYzyt0WL/g&#10;T/8A2NOtIrh3yxgVR6ru/wDZqroSt9y1Yqq3EjeqL+mf8a0ap+UwuUwVX5G3FBj+7Tmt3P8Ay8zD&#10;6bf/AImoNSnqkQZkkH+t+6nu33l/kR/wKmVYubFZID++m3r8ysXPBqjbyoybIw4Veiv/AHf/ALH7&#10;v/AaAuatk+6Lb6VBeTknyov9Yff9Pr/LrUBu2t8oBlz/AOO/5/hHepre2dR5pI8w+v8AX39adhXH&#10;QW6wTpn5nKbdzenpVqMZL5/vVEySnaTtOKI2nO/CJ1ptEJlC6s2toJJIclNm3YecD/2b6H8CtVmb&#10;ynYx8fMu4N93b/RvY8/WtloZJUKSONrcECqP2RZonHzF0/dM3c7f50rDcn2KonTezFlRmb7rN/s1&#10;IHVukqf8Bao5LdokkOzd93aqr/T/AOJ/75o8qGSYxoF+T7xdNw/Nen44qyFqTBWbd838VG35tu/5&#10;qYkR2OYwrpnGbdv9n/Zpio3zKXfev3d33lX/ANCpalaEu6Ldt3M397+LbSb1VuGVv+BUkTOvyssW&#10;1f7rUvnp82dysv8AC1GvULR6EbKkqs9yPl/hVv4VqCL5gsS7Gy25l27WX+Hd/wCy/wC8zf3alL+a&#10;6tu+X+Hayr/6F/47/u0J5XzM9wqu33W835tq0nYauSuq/Z2RPk2r8v8As7fu099rLtqFp13ffhdP&#10;975qWJ5WiVkt2+7/AHqce5LfRsvZN1aAEEMCrH6Hr+hNUHldWgULu2ttZt3y7trLVm1hlcCOVlSI&#10;/wAKNz/u1UI8qZbd1b5JW2n1X5ttTIqHwlhklZv9btX+6q1Q0VWXxtquXZv9Btev+/NV8zovyht7&#10;f3U+ZqoaKzN421fKFMWNr8rdfvzUizqE6t9afTE6t9afQAUUUUAed+Lv+SL61/17y/8Ao012Gjf8&#10;gLT/APr1i/8AQVrj/F3/ACRfWv8Ar3l/9Gmuw0b/AJAWn/8AXrF/6CtAEv8AzEl/2of/AGb/AOyq&#10;wzKv3qiZf9NRv+mTf+hLUpVWXaaACs+8/wCQra1d3NF15T+96VUuQjXUM3Hyf5/+K/75p2FzF6ob&#10;iVk24p/no27G7iqTvvdmNFg0Hyy+ay/LVaFdrS/7/wD7KtSUirtZ/wDe3f8AjtIYy5/1G/8AuMrV&#10;q2v/AB7D8azmXejKfusu2nWd6m9MPlWXdtXmgBtRsTPsEY3EFuRxu2/w7vrjntj+9Tp41nyoH7s5&#10;Xnkf5/yfSmoro7KWZlf5tzN/FQA+wVGlmVgvmAn6hc8rn69fz/iqa6hIVf7yfcY0wROx3RqzOnzL&#10;zj/7H+JqvW1wlzH23DqBTTJavqjMjV7ptiKyp/FVieJYNkSfd206ZHtp/OhXIP30H8VWi0MsSznb&#10;sxncfShjTuU4zKOYUBc8DP3R71oRRJBEEQfKKrWyBwbnAG/7nsnb/GrtIZVnjJxLHu3p/CP4/Y1i&#10;6neNdyCzjkkiWRAUGw/vS3Zv9j12/N9B97pKyCHuWaPZhvnXeR/AzN+nyr9aAKKW6QxrBEWlmESq&#10;ZmLb2w23q38P0+92q2IolXbsUr/7L/d/3aXyvJZl55bczN3/ANqqOpXtzZpELTTJb6STqqOqBOQO&#10;W/P/AL5ovbUcafM7IvvYGWFpYW2udvysemOwPb9R7UsU8Ucrx3ESoVGc7eg/2v8AHpRa6mkkbott&#10;dKYl5DRMMn0BbrVK41yAXqWV1Y3URZWljYqGDFP7uxic1POP2Tb2Nz7PA6/cQj2FQBIY0kd/kRP4&#10;qx4NXtSrta3cW1pGz5jBGD85Qg9/lY9ulRWfiCymu7hUuGuhbyRgzIUEYMnC455qvaLuL2Mm9tje&#10;ht3YmRy6E8BN33RUv2d/+erVYBDDIozT5mZ8iIPswb7zE1n3CyWc7PGY/Kx91+gz1/Xb/wB9GtCa&#10;YQoCQWY8BR3NVYbYGc3DDc7HcDhl9un0/wA80XZSgkJaWuxBNKhaXdn58Fh+Pr/+qrs0yRKfmG7H&#10;C0s//Hu/+7WX/u0hlj7ZN6L+VFtdOZNr7ApZsmq9OtkV5gh+6S1AEy3kzdl/KobS7kXzjtU5lY0g&#10;6VHZ/wDLf/eegC0bkv8AfiT8KbItvvVwdzDo23kf8CqKiqTE4JjII9nnbGbk7dzdenr1b/vqnxR3&#10;NvceaGafeNg+b7vfof8A4qpLKZEe4SToX+9/wFakniKTW5j6b+P++Wo0ZOqIJ7kwNm6to3/2gmP/&#10;AELj/wAeqY/ZzFugthKzDhVX5T9T0qf7VsGZFIx1NVxH9rmPnj92OBGwH5fpn/8AVSd0CaZXt/Il&#10;ilkSQGZshA2A4/8Ar/0wKTzYkXYW27fl+ZdtaKWUETZQFR/dDnH5VTvbOAHzPN8p84GFHzf7PHNI&#10;srqkUrbtiMv+7UllbxZSNcozxcsnyn5dtRywv5Tym3DKgZtzPtb/AMdap/JvITm3tiD7yhv502TB&#10;aE7pcRSZEYdP7ycEfUf4VHLJDcws5jR3ToMc7h2qyZ54oN8kWWHX/IzUM720sW9lw+wlGzj8Mj+V&#10;F+4uTsEkKSQJNaLgfe2p8u8GsnSEZPG2rb0ZWNja9T/tzVpW4nt7eEj502L8wHI+X0qhplwlx411&#10;R0ZW/wBBten+/NRYaZ0SdW+tPpidW+tPpFBRRRQB534u/wCSL61/17y/+jTXUaTFKdEsMTIP9Hi7&#10;t/dX/arl/F3/ACRfWv8Ar3l/9Gmup0e6tholipuIsrbopXev90UAWTbytKmZvm+Zf4v/AIr/AGaX&#10;7Ez/APLdj/wI0SXVuJYSLiLbvbPzr/darKMvykMrf7VAGDql3HpJt/PN46TMVaWJCyx/7T/3VpGv&#10;QZ/s9sklwPJWXzll+QK+QO/+znijU74Qa3DHPZytCYtsdwkLOFYt8wJH3RgLVC91SDSnxaJ50JRL&#10;llibjyvlRdn8O2uWtX9nFtm6UYxTaB9IuFtba4s5WTUE2O/mXErRn+8vJ/mKc99dWtxGdSXT7a2d&#10;9hdLpiQxHHXaO1WLPxDp95aPch3hiRtrNKu35qAsepR+dEsM1u/8MyZ+ZeOhWuSON7Giano9R1lq&#10;GmXt89pDdhmH3GDfJJxk7Dn5sd6vSWqRXZjLvt2btw/vVhtbpb3ulyJCsTJdERRwxbQcowfPTHy/&#10;MP8AdrcuJMh2eKZAh4lbGOP4s7q9GjU9pG5lVgotcpZh+zxJt+c/7WAP/QaZbGIQxNNGZJscs53c&#10;1Whl+0xbQu7em7cjrtZf7y/NUyJcbF3xLu/i2uu2tDEsSXCSsMxZx935qhMoSRCEXZv+f/ZFKIZn&#10;zhE4/wBuhrS7K7fKhZfeT/7GgDTQKq/IBj2qrcI8UnnRY/2txPtVaJ76ArbGODp8jFmxt9OnWrJ+&#10;3t2tk98s3+FAEoYXEGRuXPY9RWdu2XGF3rCGzNtA27v9pv51LJbNEyuWbZ/EEYov4+3+enSSEw72&#10;ZAoR+o/xprXQh6O5cGOCK58atqMd+6HT2lsMlFeM4kyMclW28delGrXlxYxLZWAje7mZfKRufLXP&#10;zMRx8i8fnUGnQHSNFgtrmbzpk3szr/GzOWOM/WuXEVvZHTTpaXfX+rlm+1eZIHP9m3roqOSsXlsx&#10;x7bv0q8sS3NgJrdfJuJI8oXGGBI71lnUEkgKSK+4gg7OPyrGj0+RLhHt9U1FGjcMkcl0XjOD9wj0&#10;rCljoS3Zt9WbXYdp9o+jymxsIDDqggDv5jt9mnxsV3Xrzn6HnmtOPVGXU3fUBDaiaJIoIWcO7Nvf&#10;J4/h+7WTZQzXseoT3qNBfB5rdC0kixhBsywb+FdyflUln9rNsI9Wjt7iWFl8mX7zr838R/75/wDZ&#10;qjFYh09Lbid5S5Fq+50oCxptH3R/eNULqS0Yv1Lt/cdlU7fu7tpqtJcSTN87nH93+Goq8yeK/lOm&#10;NBfaKECanZQz/ZFtIZribzp3idj5jN95vmXj/gNQSz6nJKYb6Q30BVfMiiOx05BVlZV9R/47WtVe&#10;Mf8AEwuG2/8ALJPm/wCBNWX1ire9zOeH1TTdzT0bUZJbdT9oeR2Tzt8yKjuN5HIX5ei9RWpPremW&#10;uftN9bW7AlcTTIvP51z8yxS2zCSxtLmZEZYmuIt+P4sN/s1lRGz1G1E97YWC/v2MyFY4ZDKrK2Bn&#10;7w+X5t3/ALLXtUcdGcVHqYSpLmSl+h2YkM9wZJIJJI/4MD8R/n/CtBZ3b/l2mH+9t/xrM0nWIb+L&#10;y0R4JE/5YygBto/jAB5Q9mHFbY6V6EZXOeaadmRSF2Ujywyn1bFZjxXIchbdduf7zf8AxNbNFMRi&#10;7bn/AJ4r+bf/ABNOthOJlYQr95/vMff/AGa2Kgt/9Uf99/8A0I0AZStLt+4n/ff/ANjRbJMvnLsV&#10;s7m+9/e/4DVtbOZV2/J+dTWyGOR0ON2xf5tQBR2zf88v/Hm/+Jo2y/8APL/x7/7GtmigDGggmd5s&#10;IPv/AMTf7K1YSKaKWLeF278/e/2Wqe2/4+bv/rov/oC1Xmked9kSkhOf97/6386AEd5bqXZHlVHQ&#10;7cg++f5VL9mdAohRUUdt1SWrRKgRflfGSpG0/lUkkyxjnr6U1foTNLqUCZ5Yt2Qm7++eV/CnQWmX&#10;38lujO3U04xssomb/lo6qy/pWgBiqvYzULmbfwf6KQpxuZV/76IFT75ofvfMtSzBSEU/xOP0+b+l&#10;TcVPN3L5OxElwj98fWo7qNGhd8fOEODTntkbpwaj/fQ8H50p2T2FeS3KkBuIrRJY23qyhgNvXPt/&#10;h/3zVKwdX8d6thcMLG2z/wB9y1rWcsXkJGpxs+Tn/Z4rNswP+E71X/sH2v8A6HNUlXubqdW+tPpi&#10;dW+tPoKCiiigDzvxd/yRfWv+veX/ANGmuy0dUGg6cSB/x7Rdv9kVxvi7/ki+tf8AXvL/AOjTXYaT&#10;82g6X/17xf8AoFAE90VaS2wA377B/wC+WpDbxFflXYv91GKfypL1eID6TJ/6FVLX7e1n0d4bkDyJ&#10;JI1YZP8Az0HpSexUVdpFiSxDxSCOWRWZSoJcsBkdcGuctILy50Lyp0Rrm2Z7fcyAeeiNt/4DvC0i&#10;abJZLHY6d4i+zzI+DHNiZiDkqMFuOD+NZuq6XrFvaxwW900/nTO8zRYhDO7Lxjd/vV5+Mqfur2N5&#10;JQg7O/ydyXTty2620y/Irb4lb5vl3fxf7St8taUE5iK20bbfM+VFX+H/AHa46we7txe2xfY1rumx&#10;97a6sEb/AMd/lXTJqyEra6JDDcE7iybyrv67mf6985xXh05dRUsRHks1qaeoWtzqVnJaqzWbbkdL&#10;jcrOpUhshR9Mfe702fT4zaf6Xm/ZFX/X8jOACdnTtu/GqlhZajZaSkV5cBtny7E/gX+7u/iqjqse&#10;pypEliSyK2XTzVRT/d+81dbxs4QtY0jfl5y43nQuj6WgXYuPsTPiJ/8Ad/uN+lbtjNHfwJPCreW/&#10;quxhzj7prD0fzTE76qURyfliRen+1uVmqW4E9pdx6jp7RbW/dXIlcp5n3VQ52nlfu/8AAq7cHi3J&#10;fvAqJSXb1OpE8ML7FXjuRVgHIyOlczcapJb6lDHdWqRWkx2LciXO1/QjHGTwD7V0qKqRgDoK9SMo&#10;vY5ZwcbXIJoVmTD/AIMOoPqKo3GsQWbJHMsryuGIEMLPkDGTx9RUPiPVrTS9GuWuJArNGwRBjLnH&#10;QA1iXOh6Jp6uYbWVJtmz927ufmHI25x/31WNatGlG5cKateV/I2vD+v/ANsWjySWzW00ePMic5K5&#10;6fpUGs6tHpckLpbXEkcnLukZ2RIOpb2rHfStO88XEcc8d6uxUufMyw2fKrYPy8he4qd44Xu/tTo8&#10;04zseaXeEz12p0rm+v0lHfU6Fh05Xtp2MzW7240u+F89x513dW7RReUNiQIdp4/v/XirtnevqFlF&#10;cyfecfN+Hy/0q/JDBqtp9mu1SXa25Ub5O38LL0rIhtJNDmSxnm82Cbd5L7cfN/EGrx8TOdWfP0CL&#10;lCr722xoUd6KK54neRG4g1SW6b7RM7Rytbuquyqm1V3D7vqWqWmySuqbtqMiL8y7fm/2m3f7v8O3&#10;+GnFdrbT96u7FTlUSkvh6fcrnNQgoXXUKKKK4TpCogqrds275ni+7/ut/wDZVLVSZtuoWnyt8yum&#10;7d/ut/7LQRU2LdQvZ20txDNNCr+W27b/AHqmooHOEZxsyulhcyMjW159lmV/3NwqZbav/LN1z9xv&#10;vbf4fxrptP1IXMBW6jW2vI1BmtvMDmPJOOR64rCRijq4+8tRTx/aVhKzGC7gz9muVG/yd3X5O4PT&#10;5q9XCY5Q9yZyTw91ZnaQzrMvHXuKlrmrC/aYmOWMQXkIzJCCWC+mH2/OMY6dM81tQXLu4R1H1r2Y&#10;yucM4uDsy5Va0ZXt969C7kf99GmGRrl2jj/1Y4dwe/oP8atqoVcDpVCFqFT/AKW4/wBhf5tU1VuV&#10;1AnHDxf+gn/7KgCzVS01C0v/ADPssyS+W219vY1lajfXE7JBp5hkkEmyZGPzD1+U43CmWWmwwsBb&#10;xgO4+d87vqN2d2Mr+OB2WgC4DJNcTCH7juG3cHcMY/75+X8a0YYlhjCD8TjrUFogjmuQNx+ccn/d&#10;FTSybOByxoSuKTsQXG1LmGReoyGHsf8A6+KljgOd8nLU3yeMvy+5T+tWqe2xKV9WV7r7sf8A11T/&#10;ANCqzVa7+4mSOHU/rUqSpIuUdWHsaRZHN/r7f/rof/QTViq8u3chYgbW3cn61KkiSfddW+hoAfRR&#10;RQBnR22JbhQcZfeB7Ef/ABW6s3TldfG2qh/+fG1/9DmrVLNFqibuk0e38V5/qazbT/ketT/7B9r/&#10;AOhzU+boTyK9zdTq31p9MTq31p9IoKKKKAPO/F3/ACRfWv8Ar3l/9Gmur0mDfoWn5d9v2eLhsMPu&#10;iuU8Xf8AJF9a/wCveX/0aa7DRv8AkBaf/wBesX/oK0AFzbbUHlHau9Pl5/vLUd/psWqWT2d7Gs0L&#10;7c7j6c+lXpvuf8CVv/HqfQNNp3RzWo+HreLw1PY2VtsEa74fJPzh1O5cfjWdbxa3DZDVNSvEjVP+&#10;Pi3UMI1gxkkDG7zB657V2Vxv+zy+XnfsOMetUb2M3WiTRKrOXgI28Zfjpz69KzlST0NYVX8MurOd&#10;TTbG0lnu0e5cujfKHVg6ZDZX5ed2KqalpVvel3tpZrd5DvdX+Zd38P3W+X+KtSwtJrWGG1kszBFH&#10;bmKImfexxz0x/Wo6+exdH2Wh0ww9OV0Zeh6TcadqcM0tzC8KMzbdz7hlWXKj7tdBNFBLKzrMBn5j&#10;VOiuaM7K1janh1T+EmkhVFUwyRSNu+7v21FeNc3rW9skUNvbs6vM/mq33W3Lt/75/lSUU+cc6PPu&#10;zYknt/LZS8Z46NzVMW+pvmN9UYW4zs8qMeYy/wC05/otUSyou5/ur8zUrasoj8mNLhzIR50zY8u3&#10;Y/eTduXDL+ld1HGSjFmFWCiZxa5mvbgadEtlC0pL3LLulky247T/AHTWhtTezoiIzf3Vp23b8o28&#10;f3aK4Z1Zz+JnRCly6vVhRRRUGoVpW9wtwjROdrsuPqtZtCsytuDbWq4TcGROHOglT7LcfZ2Yn5dy&#10;O7Ludf4vxX+L/eWirVzbpq1l91VuIvmR9vzI395ay7OeaVZUnhZJ4X8p/l+Vm/2adSFnzR2MqVTl&#10;fJItVFCPLj8rtGWRf91WZV/8dWpe247to/iVWb/0GjcrqrBWXO773+81apONB+bRTa9qvR/oFFFF&#10;cxsFRSKrSw5Tc29trbfu/K1S1FPKsESyn5VDpubd/DuVaIkVPhJaKKKCwooooApXsKTtbecm0QSe&#10;Yt0rqptj/eG5unqvtW1bamp8mGe5txNJ8hmVtqSMf4U5+/8Ad4NUGUMCCNyn7y1Smt2luIkVImsj&#10;hXi27SjZ/wBavo6/3uq/pXoYTHSp+7LY461NvfVfkegRqqRhEGFUYFPB4rlLbXoLCOOGaWSa0TEf&#10;2pmDmPA+9M38O7sa6hJFkQMpBB6EV7sJxmuaJwyg1r0Jaq3O4GJl42yjP06f1q1VCZ2uGaCLp3J/&#10;z0qySF03PLFbrgTNuc8jsF/LitCKMRJgMW7knqaZaoEtk4UMR82PWpi6L1YCgCtCcT3Z9HH/AKAt&#10;OthkM56k1VRvOurhE+6XXd/3ytaCgKoAp7Ijdg3BA9TT6jk/1kX+9/Q1JSLMzVWdUhEaOzM/VR04&#10;61XgV1j8tBImZh91D/ePzfMP84rSuvux/wDXVP51ZoAztjxH94zvnZ2/2jTbBJkaXzpHctjDENx7&#10;cirVx/x8Wv8A10P/AKA1WaACiiigCtclUWKVv4HH6/L/AFrJtP8Ake9T/wCwfa/+hzVqagudOuF/&#10;2Cay7T/ke9T/AOwfa/8Aoc1AG4nVvrT6YnVvrT6ACiiigDzvxh/yRfWv+veX/wBGmut0aUf2Np42&#10;v/x7p/A391a5Lxd/yRfWv+veX/0aa7DRv+QFp/8A16xf+grQBYkf902Ef7v92lMr/wDPGX/x3/4q&#10;nzf6l/8Adp9AEHnv/wA+0v5p/wDFVWt7mUrIq2kh2ysD8y+uf73vV6uX1LUriPXZNOt5TbA263Rm&#10;Chy3Jjxg/wDADSnNQV2XCDm7Iv39zMbuxiKGNJGkDqSDn5DWTUtq115jGbUnuk2HYksIVgcf7HDf&#10;TFRV4OY1I1GnFnoUIcmjCinbHVdxRlVv71Co7dFrzuVm/NEbRT/Kl/uNVea6trW1e5ncbB91f+er&#10;f3V/+KosyZ1YQjdssBhBsY7dz/MPmXci/wB7a3/fP/AqR23HaNyoOitXI/a5tfuPJuyxmZv3Lqqq&#10;sS/MzfL/ABVahutQ0bYl6m+03bFfd93/AD/dqfafZWxx0q6lLma07nRUUyOVJUV423K1Pqj0LhRR&#10;RQAUUUUDJYJ2glVg3y/xVT8RI9rcW+sRysYl2xSpt/gZvvf+g/8AjtT1YSeF7RrS4Zv3zeUi7fv7&#10;l+7/AOhVvQTq/u0cmJhpzlCCb55R9oZ1kVXRMLt2fL833d33v9r+L/dqeqlu/kXctjNEqThd6tsV&#10;WdN3+z/8U1W6vFyXNyrpp/Vh4R80bhRRRXKdQVDdtClpM1yivEqNuVt3zfL/ALNTVFOiy28sTttV&#10;0ZWbbQRPVMl+61FRW8qz28UqHcrorbv+A1LQEXdXCiiigoKKKKAKqWSrdyXEEghlcbX3rvVl53Ar&#10;/tUaZrEemrshR20yPhrfq9qq9XHVnBLcj+Ee1WutY+pK8WoQvFE4eVlUSw/eDfw/5/2q6sPipUpa&#10;HFiIqK5orTqv66ndG8W6SNbZw4lG5XXoy+x/rV2CFbeLaPxrk/7ag066YWqCaziI+1r9z7Kvy4dV&#10;xync4+tdRLKv2R5lOQqFgR9K+hpVIzjzI45xtr0COVUtI29UXFI6pFEZrg/Wo7SMvFEX6KgFF26o&#10;252AVBnHqW4/xrfYxj72rIUlwu9V8t3OXA+b/dqxDM8qOhOXxxVNZVbpv/74agvtXiJ2bd/s1JZb&#10;gSRJl3g/e/oav1km7uHuItkSgbujP/stWh++KfwK3/fX+FADLr7sf/XVP51ZrNvpZ4kQ+SHCuvzB&#10;8fpSLqNwTzaKq/3jL/8AY0AXJlzPbn0f/wBlap6y2uLiW5hQPEmWOPkz/Cf9qrey6/57xf8Afo//&#10;ABVAFmiq2y7/AOe8X/fk/wDxVNWG4Z/3lzlP7qJj9aAHX3/IPuf+uTfyrJtP+R71X/sH2v8A6HNV&#10;y70+2SzncIchGOd59KztOhSHxtqoj3AfYLX7zMf45vWgDoU6t9afTE6t9afQAUUUUAed+L/+SMa1&#10;/wBe8v8A6NNdFb6jHpnhzSpJEkfzIoY1EY3HcVrnfF3/ACRfWv8Ar3l/9GmtS+sYr3wTauzsjWts&#10;k8LoT8jonDcc0ntoXTSc0pbFiLxM9w6xjRNUTecb3jQKPr89SnxDP20PUD+MX/xdZ8kjuxJduTmm&#10;bmavInmbjLl5Tu+rwNmTWZVHy6ZcHgfedB/7NWO4M91NfzW8kN0/7hBJIr4j4b5dv+0KSmttVefl&#10;rCtmMqkHGxUaEYaou2MTGbeV4A60y5SG3OxC5f8Ai+arOnTQS2+2P7wZs++1tu76ZFUJd3mvn726&#10;uaS5YIcX7SRFfpcalA1vC8SXB+aJ242/3uf93/0Gudjl1ex1kWAvWMxlVNrLuT5v96t64mNqi3KM&#10;FeP7jOMrub5fm/76rl5rq5vdTmu53WK4hRmbZ8jbl+VV/wC+mWuec9u5wYxKE9DpdWs79YZLi7vo&#10;4rcSszLEgBVM/Lzt3Fq5jUoreW7meHUTcRRqu15n3O/+7/eqvNqV3cW6wyTO0Xy/IzNt+X+Kqp2/&#10;eC4/2d26sa1ZT2OKc1I3vD1krTfa/ORtnyqi/eXdu+9XQTRJPE0Ui7lauLsJ7iC6T7K/zv8AKy/w&#10;/wDAv/Qq6rTdRS+t3bem+H5X2t1/2v8Adp037p6ODrUuTkkZ8uh3cTs1jfOu75mV3ZW/76X71P0f&#10;UZmmeyvdyzL9zevzGtysjV7OJf8AiY/Orwrubym2s/8Ad+ajktqjecOT36Zr0VU069W/tFmHyt91&#10;1/utVurOqMlKPMgoooqigqC52rB5xfY0DeerbtvzJ821m2ttVvut/s1PTWVWXaVVlP8AC1a4epyV&#10;E+xFWHPBxLGq6XbX6rebnS4iVtjRPt/4Cx//AFferM029+22u98LMvyyov8AA1aVtN5LeU6M8L7m&#10;27V27fl+X/x7/vn/AHaztb0+S2lGp6e26XGXT5isw/4D/F/F/wABrbE0/e54nDCbpO/3lyiobW6S&#10;8tUuI92x/wC996pq4j0YyjKPNEKNu75aKKoGUtJZjpVuzRLF8v3V3f3v9qrtQW8cen2iLdPcSpud&#10;fPCZ27W+bf8Axdd3PpVlht24IZSu5WXoy/3qfI0tTGjOLSj1G0UUUjYKKKKACqGo3CwGN0My3A+S&#10;LYu7LPt3Ff8AdVf++mWrp6VUz9o1aVJFVvsHyoy5272X5/14/wC+arZcxzYjW0F1Galb7Lj7dapl&#10;kX97EekyfxI395dtbWkagLsS6b8nzJ50K/8ATueMcfxKdy47fLVX3qtA76bcPLBDGyhWlT5Pn3fe&#10;ZF+buq/99YruwGI5KnK9mZ1qKS9fzOujaSYmOJwsY++69c+gqSO3iWdht3sqL8z/ADN1Pc1FpVxD&#10;dabb3Nvnyp0WVN33sMM8+9WV/wCP2b/cT+bV9A3c4EnHRjLqIbF8uP5s/wAK1ElvmF3KuHHQVo0U&#10;AZSRP9oh+Ur8/wDEv+y1atQyf6yH/f8A/ZTU1AFLUv8AUL/11WqdXNR/1C/9dE/9CqnQAKxW/tsD&#10;Jy3H/AavG7wcNbT/AIJmq9jGr3DzHnZ8i/7Pc/8AstadAFT7b/07XP8A37o+2/8ATtc/9+6t0UAZ&#10;13d77KcfZ5xlG6p7Vm6fL5njjVW2On+gWv31x/HNW7df8ek/+438qxrT/ke9T/7B9r/6HNQBuJ1b&#10;60+mJ1b60+gAooooA8+8VcfB/V89PKk/9G1tXrkeC7l4j5biydkKcbfk7Vi+KF3fB/Vl9YpP/Rtb&#10;9s+7wiXKbx9k3Yz975KbXuMcHaaM3TrJJ7RLu1uJEupoV3u+58FkX+E/L12tUlxYPBZNNI/2m9Gx&#10;TKyY+Xf/AAj7q/L6VjXt1Z6n4c0sQT2itAIZJ0Nwn7lNuGzuPrheazLDQIbq3Vl1S3V4f9ZsRpET&#10;0+cfL9f7tfP1qc3NqELm8nOM3ypnTBWborVS1azvbqy8m1R2Z3Xev95a6wjdhgQytzuXvWddXMRR&#10;reRJUYttX3/2v/Qm/wCAtXPPDKO7N51eePL3KunL9iLLLLuSFNqkD+Fdqr/n/ap8zLcO0qDDfxLU&#10;DiI2l2r25liELHylYruGR3FAYqdw+9Wcn7vKaUocrt2EdVdGR13KV2stcnqiW8CK1srK/m+V937u&#10;z5f+Bfw/9812BZH7qJW/h/v/AO7WZLq8Wk6SXsXhllnumZwWzlW3cr/3ytZSguphjOWS1MLSrBdS&#10;1BWlQm3/AI/m27FH/sqitu/8JJLDLc6XKjI6q0VuM/N/wNmrNs9Uewvbdzsd3t/mZ/l37vm2t/47&#10;83+zW1YLY6pZLK+oPDvZl+zyzK+3b/D8+7d/eqqMKTVupwUlBqxz9/py6Xa2s0N3DNFc7vm8ncvy&#10;7f726jTLW51rUFhSaOGe2i3xMqqF4bP8P+01bPi6exktmiS+JuQw/cB9wP8Avf3cfNU/g7S4orf+&#10;0RcB5ZAyMi/dT5v/AEL5Vo9leryrYPZ3qWRn+IdSutOuLexgl+eGFfMf1Psv3QtT6XrMV+vlOqpc&#10;f3f4W/3aoeM1269u/vQq3/oVc/8AdbcK5603Goy1iZwnbob0tpfaNcyzWKb7U7dy/e/4C38VWLPx&#10;Ck7sk8Ji2ruZ1O5ataNdXV5YebcMpbeyq23buWrskMcrq7orSDG1u/8AepqPVHfCnK3PB2XYS2vL&#10;e8XdBKr1NVebSNGvN3mWhhc/xwtt/wDHfu1FHby6Sn7y5lvrdmVVZEy8S/NuZl/iX7ta2ZpGtOHx&#10;ou0193yY3L867mVd3y//ALW1f+Bf8CoDK6K8bo6H7ro25W/4FQVVlZT90rtb5tta0ZKFROSNp+/D&#10;3RERIt+xdvmvvfnq1W7a4VD5cnzRN+lVYN8qfdd3X5X+X5t397/gXyt/wKmeeWumt44ZX2f611X5&#10;YvlZv/Zf/Hl/vVvKjWlNy3t+Rlz0lBR2uV73Tl0OZ9QhZ2t5GXzYkRdq/wC3/wDYrVtJEliV0O5H&#10;GVb+8tX7bZdQtbTKrfKy/M33lb7y1hWVvNYXd1ZNE/2VN00UrN8qJ/dZv9n/ANlauecOq2M6cvYz&#10;5HsaFFQm909VZjqFt8v3tjbtv/fNRNrOlruxdu+35vkhZqz5Tb29Pucxr3y67cMOG+Rty/7itXS6&#10;HfSXunETJtRnba7PndKq7m/Plvwaqry6dPJ9rj0O+vpWZW810KJ8u1V/i2/w1Ynj1S/2LPcRW1uN&#10;rLDb/wAH935v71EFyNu+551OMvaOUNTR2sqb22qn95m2rS+RK3RN3+781ZkejWSnfJCJZf4ncs27&#10;/vpqi1PRor2JPJiRJU+VVRV+Zf7tB2udaKvY2PIl+b5GVV+8zfLtrKm1mBJdlupuNqtvZTsVdv3l&#10;+b71cu629vdupilbY+3Z8q7f++t1XIJLa71C0hl0/YkkqJud23bWbb/sr/47Uc/N7pxTxs5e6tDp&#10;7a5juIbdjCTLPNst4HfZ5mFyTld3GN1XodJmt2IiWyiiZyzKTJK7f7W7cP5VWs9OX+37K53SosCT&#10;QxxeSWVl3ff3dF/9mrpK+iw1Cn7JcyLqVOWzW9jkLie7a9uLW3svNnsnh8xYnKrMrqT3U424WorZ&#10;21bW1NvGh+yKd8Qu8rHMM/eXbu4b5dy+ldTJomny35vWhY3TbC0quRnYeM4NRroWnQRTW8UAEc0j&#10;zuGclt7jBbJOV/Ch4GDnzinVjLdvp6eZHoaLBpVrLbW7Iso8yRGk3fO3UZb/AGif8mtCbUoLW73O&#10;52SxpgqM4HPJ/MVSjg/su2WKzDNZxptNptZ2YE8kMfmzz92pfLs7q4LSeXcxcFHznufu4+nP0zXo&#10;LYynJSk2jeBzS1zsE8+mNcz6je70dv3aY6naPu+30rct7iG6iEkEiSIf4lOaZIsn34f9/wD9lNS1&#10;FJ9+H/f/APZTUtAFPUP+Pcf76fzqq8TxoXcFQF3FvSrWoAtbcLn51/nVL7U7ukS/6qNV37f4v9mg&#10;C/ZRqlomBjf85H1q1TI3EiBx0NPoAKKKKAILn/j2l/3GrHtP+R71X/sH2v8A6HNW3LzC/wDumsSz&#10;/wCR51P/ALB9r/6HNQBuJ1b60+mJ1b60+gAooooA4LxI2PhJqZP/ADzf/wBG1u6VcW9roNqLl0RP&#10;s6Z3/dxtFc34u4+DGtEf8+8v/o010GiW1iNLsZHt4Gn8lCW8sFl+UdT2qk1azE79Ahh0iS33Q2dn&#10;tkcJhUXDpv8A8tWgLazit2git9iMpG1ITjn8KSabzgoVcIJF5xnJzx7VOkM7OXlYqMcJnp/Sp06F&#10;qc+rOcs7yWDRLOJwqXhhACXAKbmHHTG4tx90VHBbXMt27TTDB3AJ5vX/AGtu3j+7t3fKv+8ar6YG&#10;XSLWaYb7pXmi81xufaJD/EfatBF+yoLm4You7aq92ZulfP13+9sdfs7NtvqSw2r29wu/y9j/AC/f&#10;zu+X021k6il7FZTeWsX2hXX5Eb73zfw/xf8AoP3f4qvT3DzSROeBDKr49s7W/wDHWakuv+PmXPrX&#10;PNrk0NFCU5NSZzCaJqMlws02oYdPuOjMzL/u/wB2t0aDpl7FFNeu3momxtr7FdvvM3/As1LTt37n&#10;Ho26ueCSD6pBHM6zokv9pLFYxNLAqKqtu/8AHacP7R0tEGoafYy5ZmRrtk37v9lt1dFXHalqV3qM&#10;u2+mRmiZtqqu1V/hb+GofLG8upx4mhCj70Tclv3t4UebQtMiaRdwd2RVdf8AZ/vfeWmpr+owW+dP&#10;0ywig3fN5TKy7v8AgLf3awRcTSvCrzLNFFt2pLLtTb/d+bb/AHa7O6sbG4iTyIbH7FMvzt8uxGX7&#10;rbl/i+ZlraEnPZmEJOWxzPiF7m8ltL2eHYz2679ittVtzfL/AN81h131s9s8O20TbbqzIi/7rU02&#10;Vo33rWE/7yLXPUpXle50fUedc6YzS4Gt9Mt4j97bub/gXzVboVdq7R92irR6kI8sbBQrMrKwba1F&#10;FUUQ29qrXHnQTQxQqz+au1lTavys237u75W+b/d/2t07jZIY/Q4qN+Pm/vuqOu3duVvvf8C27v8A&#10;vn/dp4U+akRhuWbb/rVi3o23+Lcv3d33ttenWo+1pRnD/g2PPpTVObUv6ZFMyuv2eaJXR9zbvJ81&#10;lZf+AtRbW9xbtLD5zum9WREiRNm3buX5V+ZW2/3Vp6TxLLz5yYb70sLItUzJNqSLERJb2qoqyzRO&#10;u532/MiN/d/vNVPEzp0bbdOj/wCGM5cjqXWrZHc6s8NyiWMX2nDfM8R3p/u7lq3b2F9dwu17KPIe&#10;484qjsGKH70Tdtv3fl/3qlRIol2QxJEi/dVF2rV/T5fmMJwQfmrz6Nr2kbzoza5pMiVrG3iaKDT0&#10;XHy7WVR/8VSJdPFuSGG3ii/uqlLeQeVLwvytVenOck7GsKEOW4FmbapZmx92iiisbnRGPKFFFFAH&#10;K63psyXst0NrRSbpWZm+638X/wBjVjQdMi877fdB4reFW2tu2tvX7zf7qt/49trpIYorxHU7ZYgv&#10;zqvzbv8AZqa/0Zr+1W3W4a3UN8zIn3l/u/7tXTw+vOeRWoJVOaBmWsy6hruiXVl9oktoXuYpXYHC&#10;fuxt3H8q635a5nT9POi3OlWqKzCa8m3s+M/6lsFdvTO1a6ZVZm2ivocLf2SuKs24xv2/VksXyq2f&#10;lVv4qidt03/AalET7eW/4DUTptdWDbsrXTExDdt+aotKtUgtZY2DffdeM5++7f8As1S0nlJLK5Nv&#10;E7feZsVURxIp7ZZE+zyQeZCfu/u8lPl7cbQf0qvEb2PWEW2VRZBNrKqMqD5v/Q8Vbezh2820S7v4&#10;l+Vv++qhjnls5Fjkk3I/EMrn77f3H/2uPvUcwzVeUb4uH+9/cPoak80ej/8AfBqESiVovlIIflT2&#10;+U1apgVZ5R9nk+Rz8h+Uoeax7eVVhRRFK2V3M237zVvvyjD2rGt/lt4l/wBhaALlsZjAfLVT838b&#10;4/lUyre93gH/AAFj/Wiy/wBW/wDvVaoAoh7n7UIS8P3N+Qh9f96ppI5XXiZ0/wBwD+tRXKgT2zrg&#10;MZNhPthuKu0AU2tFSJyZJnO0/elNZVggTxvqijd/yD7Xq2f45q25/wDUSf7jVjWn/I96n/2D7X/0&#10;OagDcTq31p9MTq31p9ABRRRQB534u/5IvrX/AF7y/wDo011+iQRromnvjLm2i+Zuf4RXIeLv+SL6&#10;1/17y/8Ao012eh/8gHTv+vWL/wBAFAE92MQL/wBdY/8A0Napa7qT6To1zexw+cYl3bC23PPrV26/&#10;1K/9dE/9DFR3kfmWki7WOVPAYqT+I6UnsVCykr7HBatq9zorppyMGuI8yvMqd3bd8qszU+08SWk2&#10;luL5yt1vVwiqzb9u3n7u1dzCq+qWq+IL2K7tpo0zCu9CkhIIG7HCY7VlxaSfMXfFqTAbiSlgduP+&#10;BMtfO1qdeVZtLQq1Zzeh1ybW6/cb5W/3Wqa7bfIJv4ZEVqhihIiiCB2UxKVyPmwVqzOji3h3rjaz&#10;Lt/9B/8AHaw5JJNS6Ho399MrU5J7eB91yyiJ/kZmam1FcNst3fZv2fOq/wB5l+Zf/QaxjKzNZ/Cw&#10;k00XUUtxpmqTOuz5ER967v7u6oZ/C1vcWLXMssyXTIrHdhtjfxfKv3qis4LS31KUOoh097dl3t8v&#10;zq/ytu/2lrD8SxD+2ZpoUYQybdjbGX5tq/3qubgoXaPHquy94dr2lxaRcwwiZXXyvnbbt/i+ZvvV&#10;tX2jNp3hRhDc+dsmW6R9m3b8u3/arOie91GJ7k3d+9xH8jpAmWHzcfL9N35V0TXSJo/9nX8227nt&#10;yiI/8e4bR+tFOENX3M4JamZo11LdaerzNufeys23burSrK0BlbT3URLFtlZWVd3+z/erVrNbHsYb&#10;+EgooopmwUUUUDG7H81Zf+WSq3zf7Xyr/wCgs1OoVmaVovvbkRlX/gT/AP2NKQV++CPrxXVVjK0U&#10;tkvz1OeHLrLz/wCAQzNKqqsC/vXbarN91P8Aa/4DT0RIkVI0VERdqqv8K1FBtlle42L/AHEdW3ZT&#10;+9/wJvm/3dtT1ylQjeXOFOQlHDj7wO6m0UGpb1JLi609JrLaZUZW8pv4/VN38NUYpUniWWM7kddy&#10;tVu2Dz29xbfNtlRlVv7rbarwaJbNrMtwbgPLtXzoUbaFf+8yj+9XRKDqWaOLndOdugFJfl2Qu7P9&#10;1V/9m/u1FcyeS8UbuiTOv3NrSMv/AHxurV1WGL+z7i4MSO8MLum9dyq23722sCynlTRrKfT7RZpQ&#10;7b13v8n8O7av+yKJU4wdjOriJ3sS/b4YiyFpriVW2siWj/K3/fS1Rn1uLHkz2aIv3fNabdtb/cXc&#10;3/j1VYLpH1lftWltFdSP8253X738TK3+9T7Gxh1xXWzskR4trSrNcMv3v7u1W/utWF2/gOSVapLS&#10;5p6anzJdTO81xFuWLoiIrf3UX5fmVlrX+2zOrIHCMV+VlX+KuV0XU1mcWscKIXVfK82bAb+Hbnb/&#10;ALNMvfEFza31xbrDCyxysi7t38LUe2lBXudNOtTUPeOntiIntpZnaSV7wDe6ZYMUK9sba30baytX&#10;J6XqC6jZrLN+6eG6tyyoN5LM33v9lWz/AOhV1VfQ4OXNRRlWaklKBL5v3vk60x33tuptI33hXWYc&#10;wtSwfeaoqlRtrooX5irf+y0FRJWVXbaV+7/tVE8UTRMjKGR12srLndTikr9flpu14l3blpDKDxPY&#10;keRmW3T7oHLw8dV/vL7VfR5J2XbcKildy7FzuX1yai3Mrbv4qoqg098LkWW4EKg/49z82T/e2nd/&#10;wH/dqkxcxtG2jdtzguf9o/0rOKGGR4yFGG+X/d/hq/BNv+SQjzMfw9H9xUd2jLLHNGSr52EquflP&#10;/wBeqGS2cZSHkYyc1Zqr9mn/AOf2X/vlP/iaPs0//P7L/wB8p/8AE0ALcf6+2/67f+yNVhmCrknA&#10;qhNDN5ttm6lP73+6v91v9morm6tLS+RJEeS4cDacZ7/pQBNcXUT2s3l5fCEcDj8+lZOnNKfHOqtJ&#10;3sbXC+nzzUs+uWM1pdEzbXROjejelR6XdRXfjLU5ot+z7Db/AHkI/jmpslXZ0qdW+tPpidW+tPpF&#10;BRRRQB534u/5IvrX/XvL/wCjTXZ6H/yAdO/69Yv/AEAVxni7/ki+tf8AXvL/AOjTXRaJPcxaRZDe&#10;jp9nTapTbj5fWgDekjWSNkOcMMcVBZuxgUSffG5SfXacVHFfTyOVNofqjg/zxQt5BCGWRynztyyk&#10;Dr60AW/KT+4v/fNMkiSSN0KjDKQacJ4mXcJE2+u6q7ajabtgnDN/sAt/Kgd2c1prpZ2NsjKWeGLy&#10;Syn5fkJX/wBlqy8hmhuHwcNtdf5f+y1HBa3xmmS4itZITK7xOJWVlQn5QyBRTbm21I3EVvbXVlbx&#10;zDaga3ab5gNxyd6+9eVPCVJyfY7FOLerIKKuz6PfSBTbXFkowcs9u7ZHGOkg96WLR7pIz9oktXfB&#10;wUSRRnjH8Z9/0rk/syp3Rt9YhbcrXSpebFCLKrIquu3d838VYV74euEtGigit3heZpfN87/VKvyq&#10;u5v95qTU76YaNO8Qa1aO/e0uFhY/OQu4MCeQMdq3PCUqtoMUI+/C7I3/AH1u/wDZq55Ul7Rwlucd&#10;V80uV9DmbqO8t9UNxaX8MIkZJHH2xE3/AN7cN3IzurZ1pbK9uLK5tdTsPOgl3t5tyNu3du/9CWqN&#10;1Z3l/exRXt08twXmEMUUKDKptzuORjqv9771YupWD2F2qFNyuiSqu5fut/D8v/Al3L/dqJwnShe2&#10;jOZpwje2jOi01Uimv4kdGX7QzpsdW3I33a0Ky1igtPEKJANkE9kjov8Au9P0WtSsvI9bCO9MKKKh&#10;uLqG1TfPKqL/ALX8VB0SlGOsiais1te07dtFxub+6qN/8TUn2+4dd0GmXkq/wt5W2ktdjH6zT7lu&#10;SKKZNsyI6js67qWGBZ4ZbePZFaxLul27URv9ltv/AH03/Af71Mv7S6lvIrOGX7Mj7v3rBWab/ZRf&#10;4dvvipoYrfTrQRwbkYEyyu0pPzbfmb0/75rvwrabjNvyOStPnfuL1DbbxTfZ3uI0bbuVVb+H/ZX7&#10;3/fNRrcQSyqkD7t275jvVf8A0Cq+37O7uoRITmd5d+7zty/Ku7733trbvm+6v3t1W2+82G3LUYih&#10;KilKVtTSlOdTS/4FvZZf89n/AO+f/rVBdy2trGrqt1Pk7dsKjd/49UdFc/Oux0ezl3KUGsagkskQ&#10;06WK12tsZcGXd/ebd8p+lWtPspItRhmjuFJCt5w7zM25vlb/AGafSMu5WU96Izl1Mfqq6svz3tne&#10;6XeeTcRSp5LK2x87dyn7392uX0S9+wWrvG0JZ1RVVm3fN8/y/eqrPa3ehzPdWRZ7V/8AWo3zDb/d&#10;b/Z/2qlt7JLi0+12No7QM372F32tDt+bcrN95fmo9s5u9tUcFRzU9VqjU1yy8111OCaKRYnVXVm3&#10;bW3f+hLurN0uTUNEtEuLK0+0/avldFQt5RRmXHy/71bdp4eItHSS5uIUldiYkZdrf7X5CjxIkyaU&#10;lzBd3CLbqv8AqnVVl+ZV+Zq0lB/HsJwfxnIIttC+nu63MWPvMkqh02u3+z96unOk6eupzXbxPM0j&#10;MzJLsZPm/wBnbWFaabd38VqsKK6xyuzt5qvtX5f9quqaCVPmdW/2mb5a54KVtjXC04TvzmHawxJa&#10;6lFaJKxjmt/vOGX5Jh/srhq7uuG1m8KaJf40y3hZPJ/fq6Pv/fJ94f8Aj3zV3J6mvoMB/CsFRWpr&#10;1f6BSP8AKyZ/vVZ+XttqGb5mX+9uX5q7onPYfD826h8o0Tn+FmFRfN/tUUDuXFbcu6my/c3elEbb&#10;olpz/cb/AHagsqu+9t22m/dooqzIqN/oTAiNvso9OsHv/u/+g/7taSSfarYqrfM6fK46H0NUpGlN&#10;3DbwPGjujuS6F/ulV/vLSW+n3FtC6tOrgPuiRItuz2GWb/PtVlo1oWZ4UZvvY5+tSVl212sDvDMc&#10;M7kp6Fv4h+f86sTS5i3yHZH+eaaQm7DbiXMsKx9Q/Xt9xqqPZpfSrIM7h/y25/8AHPz+9U0sDzxZ&#10;ddqoSRF1L/U+4zx71Z+0RrGhTkOu5FHcY/Si/Ym3czbjSLCysZjGhUHbvy/3ucc1X0zYvjfVURCq&#10;CwtcZ7/PNWhPJJNHvZQY2Kbf7oOf1+vTpVKwiWPxxqu0fesbVi3r881Is306t9afTE6t9afQAUUU&#10;UAed+Lv+SL61/wBe8v8A6NNdBpH/ACB7L/r3T/0Guf8AF3/JF9a/695f/Rpre0pEbR7LK7v9HT/0&#10;GgDVs/lmb/dqykscYffIo+c9TVG1t4Xm+eGJvl/iRasxWltvk/0eHh/7g9KAHNf2atzcQ5/3xVSa&#10;dZW3xB2G3rsIz+daaxon3UUfQVDeJuhz6GgDGZ3W4RzDsz8m5n/+JqSVxblLud1EULqxYL0VlZf/&#10;AGZadMnmxMnTd91v7rU5GSVFbarI6/db7rLQBdRdhMQf5R0rK1lL6RbeG0uJLctOnmyIqEqmDn73&#10;4DvU9gwidrXc7tAfvv8AeKN8y/8Asy/8BqTUbC31G0ME+VXIZXRtrow6MD2YVnOJcGk02Y1rDa6j&#10;p8kfmS3sMj7nmuE2sXGP4dqjp6CszUI7DQ76wTy7u1s5XYvLbyOED4wA+Afbb06mrFzaDRxhdVuM&#10;yxSxpc3lzuVH+QgHsOjVnzS3lt4a1ZdS23cMRhlSWUu0cm5w3yuOuOPu9689xcaqvHXubxtzrS9+&#10;u3kdMdJRr+2u5riaeW0DiJnI43/ezgc/w/lWf/wi0Uzs108F0gZvJV0dCiMxOzcr/NyfvYroaTcp&#10;3bPn2/wp8zV3SpwnHlkrmEqj2ZxZ0SW3uw0OkxQOiNLFJHdtIkjDG5MMAQzDJ/i+7W3FZu43vtiT&#10;1atK5tvtUAUgRSr88UrgM8TdNwBzzy1cpqMeqWcM8DLNfpHKEhM0bYfcuW3jCowB+72X/gNebi8H&#10;CEeeKN6VS0W4aeRNdavaWsavEwCum6K4dSzP/uxf+zNt/GsuW7vNUWG5trZZrhA0RuplH8J3fc+4&#10;Pve/1qe00T979o1GVrm4/wBpty/+PferWRFRVVFVVX7qqtePzyfki40KlTWbB7i5urZYmjW0/veV&#10;Mzfwsv8AdXb/AHv+A1S0ywewuXmmuGu1eIptdf8A7Kr9FPnbdzeOGgDqsrRb0T92u1Pl+7UtsypL&#10;uPb/AOK21FSP/qmx/CyN/wB8urf+y1rQ96av3LnHkg7CMqtMkxVfNT7r7fmHy7f/AGZqdTdy7lXd&#10;8zJv2t8rbf72371OpVee9pX07lQ5N4BRRRWRYUUUUAFR3Ie4miklumSOBWdNse4h/wCFlPX8PmDf&#10;3akopxk4kTgpqzK9l4haaKS2txHcXcX3S7mITL8q5+bof9npWALxoNCutOhtmZZJV3PK6q0T/L8r&#10;L/wGt9NOsft32maLdlGR1VV2t/tN/tU6KfS7e98maW2vPOITzQQ78f8APXnn+FQ3+7Wms1qzy6tG&#10;cdGylpEV3pK27PYC3lZ9kryzKFkVuWb73ysqqv8AvV015dvAIltYluJn+ZV3YXZ/E278a5vXIZV0&#10;lre4E1zM0vm715UAAD723/a+X5e1Jp/ib7Pp8NsunynyIlVvm2/Kv3v/AGX/AMe/u1cakYe4RGcY&#10;e6LqukWun6RfaxZXDuTCzjIRweQ3dcfnXaNt3Hr/AN81jaosMujTWc6sI5ImRymB/BnvxW1JPCyo&#10;omi3cfKXXNezgYWhoXU5fZpLu/0G/L/eoO3+9RtP900j7lRsj+Guw5xV/wB7/wAdpH2qu7d92nj7&#10;6/71SyLuVlCr8ytREOUei7E205vutTRKqpl2Vf8Aequuo27ytEm92GfurmpUWXzIbRTA+9mwjL/v&#10;fLT4VlaVQSm3/Z+atOUgZaGNb+9lIJlEgQc/w7ENXneTBLbY0HVmNUdOtHW1837RIzXCrKzsBv3b&#10;R/wH9Kui1hVP3m6THO6U7qq5VipIiXS5hDTbsKzHKoV/z6UWLJuQSsXnxtV3+8RjPTt/WrT3MKx5&#10;Rty9NyfdH49BVRYZpChaJAycNnOD/wDFfjjrSGWHutxAhyQ6na45yfYf16VFZxrKHaRSMSfczn5h&#10;3/zxS2rxocPuEv3d7jlvb/635VYsvuTf9d3/AJ0AF/8A8ev/AG0T/wBDFZVp/wAj3qv/AGD7X/0O&#10;atW//wCPX/ton/oYrKtP+R71X/sH2v8A6HNQBuJ1b60+mJ1b60+gAooooA878Xf8kX1r/r3l/wDR&#10;prat5GttJ0nZIn72BMhk3fw/7y1i+Lv+SL61/wBe8v8A6NNdTowum0Sx5CILeLHT+6P96gCH7c8c&#10;0qxLG0u/Yiu+3ev3cr/wL/P8VaOmXJuluJGTYfNxt9PlWkMkp+7c4/75/wDiahiimNwzJdMWkG48&#10;rzj/AIB9KANeo5V3xMvqKpvJlNv2h2b6f4barEIs0IZ3be+05+b+965oAkaJ1/u/99VW+S1tZ3dv&#10;kh3Myr8zbfvVZ1NniW2jt38p55hFv27to2s3T/gNVp9PuxC8Z1Nm3rtbdbp/TbReJOooW5kuIXhh&#10;WJNpWZZ3w5HVem7pz97+9Vi585lZDKiov91mZv8AgVPZ9553NTZGZv4d25d1FwHoiPFt8lNjfw7F&#10;5/8AHqpXWiafcogks4njQlvKPCZP95Put+NWU3eUit/CtSRs2/an92okVCclsM+yy4YfuSv+3ub+&#10;dHlTIqj5Pm+Xbu2r/wB87alLuv8AwH+GomdmbcfvUXYtBHSaJdxVGX+6tZWoafHIDfQzzQSp+9IW&#10;4ZI5MfeDj5hj/gNbD79vz1hatYz39jNZqG2TyokzqyriLOWP/fI2/wDAqHHmiy6TtNa2Q26iENy8&#10;anIHQ1FVSyvJrz7Wtwlwl3bTbJll28ZG4bSvyt8tW6+Yrw5JtHsQdo67hRRRWJQUUU3ev73737pf&#10;m2/N/wAB/vfxLVwpzqfAiZzUNyQN8m3/AGW/9CWmY5zTUZZf3qOzJ91fl+X/AGm/76Xb/wAB/wBq&#10;n1rXTVoS3SIou92uoUUUfe+7XOahRQFZuitTgjMyr8u5vuruX5qLMjmj3G0VQk1mximeF5mWVGZW&#10;Xym+9/3zUlrqUF9K8NkHmlRN+1V27vmVf4v96p68pP1in3LdYepQDTr6LVodysr/AD/3fu10METf&#10;aWhuopEdtxiA53qvVvl+795aj1hGt4N9qyoiOqTN1ddzL93/AIC3/j1a+xla5z4irCcCR4LuZJxc&#10;wRfc+T5dqj1/ib5Dhc/drmZdFitJhcz6lHZ2SuA5dm4f5tyL/e27WqnYfaU1KG9jZ2RZfmZ/lX/a&#10;Vm/h+X+Kuiglh1LVHt5cvbur/ZnR1CI6rsdPl+8djBlJ7f7tduHoxq2c1/wTipqFR69CtZaff6ja&#10;T31u6pBOkvkC4uJGyrbgrMuP7pz+Vbb2tu6qrwxPhFVtyK27ata1vZGK3it4jst40VEReyqvy1Ib&#10;NEXlcr/vV79BQo7CrTU9ErIx7HVBbl7S4meUoitC2GeWRTlfmVV/vK3P0rRjumuA6+TIh29H2rx/&#10;e+99f++aligig3eTEqbvvVAjKuqzg/xQpt+X+6z/APxVaNxndpGCi11JR53y/wCqX/x6nMm7/lq/&#10;/AW20/5f92isrljFRNu0qrN/eb5qcqqvzBVX/dWl2/Nu/wDZqKTYENkZb2S7zN5SwzeUAiL/AHVb&#10;+Jf9qnSwMsuwX1wpAyWXZx9fk4pLOZbc3u3arNcZ9vuJk1LE0cX72ZZMg7lDIW2fj6mrLFtFnW1W&#10;JAwVEwrYx+p/+Jp4tnET/aJRt6/39v58fpT/AO0YPWT/AL9tUF1ewyhQu8jr/qn/AMKAHpLAiKmy&#10;R8fdL/NT0vv3SfISdo71RWdP9v8A79N/8TTEd9kWyLd8q/MzbaALc0qTKxKbJR91l7/8Cp2nTIyv&#10;Fv3vvc5/4F/OoYrd5p2BmwgGdqD/ABp32INbuylt4d8HPPVunvQBav8A/j2/7aJ/6GtZVk6t461X&#10;BU40+16f781WGgt/su7yx5okTLN8xPzrz81Q2a48d6pj/oH2v/oc1AG4nVvrT6YnVvrT6ACiiigD&#10;zvxd/wAkX1r/AK95f/Rprs9D/wCQBp//AF6xf+gCuM8Xf8kX1r/r3l/9Gmuw0Uy/2Fp+1EI+zRfx&#10;/wCwPagBjrtdl/utT4I1MySd42/9lZabOrrM+VX+997/AOxpEZ1dflX/AL6oAbTgqsdzfdTa/wD3&#10;y26mfP8A3V/76p6I8qvFtX50Zfvf/Y0AO1oskNpInVbuL9W2/wDs1LVLWbyJNGKyzRrcBUfYz87g&#10;yt0q6/yu3+9UslhR8uMY+YNu/wA/5/iopysu3Z8u5vl3f71IURg+Zf8AgVYd4l//AGlcyLqN1Dao&#10;kWyKGJAOcg/OyNu6LwtbUe75/wDerK1R7gajboqSG3ktpQ5A4Vw6Fd34bqyr80YOUTfD/HylW+T+&#10;0nR47i4tLpDuhnEzOI23d0+6R257VsWdyLqFiHzLE5ik4x86+3bd1+hFY9SW0Mlrff2gX8mGRBHc&#10;xuCEf+46/Ly/8P02+lcODxU5vlmdWIpLlt9x0HmvjG75aZQyurfeXb/D8tG3d/F/3zXpnnGdqtpe&#10;zWbLpcsNtcvtDSuudq/7vRm7VQMcqxxNKmJGT5xsIAfoQN3bP6VvbPdv++q57XLK7e5ZoLho7e4Q&#10;AYfbtuF4Xr/C6/L9VWuPGUPaQ93c7KFd25R1FQ2bStZW4mR0uAmyVXX5ty/LVgo46ow/3uK+f5JI&#10;9CE00mV7m4W1t3mdflT5mqlZ6nNey5ht0SFG+d2lXZ8zM27/AGW+9/8AE1pz2TXVrLCHi3OjL8xz&#10;VHQ5TEX03SYWdBIftN1MMpu6Nt2/p81dGGn7Ofv7Pp3OHGOXOlFla6bXPs5uES2iQS+V8zjn+6wZ&#10;m2kVp6el0JXWZDdqflzt2Ih/i2/L83/Atv8As7qtPZ2tpdWUUjzO8lw3lbVQANg5GNv3a2AoVdqj&#10;aK6oQpRlzJX9TKPtG9ZGcbr7PKkX2RVd1ZlVW+Ztv3v4aoaxBNrthHD9lkRFkEqsp6/KV6bfethj&#10;aT3ZikERni+6rqpbBH8P+e1MFxaWtuUhCJsVtkCbVb5T821acpxatJKwTV92Yl/YXV/o1rp32OVV&#10;ttnzs/Xau37tc7NpH2O48qRtjqrMqMn3tq7m2ttZa7ca1afYobmRvK8wFtjsNy8N/wDEtVDWbNru&#10;5tJo7a4l/dP91lVU3rt+b/P8NJKlOSbiunfb7zGpTurp6mLPbyL5rarcopniXJY/dZdy7sruX7vz&#10;N/vVb0nRorK98611lFeRWQhUXcq/e/ib/ZX+Gro0NWbC2MKRbn3bnaXO/wCVtqsq7atajqUemwS2&#10;8VjdjMXytbxLhN27b826pdCjTXPLfyFGEr3MzxJbTXEsVqtqbt/K3JLK+xg38W1fl+b5d3/fVVdO&#10;0l7fT9Qmvtj3Fpbl4ombd5TbWYbv++VqfT57m8tYbi7hdruFtiNKzp8ir97/AHvmb5qt6hqVsrwr&#10;dW0Mqy7l3XHzqu1WZfvf3qmEsPzqo2/QbozacmZ+2bRLd0nh82ZnVIrVZl+f73zbV/4DVuzFzdhL&#10;I6aYYgv2i2eWJ/3E46bt33uTWLd6/JrN5ZKLVEmjlVoWV/mzu+7/AN9ba6WysdTttOVZJ3muHb51&#10;eZm2o23PJPXjj/epRxHtKvPTVkgopJ3T2NvRtSXU7JJPlWUfJMn/ADzkH30+oNW5pk2sm75q5ud4&#10;tFLXigfY2cfbWyxYHhRJj1/vn0WtqRooV3Oq/wDAf4q9ylJTjzF1YW1WzJN6eq/99VWuLUSlLiOZ&#10;0mVSq7NvzBv4fmVv7tWqZtdflDfLu3fNWkXZ6HO4kVg8sun2rzbvNeJGfd/e2/NVisuYanapdNam&#10;KdcM6LMx3K3zHau1fu/dxU6anE91FD5NyjSbtrPEyr8q7v4q0nBvVExn0ZdpKD/7LS/dXd/E33f9&#10;n/arI0IrORIbi6W4bZ+9BAI6/ItW5Lm3uB5EcyNK65Vc9cVCjv8AN87/AHv71RFmbWtPy2f3c/8A&#10;7JTKuT/Y5v7q/wDfVRyQyRLucLtzj71a1MZFdcOoYe9UMyamsY0kiUOvRF5zV0wQ4/1af98021RF&#10;t02qoygzigB0dvFEcoOfrSW/+qP++/8A6EanrIGoRWt7JayLIS0nylUyPm2/+zE0AS31uigTBtmH&#10;Vjhc87hzWdp0qzeNtTcBl/4l9rlW7fPNVm91i3FjJLsm2xzBCNn8QYVQ0YpJ4x1KSNDEkun2rBGX&#10;BHzzUAdMnVvrT6YnVvrT6ACiiigDzvxd/wAkX1r/AK95f/Rprs9D/wCQDp3/AF6xf+gCuM8Xf8kX&#10;1r/r3l/9Gmuz0P8A5AOnf9esX/oAoAS6/wCPg1Azbdrf7S/+hLWq8MTtuZATVW9ijS2Zgigh0/8A&#10;QhQBUqe0/wCPhf8Adq79nh/uLUU0YjgkMSqsu0hD79qAMq0tY0V7japmmdnd9i7gfu7f935asKm5&#10;1y7t8396i202eC4kdb+Tyndn8oRr1PXn65olYW1/HCC5E6tjc5OGXnv7E/8AfNSKxaeBdm1F/wC+&#10;mqu0SqzYVVb+9Uvmv/f/APHaaFZ92Fy1IGNwWduOSA/51i65cxWs1hNcrbCFpXiaaUcxbozja38O&#10;SoFbW8xXCsdv3Nv/AHy3/wBlTWmVvl37v/HqJw5tCqc1Cd2c1a+Xqd7bxQ306Qtbu++2+TJWTb8x&#10;x+H/AH1W3JomkzymS4tYrly5cGdfM2n23dKtby655NJubsn/AH01ZwoxgrFVK8pP3dB7silVAwn3&#10;VC9qKT5mXlVpvzLuX7zL/F93dWhiWFZfKZiq0bomXd91v7tQjd3Vf++qDu7Mv/fNHKHMZUOjyW9y&#10;0trqM7Bw3+j3LebGG9B/EBn3qlqa3thcRyzxwPp+P3ksMb+ZCcDnqd4J9F+UV0QV+8u1f4W2/dap&#10;AJWXezM2P72BWU6MJrU6IV5J3epz1xC8NjMZdiROjI8rHOxdrfMMdauaVZLpumxQx5fO1j2+9VG/&#10;0i4+2pcQxQ3kUO1razf935OAM7HXg5wrYattW3KG743MrcEfUV5ssI6ctNjV+8+a5mawkMCtqH3r&#10;uFGaFWdtu5Vb+H/vqpdCvJtR0eG7nCiV927aNq/KzLUepQSf2TqCSXbPuDuvyqNif3Pda4jQIojq&#10;toEbe5lVtqq33V3/AP2Ncc6nJUXmYTnyzOsbxBpkGsS232aVbp3WJ5VRfmb7q/NUWuRJ/aJWOESy&#10;/ZJdw+bhW3/8B+9/wKt1ftKzIgWL7OE+Ztzb91ZVzeRWviiAPbS75ofKVxyPv/8AoP8A8VVTjpqX&#10;NaamR4a2XGpr5kKr/oTKqsvy7d6t/wChNWzr109utpbwNKjTPt3RMqsFrM8SRbL1r20u1WfylWVU&#10;f5lTd97/AHaSHS7uGf7bqmpfLZuvLlmX+Fuv+9WcZNJwMuZpcpPo+s3F1d3Ft9ollWFHbdKir0/2&#10;lq3LcSzpskbK/wB3bVC31C5jt4VXUUvlmm8ll2H5PlZvlb/dq+sEhGRHIR/uUvfkrRO3C8tveGVU&#10;vLCG98rzt/7pty7WrRNncJt3pjd/eZRVeeVbW2eUraqEwWllugqqpJHzc+1SsPVfQ6Jzg48u47Sd&#10;J023LzeVE7ptYblBZNv8VaNpqltezzQwSqZYfvqeP0rnfDl3aW8YjivrfEhCOE+dlcsFT5gPm3f+&#10;O1DbbP7bvJ7bUXW4nbYjpYzPt5H3sptrqp0aqirI4XFrZfgEOvPY6tewzNCYvtRQq7OcruYH+8Fr&#10;btTDo08OmSs/2WXCWkjuXO/5iY2OPl28bKxL7wvNLcecZbqZ5lDsY7LuR7uNp9quS6Zqc0BN7a3l&#10;+hG17eTyY/MQ9vv8YIDfjXThFXpytJaGdNS1jPZ+aOt2bbiWV3fYF/4CP+A0isj/ADRszL/tVm6J&#10;NqLxSwalY/Z4kCLGzTiZ3GPm34q7IkqNEkG1E+8y/e3LXqrXUipHldguJ/ISWUqzrHEz7U+822qe&#10;29nu7WWS2ihijdmP73c/3WX7u3/a/vVYvLfzpLcb3RPM3MEdkLrtZdu5W/vMtWlZV/1fzf7daqSU&#10;TDlvIPuHlfn/ALvZf/iqT6/e/vUfLvVf9mlrKRY+2Zdrqf71VbuC4+3W81m0O+FXXEu7HzbfT/dq&#10;ZV+Zv96pYl/erR1KuTWMxurGGd1AaRAxAq1VDR+dHtP+uS1fqxiHpUNt/wAe0X+4tTHpUNt/x7Rf&#10;7i0AT1UhiRprhiik+b3H+ytW6hi/103+/wD+yrQBVu7W3MKq1vGwDoPuD+9WfZKqeOdTVQoH9n2v&#10;A/35q2bj/VD/AH0/9CFY9n/yPeq/9g+1/wDQ5qANxOrfWn0xOrfWn0AFFFFAHnfi7/ki+tf9e8v/&#10;AKNNdfosr/2Fpw8l/wDj2i7r/dHvXIeLv+SL61/17y/+jTXZ6H/yAdO/69Yv/QBQBb8x/wDnjJ+a&#10;/wCNVr93+wy/unHy56ir9MkjWVGRxlWGDQAx3lx8sQ/FsVUlivrgKrGGEBg25WLnj8BVm2kd4v3m&#10;3zV4cL61YoAqtaCWIJPJJJ+O3+VQ3doRbKLMQxTI4ZCy8D1/TNaFFAHORXMlreXEGo3Vsm0IYnP7&#10;sENu3dW+b7taMUijDqwdHG4FWypX+9V14YpDlo0Y+4rKjtr6KRkZLeSAMdmxyrBc8LtxtqWhWJ3K&#10;sS3+2R+gpKhe8h8lfM8y32SctMhVR2+9jbUytuXdv+VvmVt3ytTsTIZFu8pfb5alCM3RaYu35sK3&#10;/fNKkrK24f8AoNTIBxRl60103LuCtu/hbbQ7723GnCVWTYzKq/3qAGbt3zBdv+9S7mb5aY7oj8Sq&#10;yn73zU5ZU/vp/wB9VVgFZdq7SrbqPmb5vvN/F/tf7tO81X/iX7v96m7dy/3qkBN22Xj7yrVHUdMh&#10;1F0nyYbyJf3NzF99D/UezcVf3N8+ec/3qNvyL9/d/wB9LQ43KjJxd4swLqWWzgT+09Mk1BiWCzWd&#10;t5ny9sj7wP04qjdm/u5xqtvFqNt5Mahbc2aM53OQQPn/ANkMf9nbXXg7D8x+Ueh+WntISfl+Wuae&#10;EhPc1dWLWsdTnkvU1GMRz6TqkYEyYE0JHzZ4PDHgY5qSe+02ctFcyyQl/l3SI9vn/ZVyF/LNbj/c&#10;X5m3VGyxSo0c6CRD94Ou4UfVoD9rFvVHNf2NprxXI0wwtdyx7SrS7htbH3sZ7fxVf01NRke6/tG2&#10;iiV2G1F+bPy7f++atSaJo0siltPtMhQu8RKCAPujI7VBfaJBd7FFzewxIfuW9w6IRgDbhf4eP/Qq&#10;w+oxUroFyX0diOW0ttL0S8NpBtRI3f7x+93+bdupw8J6JNO909irXDyGQuzufmPOcZq+mn2H2WS3&#10;S0hSMqyMiDAIPXgVZhZUVlLfxs3/AAGuqlRjBWD2rirRbX4FSXTbMXG5rWBiE6tEG7k/1qdFWJNk&#10;aIij+FQq1JJtZlcbt33aZt3f/FVsZObfUcXPrTfmobrTGlRdnzbt/wB3b826gnmY4fxVJvZ/lO1V&#10;qks7ywu8C/Mrbfmp0aTvKsrt/vIOdvH+Wo5RF0rDsZgyt/d+aoudn8Oz73/7P+1SMwRuTub7y7fu&#10;/wDAmqZIt67i/wD470o2GVZ43lj275IoyM7lxkEHjOf/ANVQae8y6jcQzz+aibGQsFDDdu9Ktncl&#10;xt3fw1ThV49RundMLNtZGGWX5V2t/u1otYNGct0zQdlllRR/damS/ukZ5PlRfvNWeLy9e5lNtDbP&#10;DGyqrvMV3/Lu7K1NuNSeXTwjwlbi5jCIoztSVhwGbp978f8AZocGkUppl6wE9ytw0lzMm2Z1RQiD&#10;5M8dVq01lOfu38y/8AT/AOJqSLP2xs/e8lM/m1WqRoQW0CWttHAmdkY2jNT0VRuJ5UlIVsKKALp6&#10;Gobb/j2i/wBxaqfaJv7/AP47Umnyu8SqzZwi0AXqiX78n+9/Spazp53aYww/MzcEr/D1/LtQAXt0&#10;oUxRN+8DD5gM856fWsvTIni8a6rvPLWNu33s/wAc1ayQxW6Dey+YWBJP17e1Ztk6v451Uoyt/wAS&#10;+16f781AG8nVvrT6YnVvrT6ACiiigDzvxd/yRfWv+veX/wBGmun0S7l/sayHkptS2T5t/X5R7VzH&#10;i7/ki+tf9e8v/o010ejK/wDY9o235fsy/wDoNAF57u4ZTs8tPwzULSXjDDXOP9xMUUUAEG+Jpm8x&#10;2Z9uWb/gVSebL/ff/vqo1f5nX+8q0UAayHcin1FPqnb3ASJvNcBU/iNAmlmZfJj+Qj/WPx/471/l&#10;QBcqobqHe0aM0kgH3UGf/rUfZEcD7QTOw/vdD/wHpVpVCrgDAoAoDzJptsq+XjB2Z35HPWs7zP7J&#10;jtrO9nhKmPbFLs2crjg8t6/pWpI2NRj/ANpcf+hVNcwJdW0lvJ9yRSpoAiaVNv3f+A1XP3uKhsrh&#10;ru0iuGGGcfMv+0vyt/49U1RykNhtb0oqeKVFTa3y1AW3MzUgCnJs+6VX5qbR9fu0wJ/Ii2/6pP8A&#10;vmgQQ/8APFP++Kbtdk/ds393a3zLTx93+GjmLKkLMsS/M1PqRIF2fdb5fu/NSSIiJ/FupvcjlI/p&#10;/wDtUvzLtYLtVvu/NupNq/3m/wC+qV0Tb8jN97+9/n+7SAkSLerNu+YUJEzr97bUGxf9r/vpqcq7&#10;ejP/AN9tQApXazLRTCu11YbuW/vU+gARt8rf3t3/ALLSLFtZldmb/ZZqan+tenj5mXP/AAKmAgXZ&#10;80ar8v8AD93dUolRmVHVkz8q7v4qH2b/AJP7tRhPNG1x8p+bHTd/hS33GQSW83nyq77kkUhd397/&#10;AHf++aWOzWDYkjt8v3Wb/wCJqzA3m27Nt+8zfKtR7dvy0AxFYJK2Ii5/vM20f980m92XaV+X+7u+&#10;Wj/lv/wGn1XMIDvlwnlDhdv3utIqyws3zdV+7u3Uu5lfcPvUFmb5jU8wCKys7MW+bb826lHy9G20&#10;Misvz/KtMj83fs3Lu/hbb96mBMy7lZh8q/eb2qnqICafdvnIWEt/d+ZV4Kns2cVZZZl+bZ91vvbq&#10;iungg+zTXCHy0cnOwnYccdP500MS3e8hMDSw+a7wqjOjjlxmr/2i6/58m/7+Cm313YwQEXcsYRx0&#10;bvVaDVbZplhW6SYFS248EL/WmUW/tF1/z5N/38FULme4Nwc2jD/ga1Zh1a1uCfIMkqj+JI2I/OmS&#10;yJLNx5iseimNhmgCp5s3/Ps3/fa1PYTzqny2rP8AIv8AGtJ91uflqaxcpZLNjO5F2Dd1oAdNe3Ab&#10;yjbbHccHzV4qra/aYLuTdaMzmJW2tIvHzN3q9axNkzyMGL8jjH4/lT1/5Cch/wCmKf8AoTUAZ17N&#10;MJEM1v5S/wB7fms/Q5Ul8aauUP8Ay42v8OP45q3L5HaZCFJFY+kqy+NtVypH+g2v/oc1AHSJ1b60&#10;+mJ1b60+gAooooA878Xf8kX1r/r3l/8ARprodHju10ezMAIiMC71lbLH5f4P/sq57xd/yRfWv+ve&#10;X/0aa6zRrtBoWnjB4t4l/wDHRQBClnLO3+um3fxLu27atDSl2j97K3+85q7JBHLhjkP2deDUfnSR&#10;HbOo2npInQfX0oFYo/ZbSK4ZJbfPyL3z/eqUWunkfxD23tT7vAuEI/jT+X/7VV6oWpPAltC5MMXz&#10;7fvHk4q7HIsq8VTs/wDXf8BqzLF/FHw3tS0YtVqT1BdPIltI8ChpQuVU96I7gMPmIBptyWa0m8pg&#10;JNjYOehxRYakmZ1vLc3CQTXcapKjfMqoy91/vfWtusK0Lx2bo14t0+/g7w2zCdP++lat2kUYclrq&#10;K3cnkfZRCx3J5rNlc7d3A9x696I5JluntroxecEWVTECFI6Hq3Y/zrcqvcWdtdqouIElx03rmgCn&#10;t9aKqyafe2aSLYNC8OdyQzbsj/ZVs8CkjuLi8ylpbywMCQ73MeNn09T/AI0uUXKW6KZbym6hSYRO&#10;mfvIy/MrfxLT2Vl6rtqSRwdvuBvmo3fwlty1ErLu3kqv935qf975hQHMO81qc0u5du2mlGVNxoC/&#10;umekPUG+ZuNv/Aab2b6r/wCzUUDJBwC+CP8Aa9aYgpyKzttFDLuT7yqy/wALNTRtVOGfd/s/LQAj&#10;/fVf9qlpucbeE3f7WW/9mpdrMduE5/3v/iqAGruWVm27srTv7q/dzQyOr7dif99tTcyDoiD3DNu/&#10;76p7gS+U3UgFh90Hp/wKmHf/ALLN/tNQrPu+6v8Ae+//APY0o3M20Ku7/f8A/saAH2nywtKfvP8A&#10;My0x3/iPeiKK5i6qjr/vUjPuDZi2f7yUW1Aj+9L91tu2pf8AZ/75pnn7tqoys+35tv8ADTtu77/z&#10;f71OQErypsVSVX/gVRNLs+4rN/wGgIi9FVf91aWp90Bm5m6Lt/3qdGi7sucP/Cy9qbu2yr/dZafT&#10;AelwzIyn74+9TMK2Q6qyOGR1butMPyuj/wAP3Wq1IqrFuC/NSGUbWBLKN4YEWNS27jPP/wBapg7b&#10;mVvm2tu+b5qXarbfvb1+627/AMdpjfKytu+X7rUxDgzOvztuamyxRTxNFPEkqfe2utHyq/1p/wB7&#10;5RSAqDTkVdsFxeQj0im/+K3ULC4VUnkWV0Zkdz95sMrL/wCO43f7tXT8nyj738Tf3f8AdqqqSLc3&#10;Ts25Hl+T/gKKp/VWqolRLsd2w4kGR/eHWpBNF9qd/MTBRP4vdqo0g++3+6tMZptNE7IqupOax7T/&#10;AJHvU/8AsH2v/oc1WYeLuEep/wDZWqtaf8j3qf8A2D7X/wBDmoA3E6t9afTE6t9afQAUUUUAed+L&#10;v+SL61/17y/+jTXQaV/yBrL/AK90/wDQa5/xd/yRfWv+veX/ANGmuv0aCI6Fp5KDm2i/9BFAGlHz&#10;Gv0p9IoCrgdBS0AZV3b+VPamFcD51CZwvTP4dKbtIZlx8wXcyt95f8/3q0Jl3S259H/9lNOlhSYA&#10;Oudp3D2NAFK1b/SB71pVn+XJDLvdS4GTvTr/AMCHf8KkFx50myAqwH3n7D0+tAEzQKe2Kikt2CN5&#10;T7cjH3c1Ji5/56R/9+j/APFUYuf+ekf/AH6P/wAVTuyORGBpUdvCs0MV15xSUOY/K2bf4c+/FdDC&#10;++FH/vDNZcun/Z2lmj8rfIrbzsPPf+9Vq3ScRYSSJVDMADGT3/3qBp9C/RVQxXn/AD9R/wDfn/7K&#10;gw3v/P4n4Q//AF6RRboqqkMynL3Tt7bQKbJYwytukVn9nckflQBDLa2Sb5HmaPzDliLhkDH86ymn&#10;Nu2x/Lnge48qKRpn3bT/AA/d+bHzfxVpfZ1SbyUCr/urVra0s7IQDCibSD3b/wDV/OgCA26KjHC7&#10;f4fl61Wt54pDLDHLveD5ZV2Ebfvf3vvdGpLmztbcyPan7NcbMb4lX9d3y/hUenw3NveXiS3BlIVH&#10;ViipjczM3FSLlLzb2GfvIO/8NAZfs+3d83+ytU7q+W3WFo4kuXmlVNomGfmpj6taibycTefv2eV5&#10;Jzu/l+tLlEX/ACmZF/dfN/eZt1L+88t0J+Vcf7Pr/wDWpkd2sjrEjSh9uVV4WTdj3Zaczbj+8bav&#10;8Xy0e8A0L/D92iRGDr/eDUL97aflaq6zmdlVUcJJGXjlONr/APj3/AqIiJZW+VW/utup/wB35hTP&#10;vxc91pwb+Id6AHu+5922mt95qdsZl3bcLTdu7p81ACBv3rf7tKu5W3CnOi/K4/u/NTaAJBO/+zSb&#10;1eXc5+WmUUg5hJERriJo1+Zt3/oNSiBm68U2RQlr5oVtw2tVj+On0HFDAiMu402VVVVwtPX+JdtD&#10;/NF9KkqxUlbau70+an0VV+2IsW777L8rbaogs7VZdp70+KXZuSRSUH3W/wDZaqnzZXdGH7p/uMvy&#10;/wDjv3qUXVvpapb3F1DGXYJEHb5ix6LQWoyb0LRiV03o2VK7lpXiV9yv94/+PVUt72J0bHMWSvm7&#10;+jbtu3H3hzV5VdE24+X/AGflp7A420ZA0TtEpK7f975fmp6FN3B6/wAX+z/dp29d33vmb/x6od3z&#10;Ov8AEGZaGTsWHiXdn7qD71UbC2ujaRCXYpYbyzHncx3Nx9TS6i7tpN6n8X2d9v8A3y1bI6URKM46&#10;fN2uEX/tl/8AZUiWkhZ/3ycHH3Pb/erTqCI5kn/3/wD2UVQFI27w3dr84OXb+H/Yaqdnn/hOdVzj&#10;/kH2vT/fmrUuP+QhaD/fP6VmWn/I96n/ANg+1/8AQ5qANxOrfWn0xOrfWn0AFFFFAHnfi7/ki+tf&#10;9e8v/o012eh/8gHTv+vWL/0AVxni7/ki+tf9e8v/AKNNdnof/IB07/r1i/8AQBQBo0UUUARSdU/3&#10;6lqKbon++KloAKqtCYm3wceqdA3/ANerVFAEUUolTeoP0YYIqWq0sJB82HAfuDwG+tPhmWZWx95T&#10;tYehoAkKhhyKzraSSORklH+f88/8CrTrOvIjG32hQny/f3f5/wA8elNEtXLysp6HNOrO89AuYi+e&#10;6bfmFO+3FkCom6Xuuf8AChoE31NCiqTC6kiXDqjd8dv50ptC8HlySs3r7/8AfWaRQ+S4t0UzcPju&#10;vNUoRNIsgj4E259+7+993n6elWLq2Vrfyl6khQTyR6/pVtVVQFAwB0oAiitkiyT87Ft24+tVb3SY&#10;r5iZJp0BTY6xvt3j3rSooAzF07To7uIJY2yvgurLEAQRj/GtLaPSqdwAt7aP/tMn5j/7GrtAEE1t&#10;DcY82JH29Nw6VmyWtxZAmJpLqH5i6Stul/4Ae/0NbNFAGCGuL+23QRPE0yMoaV9rJ/CW27fvVPfW&#10;/wBns7COFSRbzRL9F+6f0NTRxSDVZJifkw2PphP6hquSxpNGySKro3BVhkGgCgGZGb5f7y/NRbsq&#10;L8/+7UEMEVkbuIMqRI/mru4VEZf5blanW86XEPnRnKEkDcuDx7VBBaeVWRlC1XT+L2an0v8A8VRE&#10;BPm7NQrULRQAf8Bo+X/gNFFAFjajoy7ty/dplu7NCu/bvHytTEba3PzJTfNWO4Zgvyyfe3fwtQux&#10;XMWN3zL/AA7qcf4vu7dtRMztt+Vfl/76pm5mbb8zbv71TyjuN+7VbdbWUZM0qLFuH+tbcdx6ce9W&#10;9235Q3zfxN/8TXOy2v2TXNRufPUNeRwyoqn5/k+Rvw5SlUn7ODZpQpqUmmxBq13fuSsMtlZlWXdM&#10;Ntyx/vKv8A4/i6+lQNZ2puPtP2WD7RvZ1ndN8it/vnkfhipizMck5aivBrY2pU8j040Yx8iGS1ae&#10;5juLfZ9uVsfOWEcq9xJt+9xlh74rpbO482NACSNuUYjDMv8AwL+L1rA+624NtaptNjlgu5njeNbe&#10;XMsUeceXJ/Gqj0YfN9c134DFc/7uRzYqldX7HSSRKys38VV9277/AMy/3v4qcZX3feo2szcL1r0j&#10;gY3yvNVk6q6Ffl+lWrKZbiyhmQ7g6Dmqu3a3+0vy7lqG2jltrho4nJjkRpEjA+VSMA/nnP1zVRCJ&#10;tVWtj+8uf+u3/sq0yK9UhVkXY33W9A3pVe6ltEvUiktQ7yY+fy89eKYyeU51SAekbn/0Gs20/wCR&#10;71P/ALB9r/6HNSTXVnBd+YbX92EcECLur7ai0swv4y1CSBFCPp1qRhcfxzUAdEnVvrT6YnVvrT6A&#10;CiiigDzvxd/yRfWv+veX/wBGmuitJ7j+yNJFsybfsyCTLjj5V9653xd/yRfWv+veX/0aa6zSEt/7&#10;E0/ccH7NF/Gf7ooArTXGrCVzE4aI7sLvjyP7talvcBosysivuPyl19eOlOkt4xCzpu6ZHzmqPP8A&#10;eP8A31QBfnnh2L+8T76/xe9S/aIf+eqfnWX/ABIu5vvr/F/tVpfZY/7rf99mgB32iH/nqn50huIV&#10;HMqf99Un2WP+63/fZpPs0P8AdY/VjQAfaYyuQx2/3sHH51T83z5PNhQq68b/AFHp/d/WtBIY4vuI&#10;q/QVJQBQhe5llYMxj2j7ny5/r/OnCz3SebM289lxwPzqeWJZcckMOjL2pkc/7zypRtkHT0b6UAVp&#10;NtteK8mNh4DHJI/z/X2q68KP1FMugxt3KjcRzt9fai2ZXt029F+X8qAauQXETQqrIf4qal66/fTK&#10;/wB6rN1E0sYVOuarfZJvRfzp83cjk7AJUuL23HTYHbH+193+prQqj9l8p1ckM33avZ4oY12Fooop&#10;FFO9QskWOqzI3/j1XKZJGssbI3Rhg1BbyvuMMv8ArF6H++PWgC1UFzJ5MJcIXb+FR3Pap6x5WF/c&#10;LGqEx84dJP4cfe/HkD8TQBNpsSLD5qkkSfd3en/1+W/4FWlRRQBiy6NHNqL3MspkjdV/ct03Dpz6&#10;deKrWhm+03v2hds5mXdhvk+4Pu/ht3U6S4u01doZpruOCSTbCyRps+70zjPXNWlj+UJvfqSS2Od3&#10;/AaCWPpF/wBev91qeIGbpKzbf92goUPLHcKgRN5SKvC1Xp29m6s3/fVM2r7/APfTUDYtFM2L/tf9&#10;9NTxaqybvm/3d1HuiCh/nXafmWmeQnpR5SdolZv92noAsYfdsblQMq3+z/tVK3yo3/fO7+9TCieU&#10;U+Uxf7Ixn3qJJWDmIuHx90jutUGxK1Y+ricX+mMkxS2eR4Z07MXT5P1A/wC+q31ZH+X7rVWngjuY&#10;hHKpZN4faCVbIO4dP9paxlHnXKa0pKErmGkE0v8Aq0c/7WKSSGWE4kQjd0qnFY+HJppZ4olu7y2B&#10;kKee9zIrD2LHa3FW9Ojl06LUJBZpH5k7SQQxtvLbUVNxwPlzgcdq8irgYwW56Mq6tf8ANW/UTKC7&#10;S2USyTOiyERx8IjE8kkj0apLeDUvt1rizit4kcO8kk4djwdyAAe/r2pEsLiTXbHVGdYWMLQXEJ6v&#10;1KY+h3V0G0B+ecdq7cNh6cUppanNWr2tbW6HWq7k5ZWYfLUjMyNx82arOzI/mpx/eX1WpmlSWLcv&#10;3q7X3ORET/MzZXbUN1+48nUFLkW2d6KM5Rtu78sZqahflbcPvUE8xANYsrxI/s0NxdEncNkbJj33&#10;NgfrUE8tpBIpn3xs75bzkIUA/wAO77v6/nVu3iS32QhFihVdqfN93/ZqRnSAs5chAe3JbmquVzFJ&#10;YrcX8TpYZR42UFSpV8lTkNmotNyvjXU1EJiC6fagA7f783pVu1gkndJHhdUVZQpYbW5fj5T/ALPr&#10;VTTUeLx1qiM2VFhbY/77lpjOiTq31p9MTq31p9ABRRRQB534u/5IvrX/AF7y/wDo010ekxOdCspe&#10;qi3T/wBBWuc8Xf8AJF9a/wCveX/0aa7LRUU+H9OGBtNtF/6CKAGBnZlQu+1vl+9Vn7Ev99qmFvEp&#10;zsqagChLbLGgcO330/8AQhV+q9z/AKkf9dE/9CFWKACiiigAoqC4lMMJcbMDrvOBVKK7ke2aVlQK&#10;nU7uePvbtyrjigDUqGWJJV2sPoRwR9KoSzytFKyM6kMibvl9ev60WUrSTPlnK4+Tc+5X5+8OKALR&#10;meH5Z/uHpJ2/H0pmnf8AHvx0z/7KKlumxayd9y4H41BDC9omYt0sROWXuPcf4UAaFFMjkWVA6HKm&#10;n0AVrofIG9KBdxbRyfyqC9uPleID8c1XHSn0IXxmitzEzYDdanrKjbbKjH+9WmrK4yDkUiyndyne&#10;qI7Lj722qrCSQjDneDlNxPWrslp5sjPvxn2oSz2OreZ0PpQBBcXJazUhvKeQZY/3B3/w+tS2cZhi&#10;XeqLK3L7Bx/kdKpiCOXUCDK7Krk7Cvy4HJH/AH0y/wDfNbNABTHdUQu5CqoySe1I8scS5d1UD1NV&#10;nuPOixDA8yOMZ+6P1oAyriZtVMawI0cEcol+0Ov3tp42c8/73TFXgu5torO0u5DzzacVO2zGPPA+&#10;UKNvyFv7w/pWom3O9GDgfN8veokSLueJttNZmfcx/u02SVPnd/kVF3MzNtVVqvFqWnyyqiXcLOW2&#10;qnmruZv9n+9RygWKG609GiVeUbdTHZmf5Im/2aBBtNPjdlZV/h3VA0rEsI4pptrFcqFxuHX7zUiO&#10;zxRShPldFb5m+ZaOUNi15W92bdtpm3Yx3ZB6Ky/rTUldF5Rf++//ALGl3qsmxmOPu7vf/wDXRyjI&#10;Z1Z4WUf8BWq0du7I7BmSUfd3Veb5t38P+7Waiy72RG6fe+atqezREi5BKyIqz/LKv8W75TVsGLAO&#10;4rVVt0u1Qq7T/Ey7v/HanFgiqqiV1/3WrN2Kjc5fRBaaNANGlZYJUbarMnlrcMxyChJ+c8/99Vvy&#10;NtKZ/ibafaluNO82LZMiXIzuCunQ+o96yruO/sIFkgWG4RERPKuMiQsvfzvmycjutclWhzfCdbqK&#10;bu9Gx3iBbyTRLqKxMi3CossWzO5ihB28f3sY/Gtnbt+WuYvtXkmsYrV4fst/eOiQwuWcMuULlXXj&#10;G0n06V07febNVQjKKtIiqmoK/n+gx925F/h+9QyLt+T5G/8AHaA252X0p/8Aerpuc4kbbui/N/FS&#10;/MvXctIjLsyi/vUf/vpd1PknV3Vfut/tUMBjLu61VvC62crDkoodGIztIIbn2/vVbpk0scETPM2E&#10;Xr8uf9n7tTEDUQ7kByDkdRWHaf8AI96r/wBg+1/9DmqxpLoGuVQuE83MaOGXC7V6Kegzuqvaf8j3&#10;qf8A2D7X/wBDmqyzcTq31p9MTq31p9ABRRRQB534u/5IvrX/AF7y/wDo012eh/8AIB07/r1i/wDQ&#10;BXGeLv8Aki+tf9e8v/o012OirJ/YOnfOP+PaLt/sigDToqPa/wDz0/8AHaTbJ/z0b8hQAy5/1I/6&#10;6J/6EKsVSuon8kfvn++nZf7w9qc9sxUlrqcj6qP6UAW6KyTHbN96OSX/AH5GNW7e3tvLDpbxp/wG&#10;gB8sltuBlePKHIyelVpJdOaQOxR3GDkDPTpVg3ASfy9n41ZoAoM9nclsxM+5dpJhbp+VOjgigbzI&#10;rZ2b2/8ArmrtFAFCWaUx/vLZkH3tzOO3Pb6VJALkQorxIrAYz5mf6UzUf9Wn+/8A0q9QBntZM+GM&#10;7ebuydu5VP4A/rT423qU3yQyIvIJ3Y/E9au1BNAJlGSQynKsOooAyWSZtzfaG+b/AGFqNEl2/wDH&#10;w3/fK1eMbyEgqFmHVR0P+0KgCsrspVlpx2IluhvlP/z2f/vlf/iaerSou0XEu3/gP/xNFFIsdvl/&#10;57S0+NnaVFaV/mb+9UVSQ/65P96gBtpGj3lwCz7hkfK5X+N/T8KtDTrbO54d7f8ATRi/86gtP+Qz&#10;df7v9a0XdIkLuwVR1JoAqGFDcRxRhESP53UD/vn+v5VeqrbIRukZcPI2WHp6fpVqgDLvNIhvFmIa&#10;WF5k2OyP1H06VBHYz2IljtI45YN2YonmYbPX+Fu9bdFAGFIb/wAuSM6Y3zrt3LOjAfnirN5pFjfT&#10;JPcwb5UAVXDFWH5fWrU8qmRV/unmp2PyEj0oA5e+h123jnFmd4idWh3bXLpgfJ83p83P3jU13cw6&#10;rp9xb2BeaXAbZs2Y5+XO/b3WtZ5nddpNMZmbq26gCaFobdFht4VVB90JwKpRyeXHBDOrxTbcKrLk&#10;H8V+WpagvFaWOKQZLQypLhRlmUfK36MaALI4+fYePm/+JpzrF5XyVBbyieEkRTRbH27Zkwx/2qdU&#10;SJCNdjbQqsv3drVH5C+c7lduf4d1XBLEv8NMZkZ9xX5aOZi5SMNtdW9G/wDZaHd2fcG2r/FQ+M/J&#10;92igByu6/wATUMzONr/MtNooAc/k7FiT5M/L8v8ADUUUUqJsTbKob/doG1nZv7vy0+FmiTb/AN9V&#10;V7IZFv2fNIjRbv73zVKv/stT+eu3lWqIQIzM8LsjH7y/w1PMmFiCfcsW5JPLy6Jv25xubb0/75pk&#10;sdzaJM9xPNdQhVZW8tAyY3Z+7t9qfeW1zPaSxKYg2MoynHzA7l/UVZtr3zoVmMbxo24YdcMMNjmr&#10;Q9lqUmvZL5MacBKefnH3F/2slfm+gq79lCRRC4uJZGXBP+0RV5HVxwar3XagZDcRWVy6PNHHI6fc&#10;LpnFYvhyxltdXuXkTy/9Eii2fL2eU9v96tas7THf/hM9Ujydgs7c7fffLVXdrC5NbnRJ1b60+mJ1&#10;b60+pGFFFFAHnfi7/ki+tf8AXvL/AOjTXZ6H/wAgHTv+vWL/ANAFcZ4u/wCSL61/17y/+jTXZ6H/&#10;AMgHTv8Ar1i/9AFAGjRRRQBXuv8AUj/ron/oQqSfd5LbM59qZccxD/fT/wBCFT0AZXlP/cf/AL5q&#10;9aqy26hhtNT0UAQPao8m8k5qeiigAooooAq3aq8Pv2/H5f61NE/mRI/95QabPH5kLIGCt/CfQ9qj&#10;s2doiJBtYH/P+H4UAWqKKKAK80CTrzlWHR14IqszyxSnzB5iY/hHzfl3/wA8Vodqryj9/FTREh6N&#10;DKDt2Hb146VnFHTqhH/Aa0Ht0d/MGVk27d4603N0kXAjmb67P8aRZn1YtYt8u89B/wChUjSW6Y+0&#10;wmF2+6uc5+m2popWYAW8P7thne5x+nWgCranGr3bHhQnX/gRq1zdOCQwiQ9CPvn/AAqjawi4v7pZ&#10;/nAP3e332raoAKKKKACiims6p1OKAIJLcu7MCOaY0Mio3z/L9anNxGv8VP8AldPY0AZtFXTap2yK&#10;abT0egCpTJnVE+dWZT8vy1ba1bs1VykhuljBTaPv/wBf0/8AQqAGPeRJK0c8sMUrhCqO4DGn0mtW&#10;kVzpd0TGhk8ltrEcipJlbezbflP3aliYymfP7U/73SoLeeWaV2EG6BXlT5OWyjbfXv8ANSiTyivv&#10;VN3y0/8Ae+q/980yF2vLVn8ry23OjJu3YZWZf/ZaWGeK4iZ4921XZGVl2sGWmHKO/e+q/wDfNHz/&#10;AN4f981E8582WKCCW5ni++q7QASMgEs3/oNLDZam6iWW8ijZlyYfIDKh9M5yaA5SQr8m0d6fVM3a&#10;wq0d8RC4dhu8tlQru+U56L+dWthZFdG+X+8vzLQA6nBtq8fe3VEzOv8ACrU5Nz7sK3y0uUCQSsr7&#10;izMtVNOZ9PjW0u3kmJyyT4Y7v970NTsyr1bbU1q6szbGoWg0PQRXEQmtpAyn7rKeKiuHkXasi/8A&#10;AlrPvWk0x47i0hlk3y7Zo03EPkH5u+DuUf8AfXNXI71L6JmWOSMxuUdHXkGtExcnYb5q1n6Synxt&#10;quP+fG1/9DmrS2r/AHazdJVR421XH/Pja/8Aoc1N2HG/U6ROrfWn0xOrfWn1JQUUUUAed+Lv+SL6&#10;1/17y/8Ao012eh/8gHTv+vWL/wBAFcZ4u/5IvrX/AF7y/wDo011WiTTS6NYJGoRUt4gWfqflHQUA&#10;bVVluo3crGS5HXYMj86QWy5ZpWeTI5Dtx+XSp1VUXagAA7CgCpcTTbQEtnI3ryXA71IJLs9beNf+&#10;23/2NSTxCeFoyzDPdeopttN5kfzEb0Ox8etADGmuVPzW4K+qSf44qRp9q/Msi/8AAC38qnooApjU&#10;LUna0wT/AHxt/nU8c0Uv3JEf/dbNSMobqM1CbW3JybeNj67BQBPRUK28K9IkH0Wgwq3Tev0cigCa&#10;qPyW9/jJHm/l/nP/AKFU32SP+9N/3+f/ABqvcWxCB4ycr/fkJwP84P4UAaFMeVI1y7qo9zUUcUbx&#10;BinUfdbnFL9lt85+zx5/3BQBGl7C7bYyzj+8qEj86ZcNMCGit3Yj/aAq9SYoJkrlSK4lkTkRxt/v&#10;bv8ACkEDurLNK0gP8K/IB+XNTSW6vyOGqMSPCdsgLD+9VWvsK7W5PFFHCmyNAi+1RSW+W8yN/Lk7&#10;nsfqKlSVH+6wqSpLMnTt39oXW9cH/wCzataqdpEiyTSLyWPP/fTN/wCzVcoAKKKKACq10w2bc81Z&#10;qlcq3m5x8tAEFXbZy6fN2qlVq1b7y0AWqKKhnuEt03OfwzQAy4nWFPvYcg7cDP41HaQtErOxy78n&#10;jb/nnP51FAsk0gmuGI9Ezj9P8/4XfPjU7d1AD2UMpBGQay10a2t5GezDWrtw3lfdb/gJ4q+bhN+0&#10;c1PQBim1vokRXvofNVfv/Zuv/j1TxFoYEQvuI+823bls5+7U90u2TPrVegCN4ImdZEijEyvvD4xn&#10;+E7sexNQLo2oRCdoNVETTStL/wAe6sAT9at1anY+UjUAQWVj9k3ySTNPcShVllK7d2OnA6da0azd&#10;zf3mo3N/eagDQ3J6isjUNMhuvmt5Y7W6HSYD5v0YVPTaAKMMeqz2atcXgt7jb/qdiOuR6t70x7WW&#10;SxN/fRgS2zeckET7gCnLfVjgitEsqqzH7q1bthvso94++nI+tAFNWR1V4/uOu5f92gtt2/7rVTe2&#10;k0u7tQlxIbNw0RWVhiMgbkx+WKuMit1X7tQRIbuZvufKv96qlza3i3LXdndsDs+a2K7kmYD1z8uf&#10;lFXqbLMlqnmTsqJ79/Yf3mphErW2qWd5dzW0MriaEtvidMY2ttqDSv8AkdtV/wCvG1/9DmrN0a1Z&#10;9VXUfs12jzea0zyrsT5vu7f71aWlf8jtqv8A142v/oc1UWdGnVvrT6YnVvrT6ACiiigDzvxd/wAk&#10;X1r/AK95f/RproNHQ2ljp7oGaKS2TO5/lX5Vz/8AFf8Afdc/4u/5IvrX/XvL/wCjTXW6dbrc+G9P&#10;VlUsLaIpu7HYKANeisvT5lKmAhRJH/ArZ2r0/TBX8PetSgAqjIfKukcthJfkK/7fY/59qvVBMnmx&#10;Mg4b+FvQ9jQBPRUULl4gxADfxD0PepaACiiigAooooAKY6B0ZG6EYNPooAoWTIkksAL7kP8AF/n8&#10;f+BVfrLvHktrtLgKpix8/qP736YP/AK1KACiiigApCoPWlooAqyQAISmQRSySMto7p8zhMj61ORl&#10;cGs6+hkVF+zkBi27b9Of5gU73RFrPQk06F4oGEjbjv8A5fL/AEq/VK3Jtokhl/gAUNVyixSdxaKK&#10;KQwqlc7vN/2au01lDDBGaAM2pY5jEvCrT5LYjlPmH92qU0+x1iC/OzL97+Hd8v8AlaAL0l0EjUnb&#10;uI3YJxj3PtTYrdnfzpsk/wAKH+tMs7d0HmT539wx3c+vtVx5FiHzGgCjTadTaACtJG3IDVAI79Bm&#10;rsW7yxkYNADZ4jIBjtVaSBk/2qv1Fc/6hqAKFWHffb9MYqvVqH97blPSgCrRRRQUFFOCs3RaURO3&#10;8DUAQzLuhdD/ABrt/wC+vlrTg/1K1m3EcheGLHzO+7/vn5q0YEZIsN1oJGXVrDdwNDPGjof4WXNU&#10;YYb8R7LmKN5R/wAtYnwD/wABNa1FAGNHbajP5izGC3iPyjyss+PUN8u38qnbTLeOVbkeYzxptUM5&#10;Iz/e+vvWlTJP9U30oAoMzN1bdWXpX/I7ar/142v/AKHNWlWbpX/I76r/ANeNr/6HNQB0adW+tPpi&#10;dW+tPoAKKKKAPO/GH/JF9a/695f/AEaa7TRf+QBpv/XtF/6CK4vxd/yRfWv+veX/ANGmuq0MXS6L&#10;YHKMPs6bcv22j/ZoAluVNrdrcB0VCfmG3qf4vzAH4qPWtJGWRA6kFTyCKqXEdy8RTKHPomdvvyaz&#10;k1CSAtFFAREPmwYiMctkfLu7q3agDfoqgl8Gi3Mm0/3f/wBrFPGoJ/cP/fxP/iqAHQqsU0yKereY&#10;R/vf/qNWqzBcI12JlyBs2MAVPfjof96ifU3RsRxBv++//iaANOisiG/unb549g/3P/s6S5nu5flh&#10;fZ9G/wDsf/ZqANiopZY4l3SOiD1ZsVlQ/aE/1ku//gT/APxVRPao83mlm3f7Kqv/AI8q0AbEd1BJ&#10;9yaNv91s1HLexQruYSY9RGxqiu5f43/4E7NTDbwu24wxM395kWgB15qVrLDhGcSod6Nt6H8akg1G&#10;K2UQTOXdf41wcjt09sUyJUidWRFX5v4Vp0FskH2iElZPl+VGGcbf/sSlAGgk8ZXOWH++pX+dPilj&#10;lXdG6uvqrZrnVe9jRmjtAv3vlEOG7Bei/wC81RWzalJLM7W0kbNF/FG2d27+997p23UAdXRXIx33&#10;iGGzZvI82RW6PG2cc9O/b/aroUv4Szhjs2Y3M33fzoAu1mTwvPqMZ3jy0xlfXnd/RK06zbSF2vJp&#10;2cMDnAHv/wDYhKAL7KHGDUMbNE/lv93+E1YqORN6Y79qaJa6oloqvHN821+GqxQ1YE7hRRWPJM9y&#10;TBbNlGXJkU/lg9h/tf8AfPsiiae6YFoYsl2VuR1z7ev9O9PtLRYmMjEGRyW47Z/n9ainjeysme1Q&#10;vJndtRPzCjtUFzd6hFBE6RuxJ2t8n9KANSS48tsbKqySmU8/w1kNqeqeW6m0ZnGGG6H5cYH/ANlV&#10;2E3kk6fu08pjz/eXhv8A2YUAT0U4qyttK7abQUTwzeVuzzT/ALX6J+tVaKCSwbp+ygU53L2pJ61V&#10;q7bDMPI70AUqntm2y49at+Wn91fyoCKvRRQAuKWiigAooooArSKDeRMfvBHx/wCO1ZqncnZd20nb&#10;cUP4/wD6quUAFFFFABTX+4fpTqKAM2svSv8Akd9V/wCvG1/9DmrUP32/3qy9K/5HbVf+vG1/9Dmo&#10;A6NOrfWn0xOrfWn0AFFFFAHMRaRaa/4Kl0u9Li2ullSRkbB27271nx/D20ijEcfinxQiIuAq6u+A&#10;KpeLv+SL61/17y/+jTU2m+FPDz6VaO+h6czNCjMzWyfN8v8Au04x5gLP/CAW/wD0Nvir/wAHD0xv&#10;h3ZtyfFXin/wcPTpfCXh3yn/AOJDp33f+fVP/iaisfCXhxtPtWOh6czNCjMzWyf3V/2arkAf/wAK&#10;5s/+ho8Uf+DZ6X/hXll/0NPij/wcPT/+ES8Of9AHTP8AwFT/AOJo/wCES8Of9AHTP/AVP/iaOSQE&#10;f/CubP8A6GjxR/4Nno/4VzZ/9DR4o/8ABs9Sf8Il4c/6AOmf+Aqf/E0f8Il4c/6AOmf+Aqf/ABNH&#10;JICP/hXNn/0NHij/AMGz0f8ACubP/oaPFH/g2epP+ES8Of8AQB0z/wABU/8AiaP+ES8Of9AHTP8A&#10;wFT/AOJo5JAR/wDCubP/AKGjxR/4Nno/4VzZ/wDQ0eKP/Bs9Sf8ACJeHP+gDpn/gKn/xNH/CJeHP&#10;+gDpn/gKn/xNHJICP/hXNn/0NHij/wAGz0f8K5s/+ho8Uf8Ag2epP+ES8Of9AHTP/AVP/iaP+ES8&#10;Of8AQB0z/wABU/8AiaOSQEf/AArmz/6GjxR/4Nnpf+Fd2e/d/wAJT4p3/wB7+2HzT/8AhEvDn/QB&#10;0z/wFT/4mj/hEvDn/QB0z/wFT/4mjkkAn/CAW/8A0Nvir/wcPS/8IBb/APQ2eKv/AAcPR/wiXhz/&#10;AKAOmf8AgKn/AMTR/wAIl4c/6AOmf+Aqf/E0ckgE/wCEAt/+ht8Vf+Dh6YfhzZsSzeKPFBZhtY/2&#10;s/NSf8Il4c/6AOmf+Aqf/E0f8Il4c/6AOmf+Aqf/ABNHJIBq/Dy0RNieKvFQX0GsPSJ8O7SNcJ4q&#10;8UqPbWHp/wDwiXhz/oA6Z/4Cp/8AE0f8Il4c/wCgDpn/AICp/wDE0ckgE/4QC3/6G3xV/wCDh6P+&#10;EAt/+ht8Vf8Ag4el/wCES8Of9AHTP/AVP/iaP+ES8Of9AHTP/AVP/iaOSQDT8PLRuvirxUf+4w9L&#10;/wAIBb/9Db4q/wDBw9L/AMIl4c/6AOmf+Aqf/E0f8Il4c/6AOmf+Aqf/ABNHJIBG+H1sy4PivxVj&#10;/sMPTU+HdmjFk8VeKAW641h+af8A8Il4c/6AOmf+Aqf/ABNH/CJeHP8AoA6Z/wCAqf8AxNHJIBP+&#10;EAt/+ht8Vf8Ag4ekPw+tm6+LPFR/7jD07/hEvDn/AEAdM/8AAVP/AImj/hEvDn/QB0z/AMBU/wDi&#10;aOSQEf8Awruy/wChq8Uf+Dh6cPh7aL08VeKR/wBxh6d/wiXhz/oA6Z/4Cp/8TR/wiXhz/oA6Z/4C&#10;p/8AE0ckgGn4e2rfe8WeKj/3GHpP+Fd2f/Q1eKf/AAcPT/8AhEvDn/QB0z/wFT/4mj/hEvDn/QB0&#10;z/wFT/4mjkkAz/hXdn/0NXin/wAHD0f8K7s/+hq8U/8Ag4en/wDCJeHP+gDpn/gKn/xNH/CJeHP+&#10;gDpn/gKn/wATRySAj/4V3Zf9DV4o/wDBw9P/AOEAth08WeKv/Bw9Ry+FfDyOuzQ9OX5f+fVP/iab&#10;/wAIzoP/AEBNO/8AARP/AImoAn/4QC3/AOhu8Vf+Dh6P+EAt/wDobvFX/g4eoP8AhGdB/wCgJp3/&#10;AICJ/wDE0f8ACM6D/wBATTv/AAET/wCJoAn/AOEAt/8AobvFX/g4ej/hALf/AKG7xV/4OHqD/hGd&#10;B/6Amnf+Aif/ABNH/CM6D/0BNO/8BE/+JoAn/wCEAt/+hu8Vf+Dh6P8AhALf/obvFX/g4eoP+EZ0&#10;H/oCad/4CJ/8TR/wjOg/9ATTv/ARP/iaAJD8PrR/veK/FR2nPOsPT/8AhALf/obvFX/g4eoP+EZ0&#10;H/oCad/4CJ/8TR/wjOg/9ATTv/ARP/iaAJ/+EAt/+hu8Vf8Ag4ej/hALf/obvFX/AIOHqD/hGdB/&#10;6Amnf+Aif/E0f8IzoP8A0BNO/wDARP8A4mgCf/hALf8A6G7xV/4OHo/4QC3/AOhu8Vf+Dh6g/wCE&#10;Z0H/AKAmnf8AgIn/AMTR/wAIzoP/AEBNO/8AARP/AImgCX/hXtn/ANDV4o/8HD1p+H/CtpoFxdTx&#10;ajqd7PcIiu99dtMwC524z0+8ax/+EZ0H/oCad/4CJ/8AE1b8M6dZad4l1FLK0t7ZXsrdmWCJUUnf&#10;N6UAdanVvrT6YnVvrT6ACiiigDzvxd/yRfWv+veX/wBGmt7Sv+QPZf8AXun/AKCtYPi7/ki+tf8A&#10;XvL/AOjTU1/q82ieFrK7hhSZvKRdjMy5/dM3/fXy7f8AgVXADoZf9U/+61RWH/IOtP8Ar3T/ANBW&#10;s3QtXfW9J+1ukKq6blWJ93y/7VaVj/yDbT/r3T/0FaskmorEklfzpc3Eq/O3y79v8VN81v8An7l/&#10;7+1wzxyjJx5WdMaDcb3N2nVlac7NdMvnO67G+Vn3fxLWJFqvid/El7ZLp4+y/wDLvPLbsIuP7zbv&#10;7v5muqjWVSHMjGcOR2OwptcVf6t4sg0ey8myZ7q4TczxW7Ns/wBV99f4W+Z/++am/tHxMtw6PEzL&#10;9n3blt327vK3Nt+X725l2ru/hf8A2a0uQdfTqyNElvpY5mvmdm839zuXa3lfw7vlX5vvbl+b+H5q&#10;16ACiiiqAKKKp6i8qWTtCqs+5NqtLsz867vm/hqQLlFYX2jUf+fK2/8ABrR9o1H/AJ8rb/wa0uco&#10;26dWBqFxq0XhmWaxh3agr7URX835d+35W2/N8tZr6p4ktdMt5XtJZp3Z2ZUhZ2Vdqsu5di/3vu/e&#10;/wB75truB2NFc3canq8eo3UUdvP9lWF2ilELH59nAxt9V/8AHv8Ad3W9Bn1GVLpdR370l2ozRbFZ&#10;fm+Zfl/3aLkmzRRRVAFFFFABRRRQAUUUUAFFFFABRRRQAUUUUAQTfeX/AHaiqWb7y/7tRVjLcoKK&#10;KKkAooooAKzPEGqS6Nos99Db/aHjZFWLdt37nVdv/j1adZz3ltqMv2QWzXcW1X3si+U3zbl2s33v&#10;mVfu7tvy0AGg6p/bekxXwVFV3lVdjblZVdlVt3+1t3Vo1j2d7aabDa2X2JrSJ4mdGiiXyl/iZvl+&#10;4vzfebavzVro6uiujKyMu5WVvlZaAFooooAKKKKACk0f/kar/wD68bf/ANGzUtJo/wDyNV//ANeN&#10;v/6NmoA6ROrfWn0xOrfWn0AFFFFAHnfi7/ki+tf9e8v/AKNNaH9kw6voOnwzyzIqRI/7p9jN8m3b&#10;/u/NWf4u/wCSL61/17y/+jTW9pX/ACB7L/r3T/0FauAEdjpcOl2ksUMtw6bfl8+Vn2/L91f9mrFh&#10;/wAg60/690/9BWpZf9U/+61RWH/IOtP+vdP/AEFaskI5ZpVZkhXbuZfmf+623+7/ALNP/wBJ/wCe&#10;Kf8Af3/7Go12RZVLsoNzNtyn8Tbv7tO3/wDT83/jn/xNcMnPm0aNbwHK02/bJEqrt+8r7qwpvGGn&#10;293PbyRXH7rfuZVVl+Vtv96t1G3N/wAfLS/L935f/ZVrPl8OaTLO0z2Ss5/i3t/e3f3v7zbv++f7&#10;q100vh13IlboUr7xppdlE8rtM6q21dife+5u/wDQ1o/4TDTvOeLZcKwi81VZVVm+RnVdu7d91W/2&#10;flqaXwloc6or6enyNuXa7rt+7/tf7C/981Ybw/pzOz+S+4xNF8szr8jKqsv3v7qr/wB81qSO0rVo&#10;tWS4aOJ0a2ma3lVmVtrrt3L8v+8taVQW1nFZoqQq6rtVVVnZvlX/AHmqegAoooqgCq93cLa27TPt&#10;2qyr8zbV+ZlX73/AqsVBd2qXlu0Mn3Cyt91W+627+L/doAr/ANoxf8/Fj/4Fij+0Yv8An4sf/AsU&#10;z+xLT/njb/8AgNF/8TR/Ylp/zxt//AaL/wCJo0I94bLq8UVj9pETS/vlhVYmVt7M21drfdrNfxhb&#10;rp9pex2VzNFdM6xeVtbcyNt2/e+9u3f98tWt/Y1k1i1lJFuhZ/N2r8nzbt3y7du2ifRNPulVZ7dp&#10;cfd3yu393/a/2VqTSJoU2j7q06qEFFFFABRRRQAUUUUAFFFFABRRRQAUUUUAFFFFAEE33l/3aiqW&#10;b7y/7tRVjLcoKKKKkAoopCu5WU7uf7rUAZWq3qrdJaPEzW6p5126t9xP4f8Ae3Mv/fO7+9XHS6va&#10;W+p6VFqryzWr3S29xO7uyw7kZlRl2/e3Knzfxfe/3ei1e3Zbua3RLh3ubVfJVZW+d0ZmZfmbb91l&#10;rivHN60+iXF07KtlbBZXdJXcvvVVWJWZflZt3zfL91aAMLwl4gk0/S9Ksn1W5n1TUnY+V5zYtofm&#10;HzcfeOMr97r93pXrmjT7HS2ENwkM0KzRea+7Yy7VdP73y/L/AN9NXDaJpMvhxbi2nu4ZUiuUbekr&#10;KibNzfM6r99lX+Ld975dv3a7LSkWW4iiMV3E7Qy3Dq7suzzX3Kv3v97/AL5oA6KikC7VVfm+X+81&#10;LQAUUUUAFJo//I1X/wD142//AKNmpaTR/wDkar//AK8bf/0bNQB0idW+tPpidW+tPoAKKKKAPO/F&#10;3/JF9a/695f/AEaa2bK4htdEspZ5kiTyYl3u21dzKqr/AOPVjeLv+SL61/17y/8Ao01B4h0l9Z8H&#10;6bbpFcSqPKZ4oNvzr5TL91vlb727/eVauAHVGeKWJ1jlR/k3fK275W+63/jrUlh/yDrT/r3T/wBB&#10;Wue8J6Rd6NYXUN0FHyIqqrMyrtT5lXd821W/vV0Nh/yDrT/r3T/0Fask47VfDOp3mq3VxDEjJI+5&#10;dzrVT/hENW/55Rf9/VrpJ/E/2a4lgbQdeuGidh5ttYb4m+bsd3zVdk1gJEX/ALK1dsWqXO1bTc3z&#10;H/V9fvj+Ja8ueW0pzcncfsXuY3hrQb7S9Te4ukRUaFk+V1b5ty//ABNK/hq7W71OWN4XW8RVVp7h&#10;32/OzMzLs2/xfLWnpevf2peNbjSNYs9qF999Z+Sh+YcKd33uay5/FV7bvqEp05GtbZmRHZ3X513L&#10;83y/dZl2r/7NXbQpRow5I7DcXHRlVvBtx9nht0TT2it1fZEzNsbd5X3vl/2G/wDHahfwRfJvSCa2&#10;8g/wu7fN8u1d3y/+y1F/wnGoNZ2DpbWjz3NxLAyxfOq7WVV+63y7s/3vmq7N4yvVvbW2SziVblEa&#10;K4l3Krbk3bdq7vm3f3Wb+FfmattAOi0mwmsIplmdHaWXzflbds/2F+VflXb8v8VaVYHhbWLrWLKW&#10;a8SJXVl2+VE4Uhl3K3zf3lZW/wCBVv0yQoooqgCiiigAooooAKKKKACiiigAooooAKKKKACiiigA&#10;ooooAKKKKACiiigAooooAgm+8v8Au1FUs33l/wB2oqxluUFFFVNUvG07TLq7Cb2hRn27tu6pAt0V&#10;xuqeNLqwisnj09Zmm87zYkbc6bGVdu1f4vmrU0XXLnUr10mt1ih2/I+35ZW/i2tu+baytuXb8vy0&#10;AbF3b/aoPK814m3Kyypt3Iy/71cRr/g621i2h0/UUv7e1BErrYN5sUko+VWbKsy/K3/j33q72igD&#10;lYdOS8bclpcOr26qyyq0UO9V+VmX7zfe/wBr7tbum2H2C18oyvNK3zO7tu3NtVf++flq4iKiKg+6&#10;q7VpaACiiigAooooAKTR/wDkar//AK8bf/0bNS0mj/8AI1X/AP142/8A6NmoA6ROrfWn0xOrfWn0&#10;AFFFFAHnfi7/AJIvrX/XvL/6NNb2lf8AIHsv+vdP/QVrC8Xf8kY1r/r3l/8ARprd0r/kD2X/AF7p&#10;/wCgrVwAsy/6p/8AdaorD/kHWn/Xun/oK1LL/qn/AN1qisP+Qdaf9e6f+grVkjWsLdmZtrrlt3yy&#10;sv8A7NR9gt/+mv8A3+f/AOKq1RRYorx2sUD7037tu35nZv8A0KpfKi2suxNrfe+X/gVPooJIlt4V&#10;6QxLj/YWl8qJkVCibR91dtSUUANVVRdoVV/3Vp1FFUAUUUUAFFFFABRRRQAUUUUAFFFFABRRTaAH&#10;UU2igB1FNooAdRTaKAHUU2igB1FNooAdRTadQBBN95f92oqlm+8v+7UVYy3KCormeKC3eWZ1RF/i&#10;apajngS4iaJ9yr8rfL/stuqQOUbSNYhuIw/iSaeX76QTwwqsv95WZfmVW/i2/NUjS6xfwpElxY6d&#10;EVaVbi0maV9q/e2q/wAu3c33q6B9NtnukudmJ0VVVl/uru2/+hN/31TDpNs1q1s6u0To6OrN95Xb&#10;c/8A31/s/wDAadwMCPRtbniWWHxZeOjfdZbeGn/2Dr//AENOof8AgPDXSWtrDZW/kwLtTczfe/iZ&#10;tzf+PNU1HMByUN/qlrb26Jc6ZqCTPshuri7aJ5m3fd2p8vy/d+X+7V/f4k/6B2l/+Bc1Xho1t+4U&#10;/MkL+ai7F+V927d93+9WhRcDB3+JP+gdpf8A4FzU2HUtRilim1BNMt7TY0rPFcyuzJt/hVvvfw1t&#10;3ECXFu8MilkddrKrMvy/8BrOn8P289qsIlmTZD5COu1mRdy/xMv+z/FRcBbvxHpdlBbzXNwypcMy&#10;pthdvmX5W3bV+X/gVai/Mu6sHUfClpqghW6md/JfzVZkRvm3fe+7/ur/AMBreRdiKpbdtXbu/vUg&#10;FpNH/wCRqv8A/rxt/wD0bNS0mj/8jVf/APXjb/8Ao2agDpE6t9afTE6t9afQAUUUUAcqNEg8Q+Cp&#10;dIu5JY7e6EscjREBwu9umQaii8DSwxJFF4s8QBEUKBvt+n/fmujGnWK/ds7Yd/8AVLS/2fZf8+Vv&#10;/wB+loA51vBM7DB8W+Ief9u3/wDjNNTwPLFGiJ4s8QBUUKBvt+n/AH5rpP7Psv8Anyt/+/S0f2fZ&#10;f8+Vv/36Wi4HO/8ACFT/APQ2+If++7f/AOM0f8IVP/0NviH/AL7t/wD4zXRf2fZf8+Vv/wB+lo/s&#10;+y/58rf/AL9LRcDnf+EKn/6G3xD/AN92/wD8Zo/4Qqf/AKG3xD/33b//ABmui/s+y/58rf8A79LR&#10;/Z9l/wA+Vv8A9+louBzv/CFT/wDQ2+If++7f/wCM0f8ACFT/APQ2+If++7f/AOM10X9n2X/Plb/9&#10;+lo/s+y/58rf/v0tFwOd/wCEKn/6G3xD/wB92/8A8Zo/4Qqf/obfEP8A33b/APxmui/s+y/58rf/&#10;AL9LR/Z9l/z5W/8A36Wi4HO/8IVP/wBDb4h/77t//jNH/CFT/wDQ2+If++7f/wCM10X9n2X/AD5W&#10;/wD36Wj+z7L/AJ8rf/v0tFwOd/4Qqf8A6G3xD/33b/8Axmj/AIQqf/obfEP/AH3b/wDxmui/s+y/&#10;58rf/v0tH9n2X/Plb/8AfpaLgc7/AMIVP/0NviH/AL7t/wD4zR/whU//AENviH/vu3/+M10X9n2X&#10;/Plb/wDfpaP7Psv+fK3/AO/S0XA53/hCp/8AobfEP/fdv/8AGaP+EKn/AOht8Q/992//AMZrov7P&#10;sv8Anyt/+/S0f2fZf8+Vv/36Wi4HO/8ACFT/APQ2+If++7f/AOM0f8IVP/0NviH/AL7t/wD4zXRf&#10;2fZf8+Vv/wB+lo/s+y/58rf/AL9LRcDnf+EKn/6G3xD/AN92/wD8Zo/4Qqf/AKG3xD/33b//ABmu&#10;i/s+y/58rf8A79LR/Z9l/wA+Vv8A9+louBzv/CFT/wDQ2+If++7f/wCM0f8ACFT/APQ2+If++7f/&#10;AOM10X9n2X/Plb/9+lo/s+y/58rf/v0tFwOd/wCEKn/6G3xD/wB92/8A8Zo/4Qqf/obfEP8A33b/&#10;APxmui/s+y/58rf/AL9LR/Z9l/z5W/8A36Wi4HO/8IVP/wBDb4h/77t//jNH/CFT/wDQ2+If++7f&#10;/wCM10X9n2X/AD5W/wD36Wj+z7L/AJ8rf/v0tFwOd/4Qqf8A6G3xD/33b/8Axmj/AIQqf/obfEP/&#10;AH3b/wDxmui/s+y/58rf/v0tH9n2X/Plb/8AfpaLgc7/AMIVP/0NviH/AL7t/wD4zR/whU//AENv&#10;iH/vu3/+M10X9n2X/Plb/wDfpaP7Psv+fK3/AO/S0XA53/hCp/8AobfEP/fdv/8AGaP+EKn/AOht&#10;8Q/992//AMZrov7Psv8Anyt/+/S0f2fZf8+Vv/36Wi4HO/8ACEy558V+ID/wK3/+M0f8ITL/ANDV&#10;r/8A31b/APxmui/s+y/58rf/AL9LR/Z9l/z5W/8A36WgDnf+EJl/6GrX/wDvq3/+M0f8ITL/ANDV&#10;r/8A31b/APxmui/s+y/58rf/AL9LR/Z9l/z5W/8A36WgDnf+EJl/6GrX/wDvq3/+M0f8ITL/ANDV&#10;r/8A31b/APxmui/s+y/58rf/AL9LR/Z9l/z5W/8A36WgDnf+EJl/6GrX/wDvq3/+M0f8ITL/ANDV&#10;r/8A31b/APxmui/s+y/58rf/AL9LR/Z9l/z5W/8A36WgDnf+EJl/6GrX/wDvq3/+M0f8ITL/ANDV&#10;r/8A31b/APxmui/s+y/58rf/AL9LR/Z9l/z5W/8A36WgDnf+EJl/6GrX/wDvq3/+M0f8ITL/ANDV&#10;r/8A31b/APxmui/s+y/58rf/AL9LR/Z9l/z5W/8A36WgDnf+EJl/6GrX/wDvq3/+M0f8ITL/ANDV&#10;r/8A31b/APxmui/s+y/58rf/AL9LR/Z9l/z5W/8A36WgDnf+EJl/6GrX/wDvq3/+M1d0Xw4NGu7i&#10;5OqX99JOiRMbsx/KqliNuxF/vtWr/Z9l/wA+Vv8A9+lo/s+y/wCfK3/79LQBYTq31p9RRRRwpsjR&#10;UQdlGBUtABRRRQAUUUUAFFFFABRRRQAUUUUAFFFFABRRRQAUUUUAFFFFABRRRQAUUUUAFFFFABRR&#10;RQAUUUUAFFFFABRRRQAUUUUAFFFFABRRRQAUUUUAFFFFABRRRQAUUUUAFFFFABRRRQAUUUUAFFFF&#10;ABRRRQB//9kBAA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D+vAABbQ29udGVudF9UeXBlc10ueG1sUEsBAhQA&#10;CgAAAAAAh07iQAAAAAAAAAAAAAAAAAYAAAAAAAAAAAAQAAAADq0AAF9yZWxzL1BLAQIUABQAAAAI&#10;AIdO4kCKFGY80QAAAJQBAAALAAAAAAAAAAEAIAAAADKtAABfcmVscy8ucmVsc1BLAQIUAAoAAAAA&#10;AIdO4kAAAAAAAAAAAAAAAAAEAAAAAAAAAAAAEAAAAAAAAABkcnMvUEsBAhQACgAAAAAAh07iQAAA&#10;AAAAAAAAAAAAAAoAAAAAAAAAAAAQAAAALK4AAGRycy9fcmVscy9QSwECFAAUAAAACACHTuJAWGCz&#10;G7QAAAAiAQAAGQAAAAAAAAABACAAAABUrgAAZHJzL19yZWxzL2Uyb0RvYy54bWwucmVsc1BLAQIU&#10;ABQAAAAIAIdO4kBiCCNv2QAAAAkBAAAPAAAAAAAAAAEAIAAAACIAAABkcnMvZG93bnJldi54bWxQ&#10;SwECFAAUAAAACACHTuJAGF7keKEEAADiDAAADgAAAAAAAAABACAAAAAoAQAAZHJzL2Uyb0RvYy54&#10;bWxQSwECFAAKAAAAAACHTuJAAAAAAAAAAAAAAAAACgAAAAAAAAAAABAAAAD1BQAAZHJzL21lZGlh&#10;L1BLAQIUABQAAAAIAIdO4kCxha+SvqYAALSmAAAVAAAAAAAAAAEAIAAAAB0GAABkcnMvbWVkaWEv&#10;aW1hZ2UxLmpwZWdQSwUGAAAAAAoACgBTAgAAg7AAAAAA&#10;">
                      <o:lock v:ext="edit" aspectratio="f"/>
                      <v:shape id="图片 3" o:spid="_x0000_s1026" o:spt="75" type="#_x0000_t75" style="position:absolute;left:6021;top:278092;height:6508;width:5268;" filled="f" o:preferrelative="t" stroked="f" coordsize="21600,21600" o:gfxdata="UEsDBAoAAAAAAIdO4kAAAAAAAAAAAAAAAAAEAAAAZHJzL1BLAwQUAAAACACHTuJA6LcOVrkAAADb&#10;AAAADwAAAGRycy9kb3ducmV2LnhtbEVPTYvCMBC9C/sfwix401QRkWr0IO7qsiDqLnodmrENNpOS&#10;RKv/3hwEj4/3PVvcbS1u5INxrGDQz0AQF04bLhX8/331JiBCRNZYOyYFDwqwmH90Zphr1/KebodY&#10;ihTCIUcFVYxNLmUoKrIY+q4hTtzZeYsxQV9K7bFN4baWwywbS4uGU0OFDS0rKi6Hq1WwO+HRmO/l&#10;Y92Oi+1v7a+rzQ8p1f0cZFMQke7xLX65N1rBKK1PX9IPkPM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3Dla5AAAA2wAA&#10;AA8AAAAAAAAAAQAgAAAAIgAAAGRycy9kb3ducmV2LnhtbFBLAQIUABQAAAAIAIdO4kAzLwWeOwAA&#10;ADkAAAAQAAAAAAAAAAEAIAAAAAgBAABkcnMvc2hhcGV4bWwueG1sUEsFBgAAAAAGAAYAWwEAALID&#10;AAAAAA==&#10;">
                        <v:fill on="f" focussize="0,0"/>
                        <v:stroke on="f"/>
                        <v:imagedata r:id="rId8" o:title=""/>
                        <o:lock v:ext="edit" aspectratio="t"/>
                      </v:shape>
                      <v:group id="组合 240" o:spid="_x0000_s1026" o:spt="203" style="position:absolute;left:8623;top:279387;height:1077;width:1546;" coordorigin="4628,237731" coordsize="2131,1578"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shape id="文本框 17" o:spid="_x0000_s1026" o:spt="61" type="#_x0000_t61" style="position:absolute;left:5254;top:237731;height:762;width:1505;" fillcolor="#FFFFFF [3212]" filled="t" stroked="t" coordsize="21600,21600" o:gfxdata="UEsDBAoAAAAAAIdO4kAAAAAAAAAAAAAAAAAEAAAAZHJzL1BLAwQUAAAACACHTuJAomFgzLsAAADb&#10;AAAADwAAAGRycy9kb3ducmV2LnhtbEWP0WrCQBRE3wX/YbkF33STIEFSV2kVMeRN2w+4ZG+TNNm7&#10;YXfV9O+7hYKPw8ycYbb7yQziTs53lhWkqwQEcW11x42Cz4/TcgPCB2SNg2VS8EMe9rv5bIuFtg++&#10;0P0aGhEh7AtU0IYwFlL6uiWDfmVH4uh9WWcwROkaqR0+ItwMMkuSXBrsOC60ONKhpbq/3oyCc1r1&#10;3yFnR/Ktem90Xm6yY6nU4iVNXkEEmsIz/N8utYJ1Dn9f4g+Qu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FgzLsAAADb&#10;AAAADwAAAAAAAAABACAAAAAiAAAAZHJzL2Rvd25yZXYueG1sUEsBAhQAFAAAAAgAh07iQDMvBZ47&#10;AAAAOQAAABAAAAAAAAAAAQAgAAAACgEAAGRycy9zaGFwZXhtbC54bWxQSwUGAAAAAAYABgBbAQAA&#10;tAMAAAAA&#10;" adj="-6033,41170">
                          <v:fill on="t" focussize="0,0"/>
                          <v:stroke weight="0.5pt" color="#FF0000 [3204]" joinstyle="round"/>
                          <v:imagedata o:title=""/>
                          <o:lock v:ext="edit" aspectratio="f"/>
                          <v:textbox>
                            <w:txbxContent>
                              <w:p w14:paraId="501B8B5A">
                                <w:pPr>
                                  <w:ind w:left="0" w:leftChars="0" w:firstLine="0" w:firstLineChars="0"/>
                                  <w:jc w:val="center"/>
                                  <w:rPr>
                                    <w:rFonts w:hint="eastAsia"/>
                                    <w:color w:val="auto"/>
                                    <w:lang w:eastAsia="zh-CN"/>
                                  </w:rPr>
                                </w:pPr>
                                <w:r>
                                  <w:rPr>
                                    <w:rFonts w:hint="eastAsia"/>
                                    <w:color w:val="auto"/>
                                    <w:lang w:eastAsia="zh-CN"/>
                                  </w:rPr>
                                  <w:t>本项目</w:t>
                                </w:r>
                              </w:p>
                              <w:p w14:paraId="3006CCB5">
                                <w:pPr>
                                  <w:pStyle w:val="6"/>
                                  <w:rPr>
                                    <w:rFonts w:hint="eastAsia"/>
                                    <w:lang w:eastAsia="zh-CN"/>
                                  </w:rPr>
                                </w:pPr>
                              </w:p>
                            </w:txbxContent>
                          </v:textbox>
                        </v:shape>
                        <v:shape id="五角星 13" o:spid="_x0000_s1026" o:spt="3" type="#_x0000_t3" style="position:absolute;left:4628;top:239133;height:176;width:165;v-text-anchor:middle;" fillcolor="#FF0000" filled="t" stroked="t" coordsize="21600,21600" o:gfxdata="UEsDBAoAAAAAAIdO4kAAAAAAAAAAAAAAAAAEAAAAZHJzL1BLAwQUAAAACACHTuJAdVwp/LwAAADb&#10;AAAADwAAAGRycy9kb3ducmV2LnhtbEWPQWvCQBSE74X+h+UVvNVNRKzEbDwUBA+CNrXt9TX7TEKz&#10;b5fsmsR/3xUKPQ4z8w2TbyfTiYF631pWkM4TEMSV1S3XCs7vu+c1CB+QNXaWScGNPGyLx4ccM21H&#10;fqOhDLWIEPYZKmhCcJmUvmrIoJ9bRxy9i+0Nhij7Wuoexwg3nVwkyUoabDkuNOjotaHqp7waBW46&#10;fKcf7mQ//doZGsuvAY+s1OwpTTYgAk3hP/zX3msFyxe4f4k/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cKfy8AAAA&#10;2wAAAA8AAAAAAAAAAQAgAAAAIgAAAGRycy9kb3ducmV2LnhtbFBLAQIUABQAAAAIAIdO4kAzLwWe&#10;OwAAADkAAAAQAAAAAAAAAAEAIAAAAAsBAABkcnMvc2hhcGV4bWwueG1sUEsFBgAAAAAGAAYAWwEA&#10;ALUDAAAAAA==&#10;">
                          <v:fill on="t" focussize="0,0"/>
                          <v:stroke weight="1pt" color="#FF0000 [3204]" miterlimit="8" joinstyle="miter"/>
                          <v:imagedata o:title=""/>
                          <o:lock v:ext="edit" aspectratio="f"/>
                        </v:shape>
                      </v:group>
                      <w10:wrap type="topAndBottom"/>
                    </v:group>
                  </w:pict>
                </mc:Fallback>
              </mc:AlternateContent>
            </w:r>
            <w:r>
              <w:rPr>
                <w:rFonts w:hint="default" w:ascii="Times New Roman" w:hAnsi="Times New Roman" w:eastAsia="宋体" w:cs="Times New Roman"/>
                <w:b/>
                <w:bCs/>
                <w:color w:val="auto"/>
                <w:kern w:val="0"/>
                <w:sz w:val="24"/>
                <w:highlight w:val="none"/>
                <w:lang w:val="en-US" w:eastAsia="zh-CN" w:bidi="ar"/>
              </w:rPr>
              <w:t>项目在亦庄新城两线三区规划图(修改版)中位置</w:t>
            </w:r>
          </w:p>
          <w:p w14:paraId="778881D7">
            <w:pPr>
              <w:widowControl/>
              <w:numPr>
                <w:ilvl w:val="0"/>
                <w:numId w:val="2"/>
              </w:numPr>
              <w:spacing w:line="360" w:lineRule="auto"/>
              <w:ind w:firstLine="482" w:firstLineChars="200"/>
              <w:jc w:val="left"/>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w:t>
            </w:r>
            <w:r>
              <w:rPr>
                <w:rFonts w:hint="eastAsia" w:cs="Times New Roman"/>
                <w:b/>
                <w:bCs/>
                <w:color w:val="auto"/>
                <w:kern w:val="0"/>
                <w:sz w:val="24"/>
                <w:highlight w:val="none"/>
                <w:lang w:eastAsia="zh-CN" w:bidi="ar"/>
              </w:rPr>
              <w:t>“</w:t>
            </w:r>
            <w:r>
              <w:rPr>
                <w:rFonts w:hint="default" w:ascii="Times New Roman" w:hAnsi="Times New Roman" w:eastAsia="宋体" w:cs="Times New Roman"/>
                <w:b/>
                <w:bCs/>
                <w:color w:val="auto"/>
                <w:kern w:val="0"/>
                <w:sz w:val="24"/>
                <w:highlight w:val="none"/>
                <w:lang w:bidi="ar"/>
              </w:rPr>
              <w:t>十四五</w:t>
            </w:r>
            <w:r>
              <w:rPr>
                <w:rFonts w:hint="eastAsia" w:cs="Times New Roman"/>
                <w:b/>
                <w:bCs/>
                <w:color w:val="auto"/>
                <w:kern w:val="0"/>
                <w:sz w:val="24"/>
                <w:highlight w:val="none"/>
                <w:lang w:eastAsia="zh-CN" w:bidi="ar"/>
              </w:rPr>
              <w:t>”</w:t>
            </w:r>
            <w:r>
              <w:rPr>
                <w:rFonts w:hint="default" w:ascii="Times New Roman" w:hAnsi="Times New Roman" w:eastAsia="宋体" w:cs="Times New Roman"/>
                <w:b/>
                <w:bCs/>
                <w:color w:val="auto"/>
                <w:kern w:val="0"/>
                <w:sz w:val="24"/>
                <w:highlight w:val="none"/>
                <w:lang w:bidi="ar"/>
              </w:rPr>
              <w:t>时期北京经济技术开发区发展建设和</w:t>
            </w:r>
            <w:r>
              <w:rPr>
                <w:rFonts w:hint="default" w:ascii="Times New Roman" w:hAnsi="Times New Roman" w:eastAsia="宋体" w:cs="Times New Roman"/>
                <w:b/>
                <w:bCs/>
                <w:color w:val="auto"/>
                <w:kern w:val="0"/>
                <w:sz w:val="24"/>
                <w:highlight w:val="none"/>
                <w:lang w:val="en-US" w:eastAsia="zh-CN" w:bidi="ar"/>
              </w:rPr>
              <w:t>二〇三五年</w:t>
            </w:r>
            <w:r>
              <w:rPr>
                <w:rFonts w:hint="default" w:ascii="Times New Roman" w:hAnsi="Times New Roman" w:eastAsia="宋体" w:cs="Times New Roman"/>
                <w:b/>
                <w:bCs/>
                <w:color w:val="auto"/>
                <w:kern w:val="0"/>
                <w:sz w:val="24"/>
                <w:highlight w:val="none"/>
                <w:lang w:bidi="ar"/>
              </w:rPr>
              <w:t>年远景目标规划》符合性分析</w:t>
            </w:r>
          </w:p>
          <w:p w14:paraId="2EFF62E9">
            <w:pPr>
              <w:widowControl/>
              <w:spacing w:line="360" w:lineRule="auto"/>
              <w:ind w:firstLine="480" w:firstLineChars="200"/>
              <w:jc w:val="left"/>
              <w:rPr>
                <w:rFonts w:hint="default"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kern w:val="0"/>
                <w:sz w:val="24"/>
                <w:highlight w:val="none"/>
                <w:lang w:val="en-US" w:eastAsia="zh-CN" w:bidi="ar"/>
              </w:rPr>
              <w:t>《</w:t>
            </w:r>
            <w:r>
              <w:rPr>
                <w:rFonts w:hint="eastAsia"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十四五</w:t>
            </w:r>
            <w:r>
              <w:rPr>
                <w:rFonts w:hint="eastAsia"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时期北京经济技术开发区发展建设和二〇三五年远景目标规划》提出：优化提升现代服务业。大力推动信息传输、软件和信息技术服务业发展，积极吸引工业设计、检验检测、工业研发服务外包等专业服务机构落地。</w:t>
            </w:r>
          </w:p>
          <w:p w14:paraId="413553C2">
            <w:pPr>
              <w:widowControl/>
              <w:spacing w:line="360" w:lineRule="auto"/>
              <w:ind w:firstLine="480"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val="en-US" w:eastAsia="zh-CN" w:bidi="ar"/>
              </w:rPr>
              <w:t>本项目的行业类别为</w:t>
            </w:r>
            <w:r>
              <w:rPr>
                <w:rFonts w:hint="eastAsia" w:cs="Times New Roman"/>
                <w:color w:val="auto"/>
                <w:kern w:val="0"/>
                <w:sz w:val="24"/>
                <w:highlight w:val="none"/>
                <w:lang w:val="en-US" w:eastAsia="zh-CN" w:bidi="ar"/>
              </w:rPr>
              <w:t>检测服务</w:t>
            </w:r>
            <w:r>
              <w:rPr>
                <w:rFonts w:hint="default" w:ascii="Times New Roman" w:hAnsi="Times New Roman" w:eastAsia="宋体" w:cs="Times New Roman"/>
                <w:color w:val="auto"/>
                <w:kern w:val="0"/>
                <w:sz w:val="24"/>
                <w:highlight w:val="none"/>
                <w:lang w:val="en-US" w:eastAsia="zh-CN" w:bidi="ar"/>
              </w:rPr>
              <w:t>业，符合《</w:t>
            </w:r>
            <w:r>
              <w:rPr>
                <w:rFonts w:hint="eastAsia"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十四五</w:t>
            </w:r>
            <w:r>
              <w:rPr>
                <w:rFonts w:hint="eastAsia"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时期北京经济技术开发区发展建设和二〇三五年远景目标规划》的要求。</w:t>
            </w:r>
          </w:p>
          <w:p w14:paraId="6A3160CC">
            <w:pPr>
              <w:widowControl/>
              <w:numPr>
                <w:ilvl w:val="0"/>
                <w:numId w:val="2"/>
              </w:numPr>
              <w:spacing w:line="360" w:lineRule="auto"/>
              <w:ind w:firstLine="482" w:firstLineChars="200"/>
              <w:jc w:val="left"/>
              <w:rPr>
                <w:rFonts w:hint="default" w:ascii="Times New Roman" w:hAnsi="Times New Roman" w:eastAsia="宋体" w:cs="Times New Roman"/>
                <w:b/>
                <w:bCs/>
                <w:color w:val="auto"/>
                <w:kern w:val="0"/>
                <w:sz w:val="24"/>
                <w:highlight w:val="none"/>
                <w:lang w:bidi="ar"/>
              </w:rPr>
            </w:pPr>
            <w:r>
              <w:rPr>
                <w:rFonts w:hint="eastAsia" w:ascii="Times New Roman" w:hAnsi="Times New Roman" w:eastAsia="宋体" w:cs="Times New Roman"/>
                <w:b/>
                <w:bCs/>
                <w:color w:val="auto"/>
                <w:kern w:val="0"/>
                <w:sz w:val="24"/>
                <w:highlight w:val="none"/>
                <w:lang w:val="en-US" w:eastAsia="zh-CN" w:bidi="ar"/>
              </w:rPr>
              <w:t>与中关村科技园区通州园金桥科技产业基地相关规划环境影响跟踪评价及审查意见的符合性分析</w:t>
            </w:r>
          </w:p>
          <w:p w14:paraId="1624AC6C">
            <w:pPr>
              <w:widowControl/>
              <w:spacing w:line="360" w:lineRule="auto"/>
              <w:ind w:firstLine="480" w:firstLineChars="200"/>
              <w:jc w:val="left"/>
              <w:rPr>
                <w:rFonts w:hint="default" w:ascii="Times New Roman" w:hAnsi="Times New Roman" w:eastAsia="宋体" w:cs="Times New Roman"/>
                <w:color w:val="auto"/>
                <w:kern w:val="0"/>
                <w:sz w:val="24"/>
                <w:highlight w:val="none"/>
                <w:lang w:val="en-US" w:eastAsia="zh-CN" w:bidi="ar"/>
              </w:rPr>
            </w:pPr>
            <w:r>
              <w:rPr>
                <w:rFonts w:hint="eastAsia" w:ascii="Times New Roman" w:hAnsi="Times New Roman" w:eastAsia="宋体" w:cs="Times New Roman"/>
                <w:color w:val="auto"/>
                <w:kern w:val="0"/>
                <w:sz w:val="24"/>
                <w:highlight w:val="none"/>
                <w:lang w:val="en-US" w:eastAsia="zh-CN" w:bidi="ar"/>
              </w:rPr>
              <w:t>本项目与中关村科技园区通州园金桥科技产业基地相关规划环境影响跟踪评价及审查意见的符合性分析见下表。</w:t>
            </w:r>
          </w:p>
          <w:p w14:paraId="17F776EA">
            <w:pPr>
              <w:widowControl/>
              <w:numPr>
                <w:ilvl w:val="0"/>
                <w:numId w:val="4"/>
              </w:numPr>
              <w:spacing w:line="360" w:lineRule="auto"/>
              <w:ind w:left="425" w:leftChars="0" w:hanging="425" w:firstLineChars="0"/>
              <w:jc w:val="center"/>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与</w:t>
            </w:r>
            <w:r>
              <w:rPr>
                <w:rFonts w:hint="eastAsia" w:ascii="Times New Roman" w:hAnsi="Times New Roman" w:eastAsia="宋体" w:cs="Times New Roman"/>
                <w:b/>
                <w:bCs/>
                <w:color w:val="auto"/>
                <w:kern w:val="0"/>
                <w:sz w:val="24"/>
                <w:highlight w:val="none"/>
                <w:lang w:val="en-US" w:eastAsia="zh-CN" w:bidi="ar"/>
              </w:rPr>
              <w:t>中关村科技园区通州园金桥科技产业基地相关规划环境影响跟踪评价及审查意见</w:t>
            </w:r>
            <w:r>
              <w:rPr>
                <w:rFonts w:hint="default" w:ascii="Times New Roman" w:hAnsi="Times New Roman" w:eastAsia="宋体" w:cs="Times New Roman"/>
                <w:b/>
                <w:bCs/>
                <w:color w:val="auto"/>
                <w:kern w:val="0"/>
                <w:sz w:val="24"/>
                <w:highlight w:val="none"/>
                <w:lang w:bidi="ar"/>
              </w:rPr>
              <w:t>的符合性分析</w:t>
            </w:r>
          </w:p>
          <w:tbl>
            <w:tblPr>
              <w:tblStyle w:val="24"/>
              <w:tblW w:w="665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7"/>
              <w:gridCol w:w="3504"/>
              <w:gridCol w:w="1860"/>
              <w:gridCol w:w="697"/>
            </w:tblGrid>
            <w:tr w14:paraId="25A6B6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597" w:type="dxa"/>
                  <w:tcBorders>
                    <w:tl2br w:val="nil"/>
                    <w:tr2bl w:val="nil"/>
                  </w:tcBorders>
                  <w:vAlign w:val="center"/>
                </w:tcPr>
                <w:p w14:paraId="0B99B405">
                  <w:pPr>
                    <w:widowControl/>
                    <w:spacing w:line="240" w:lineRule="auto"/>
                    <w:jc w:val="center"/>
                    <w:rPr>
                      <w:rFonts w:hint="default" w:ascii="Times New Roman" w:hAnsi="Times New Roman" w:eastAsia="宋体" w:cs="Times New Roman"/>
                      <w:b/>
                      <w:bCs/>
                      <w:color w:val="auto"/>
                      <w:kern w:val="0"/>
                      <w:szCs w:val="21"/>
                      <w:highlight w:val="none"/>
                      <w:lang w:bidi="ar"/>
                    </w:rPr>
                  </w:pPr>
                  <w:r>
                    <w:rPr>
                      <w:rFonts w:hint="default" w:ascii="Times New Roman" w:hAnsi="Times New Roman" w:eastAsia="宋体" w:cs="Times New Roman"/>
                      <w:b/>
                      <w:bCs/>
                      <w:color w:val="auto"/>
                      <w:kern w:val="0"/>
                      <w:szCs w:val="21"/>
                      <w:highlight w:val="none"/>
                      <w:lang w:bidi="ar"/>
                    </w:rPr>
                    <w:t>类别</w:t>
                  </w:r>
                </w:p>
              </w:tc>
              <w:tc>
                <w:tcPr>
                  <w:tcW w:w="3504" w:type="dxa"/>
                  <w:tcBorders>
                    <w:tl2br w:val="nil"/>
                    <w:tr2bl w:val="nil"/>
                  </w:tcBorders>
                  <w:vAlign w:val="center"/>
                </w:tcPr>
                <w:p w14:paraId="229BE275">
                  <w:pPr>
                    <w:widowControl/>
                    <w:spacing w:line="240" w:lineRule="auto"/>
                    <w:jc w:val="center"/>
                    <w:rPr>
                      <w:rFonts w:hint="default" w:ascii="Times New Roman" w:hAnsi="Times New Roman" w:eastAsia="宋体" w:cs="Times New Roman"/>
                      <w:b/>
                      <w:bCs/>
                      <w:color w:val="auto"/>
                      <w:kern w:val="0"/>
                      <w:szCs w:val="21"/>
                      <w:highlight w:val="none"/>
                      <w:lang w:bidi="ar"/>
                    </w:rPr>
                  </w:pPr>
                  <w:r>
                    <w:rPr>
                      <w:rFonts w:hint="eastAsia" w:cs="Times New Roman"/>
                      <w:b/>
                      <w:bCs/>
                      <w:color w:val="auto"/>
                      <w:kern w:val="0"/>
                      <w:szCs w:val="21"/>
                      <w:highlight w:val="none"/>
                      <w:lang w:val="en-US" w:eastAsia="zh-CN" w:bidi="ar"/>
                    </w:rPr>
                    <w:t>跟踪评价</w:t>
                  </w:r>
                  <w:r>
                    <w:rPr>
                      <w:rFonts w:hint="default" w:ascii="Times New Roman" w:hAnsi="Times New Roman" w:eastAsia="宋体" w:cs="Times New Roman"/>
                      <w:b/>
                      <w:bCs/>
                      <w:color w:val="auto"/>
                      <w:kern w:val="0"/>
                      <w:szCs w:val="21"/>
                      <w:highlight w:val="none"/>
                      <w:lang w:bidi="ar"/>
                    </w:rPr>
                    <w:t>及其审查意见</w:t>
                  </w:r>
                </w:p>
              </w:tc>
              <w:tc>
                <w:tcPr>
                  <w:tcW w:w="1860" w:type="dxa"/>
                  <w:tcBorders>
                    <w:tl2br w:val="nil"/>
                    <w:tr2bl w:val="nil"/>
                  </w:tcBorders>
                  <w:vAlign w:val="center"/>
                </w:tcPr>
                <w:p w14:paraId="514B76A6">
                  <w:pPr>
                    <w:widowControl/>
                    <w:spacing w:line="240" w:lineRule="auto"/>
                    <w:jc w:val="center"/>
                    <w:rPr>
                      <w:rFonts w:hint="default" w:ascii="Times New Roman" w:hAnsi="Times New Roman" w:eastAsia="宋体" w:cs="Times New Roman"/>
                      <w:b/>
                      <w:bCs/>
                      <w:color w:val="auto"/>
                      <w:kern w:val="0"/>
                      <w:szCs w:val="21"/>
                      <w:highlight w:val="none"/>
                      <w:lang w:bidi="ar"/>
                    </w:rPr>
                  </w:pPr>
                  <w:r>
                    <w:rPr>
                      <w:rFonts w:hint="default" w:ascii="Times New Roman" w:hAnsi="Times New Roman" w:eastAsia="宋体" w:cs="Times New Roman"/>
                      <w:b/>
                      <w:bCs/>
                      <w:color w:val="auto"/>
                      <w:kern w:val="0"/>
                      <w:szCs w:val="21"/>
                      <w:highlight w:val="none"/>
                      <w:lang w:bidi="ar"/>
                    </w:rPr>
                    <w:t>拟建项目基本情况</w:t>
                  </w:r>
                </w:p>
              </w:tc>
              <w:tc>
                <w:tcPr>
                  <w:tcW w:w="697" w:type="dxa"/>
                  <w:tcBorders>
                    <w:tl2br w:val="nil"/>
                    <w:tr2bl w:val="nil"/>
                  </w:tcBorders>
                  <w:vAlign w:val="center"/>
                </w:tcPr>
                <w:p w14:paraId="57139778">
                  <w:pPr>
                    <w:widowControl/>
                    <w:spacing w:line="240" w:lineRule="auto"/>
                    <w:jc w:val="center"/>
                    <w:rPr>
                      <w:rFonts w:hint="default" w:ascii="Times New Roman" w:hAnsi="Times New Roman" w:eastAsia="宋体" w:cs="Times New Roman"/>
                      <w:b/>
                      <w:bCs/>
                      <w:color w:val="auto"/>
                      <w:kern w:val="0"/>
                      <w:szCs w:val="21"/>
                      <w:highlight w:val="none"/>
                      <w:lang w:bidi="ar"/>
                    </w:rPr>
                  </w:pPr>
                  <w:r>
                    <w:rPr>
                      <w:rFonts w:hint="default" w:ascii="Times New Roman" w:hAnsi="Times New Roman" w:eastAsia="宋体" w:cs="Times New Roman"/>
                      <w:b/>
                      <w:bCs/>
                      <w:color w:val="auto"/>
                      <w:kern w:val="0"/>
                      <w:szCs w:val="21"/>
                      <w:highlight w:val="none"/>
                      <w:lang w:bidi="ar"/>
                    </w:rPr>
                    <w:t>符合性分析</w:t>
                  </w:r>
                </w:p>
              </w:tc>
            </w:tr>
            <w:tr w14:paraId="4BD932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597" w:type="dxa"/>
                  <w:tcBorders>
                    <w:tl2br w:val="nil"/>
                    <w:tr2bl w:val="nil"/>
                  </w:tcBorders>
                  <w:vAlign w:val="center"/>
                </w:tcPr>
                <w:p w14:paraId="6FDDF550">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空间</w:t>
                  </w:r>
                </w:p>
                <w:p w14:paraId="620597BB">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功能</w:t>
                  </w:r>
                </w:p>
                <w:p w14:paraId="07AB99EA">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结构</w:t>
                  </w:r>
                </w:p>
              </w:tc>
              <w:tc>
                <w:tcPr>
                  <w:tcW w:w="3504" w:type="dxa"/>
                  <w:tcBorders>
                    <w:tl2br w:val="nil"/>
                    <w:tr2bl w:val="nil"/>
                  </w:tcBorders>
                  <w:vAlign w:val="center"/>
                </w:tcPr>
                <w:p w14:paraId="5D3C4A7F">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基地规划按产业基地、展示交易中心、管理商务中心、生活区、研发基地五大块布局，布局以可持续发展为重要原则，东部为产业区、西部为生活区，并采用由北向南滚动开发的模式，相对应规划各项建设用地大体呈南向北带状布局，呈现出可生长的形态。 </w:t>
                  </w:r>
                </w:p>
              </w:tc>
              <w:tc>
                <w:tcPr>
                  <w:tcW w:w="1860" w:type="dxa"/>
                  <w:tcBorders>
                    <w:tl2br w:val="nil"/>
                    <w:tr2bl w:val="nil"/>
                  </w:tcBorders>
                  <w:vAlign w:val="center"/>
                </w:tcPr>
                <w:p w14:paraId="5B478673">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本项目位于中关村科技园区通州园金桥科技产业基地规划的东部产业区内，符合基地空间功能结构规划。</w:t>
                  </w:r>
                </w:p>
              </w:tc>
              <w:tc>
                <w:tcPr>
                  <w:tcW w:w="697" w:type="dxa"/>
                  <w:tcBorders>
                    <w:tl2br w:val="nil"/>
                    <w:tr2bl w:val="nil"/>
                  </w:tcBorders>
                  <w:vAlign w:val="center"/>
                </w:tcPr>
                <w:p w14:paraId="20C8A11A">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5C6E66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597" w:type="dxa"/>
                  <w:tcBorders>
                    <w:tl2br w:val="nil"/>
                    <w:tr2bl w:val="nil"/>
                  </w:tcBorders>
                  <w:vAlign w:val="center"/>
                </w:tcPr>
                <w:p w14:paraId="2006054B">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产 业 </w:t>
                  </w:r>
                </w:p>
                <w:p w14:paraId="1558795D">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定位 </w:t>
                  </w:r>
                </w:p>
                <w:p w14:paraId="31E138B8">
                  <w:pPr>
                    <w:widowControl/>
                    <w:spacing w:line="240" w:lineRule="auto"/>
                    <w:jc w:val="center"/>
                    <w:rPr>
                      <w:rFonts w:hint="default" w:ascii="Times New Roman" w:hAnsi="Times New Roman" w:cs="Times New Roman"/>
                      <w:color w:val="auto"/>
                      <w:kern w:val="0"/>
                      <w:szCs w:val="21"/>
                      <w:highlight w:val="none"/>
                      <w:lang w:val="en-US" w:eastAsia="zh-CN" w:bidi="ar"/>
                    </w:rPr>
                  </w:pPr>
                </w:p>
              </w:tc>
              <w:tc>
                <w:tcPr>
                  <w:tcW w:w="3504" w:type="dxa"/>
                  <w:tcBorders>
                    <w:tl2br w:val="nil"/>
                    <w:tr2bl w:val="nil"/>
                  </w:tcBorders>
                  <w:vAlign w:val="center"/>
                </w:tcPr>
                <w:p w14:paraId="1D0DD004">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基地定位为“中关村能源环保产业总部基地”，重点发展能源环保专业服务业、能源环保制造业环保产业和基地发展相配套的金融、会计、咨询、会展等商务服务。在建设过程中，基地逐步形成以环保新能源、汽车零部件、生物医药和新型都市产业为主导的产业结构，并努力成为高科技领域技术创新、高薪技术产业化、国际合 </w:t>
                  </w:r>
                </w:p>
                <w:p w14:paraId="2C9C0168">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作的新型产业基地和示范园区。 </w:t>
                  </w:r>
                </w:p>
              </w:tc>
              <w:tc>
                <w:tcPr>
                  <w:tcW w:w="1860" w:type="dxa"/>
                  <w:tcBorders>
                    <w:tl2br w:val="nil"/>
                    <w:tr2bl w:val="nil"/>
                  </w:tcBorders>
                  <w:vAlign w:val="center"/>
                </w:tcPr>
                <w:p w14:paraId="0D7DF1AF">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本项目主要从事检测技术服务，符合基地产业定位。</w:t>
                  </w:r>
                </w:p>
                <w:p w14:paraId="3520D913">
                  <w:pPr>
                    <w:widowControl/>
                    <w:spacing w:line="240" w:lineRule="auto"/>
                    <w:jc w:val="center"/>
                    <w:rPr>
                      <w:rFonts w:hint="default" w:ascii="Times New Roman" w:hAnsi="Times New Roman" w:cs="Times New Roman"/>
                      <w:color w:val="auto"/>
                      <w:kern w:val="0"/>
                      <w:szCs w:val="21"/>
                      <w:highlight w:val="none"/>
                      <w:lang w:val="en-US" w:eastAsia="zh-CN" w:bidi="ar"/>
                    </w:rPr>
                  </w:pPr>
                </w:p>
              </w:tc>
              <w:tc>
                <w:tcPr>
                  <w:tcW w:w="697" w:type="dxa"/>
                  <w:tcBorders>
                    <w:tl2br w:val="nil"/>
                    <w:tr2bl w:val="nil"/>
                  </w:tcBorders>
                  <w:vAlign w:val="center"/>
                </w:tcPr>
                <w:p w14:paraId="1BE28754">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3282E3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3" w:hRule="atLeast"/>
                <w:jc w:val="center"/>
              </w:trPr>
              <w:tc>
                <w:tcPr>
                  <w:tcW w:w="597" w:type="dxa"/>
                  <w:tcBorders>
                    <w:tl2br w:val="nil"/>
                    <w:tr2bl w:val="nil"/>
                  </w:tcBorders>
                  <w:vAlign w:val="center"/>
                </w:tcPr>
                <w:p w14:paraId="63736DD4">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供水 </w:t>
                  </w:r>
                </w:p>
                <w:p w14:paraId="2578A9A9">
                  <w:pPr>
                    <w:widowControl/>
                    <w:spacing w:line="240" w:lineRule="auto"/>
                    <w:jc w:val="center"/>
                    <w:rPr>
                      <w:rFonts w:hint="default" w:ascii="Times New Roman" w:hAnsi="Times New Roman" w:cs="Times New Roman"/>
                      <w:color w:val="auto"/>
                      <w:kern w:val="0"/>
                      <w:szCs w:val="21"/>
                      <w:highlight w:val="none"/>
                      <w:lang w:val="en-US" w:eastAsia="zh-CN" w:bidi="ar"/>
                    </w:rPr>
                  </w:pPr>
                </w:p>
              </w:tc>
              <w:tc>
                <w:tcPr>
                  <w:tcW w:w="3504" w:type="dxa"/>
                  <w:tcBorders>
                    <w:tl2br w:val="nil"/>
                    <w:tr2bl w:val="nil"/>
                  </w:tcBorders>
                  <w:vAlign w:val="center"/>
                </w:tcPr>
                <w:p w14:paraId="494C518D">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规划供水由基地自建水厂、亦庄水厂、地下水和再生水四部分组成，基地现状生产和生活用水仅由基地水厂供给。 </w:t>
                  </w:r>
                </w:p>
              </w:tc>
              <w:tc>
                <w:tcPr>
                  <w:tcW w:w="1860" w:type="dxa"/>
                  <w:tcBorders>
                    <w:tl2br w:val="nil"/>
                    <w:tr2bl w:val="nil"/>
                  </w:tcBorders>
                  <w:vAlign w:val="center"/>
                </w:tcPr>
                <w:p w14:paraId="7C9E86EE">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本项目用水均采用市政供水，不自采地下水，符合基 </w:t>
                  </w:r>
                </w:p>
                <w:p w14:paraId="18D89967">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地供水规划。</w:t>
                  </w:r>
                </w:p>
              </w:tc>
              <w:tc>
                <w:tcPr>
                  <w:tcW w:w="697" w:type="dxa"/>
                  <w:tcBorders>
                    <w:tl2br w:val="nil"/>
                    <w:tr2bl w:val="nil"/>
                  </w:tcBorders>
                  <w:vAlign w:val="center"/>
                </w:tcPr>
                <w:p w14:paraId="66C8F8EE">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38D93C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597" w:type="dxa"/>
                  <w:tcBorders>
                    <w:tl2br w:val="nil"/>
                    <w:tr2bl w:val="nil"/>
                  </w:tcBorders>
                  <w:vAlign w:val="center"/>
                </w:tcPr>
                <w:p w14:paraId="78448062">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排水 </w:t>
                  </w:r>
                </w:p>
                <w:p w14:paraId="5EA98990">
                  <w:pPr>
                    <w:widowControl/>
                    <w:spacing w:line="240" w:lineRule="auto"/>
                    <w:jc w:val="center"/>
                    <w:rPr>
                      <w:rFonts w:hint="default" w:ascii="Times New Roman" w:hAnsi="Times New Roman" w:cs="Times New Roman"/>
                      <w:color w:val="auto"/>
                      <w:kern w:val="0"/>
                      <w:szCs w:val="21"/>
                      <w:highlight w:val="none"/>
                      <w:lang w:val="en-US" w:eastAsia="zh-CN" w:bidi="ar"/>
                    </w:rPr>
                  </w:pPr>
                </w:p>
              </w:tc>
              <w:tc>
                <w:tcPr>
                  <w:tcW w:w="3504" w:type="dxa"/>
                  <w:tcBorders>
                    <w:tl2br w:val="nil"/>
                    <w:tr2bl w:val="nil"/>
                  </w:tcBorders>
                  <w:vAlign w:val="center"/>
                </w:tcPr>
                <w:p w14:paraId="3611D6CB">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基地内有两座污水处理厂，分别是第一污水处理厂和第三污水处理厂，污水经处理后出水排入凤港减河，为河道补水，净化河道环境。 </w:t>
                  </w:r>
                </w:p>
                <w:p w14:paraId="13DE3845">
                  <w:pPr>
                    <w:widowControl/>
                    <w:spacing w:line="240" w:lineRule="auto"/>
                    <w:jc w:val="center"/>
                    <w:rPr>
                      <w:rFonts w:hint="default" w:ascii="Times New Roman" w:hAnsi="Times New Roman" w:cs="Times New Roman"/>
                      <w:color w:val="auto"/>
                      <w:kern w:val="0"/>
                      <w:szCs w:val="21"/>
                      <w:highlight w:val="none"/>
                      <w:lang w:val="en-US" w:eastAsia="zh-CN" w:bidi="ar"/>
                    </w:rPr>
                  </w:pPr>
                </w:p>
              </w:tc>
              <w:tc>
                <w:tcPr>
                  <w:tcW w:w="1860" w:type="dxa"/>
                  <w:tcBorders>
                    <w:tl2br w:val="nil"/>
                    <w:tr2bl w:val="nil"/>
                  </w:tcBorders>
                  <w:vAlign w:val="center"/>
                </w:tcPr>
                <w:p w14:paraId="5D48E1EE">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FF0000"/>
                      <w:kern w:val="0"/>
                      <w:szCs w:val="21"/>
                      <w:highlight w:val="none"/>
                      <w:lang w:val="en-US" w:eastAsia="zh-CN" w:bidi="ar"/>
                    </w:rPr>
                    <w:t>生活污水和浓盐水经园区公共化粪池预处理后</w:t>
                  </w:r>
                  <w:r>
                    <w:rPr>
                      <w:rFonts w:hint="eastAsia" w:ascii="Times New Roman" w:hAnsi="Times New Roman" w:cs="Times New Roman"/>
                      <w:color w:val="auto"/>
                      <w:kern w:val="0"/>
                      <w:szCs w:val="21"/>
                      <w:highlight w:val="none"/>
                      <w:lang w:val="en-US" w:eastAsia="zh-CN" w:bidi="ar"/>
                    </w:rPr>
                    <w:t>，经市政污水管网，最终进入北京新城禹潞环保科技有限责任公司</w:t>
                  </w:r>
                  <w:r>
                    <w:rPr>
                      <w:rFonts w:hint="default" w:ascii="Times New Roman" w:hAnsi="Times New Roman" w:cs="Times New Roman"/>
                      <w:color w:val="auto"/>
                      <w:kern w:val="0"/>
                      <w:szCs w:val="21"/>
                      <w:highlight w:val="none"/>
                      <w:lang w:val="en-US" w:eastAsia="zh-CN" w:bidi="ar"/>
                    </w:rPr>
                    <w:t>-</w:t>
                  </w:r>
                  <w:r>
                    <w:rPr>
                      <w:rFonts w:hint="eastAsia" w:ascii="Times New Roman" w:hAnsi="Times New Roman" w:cs="Times New Roman"/>
                      <w:color w:val="auto"/>
                      <w:kern w:val="0"/>
                      <w:szCs w:val="21"/>
                      <w:highlight w:val="none"/>
                      <w:lang w:val="en-US" w:eastAsia="zh-CN" w:bidi="ar"/>
                    </w:rPr>
                    <w:t>金桥第一污水处理厂处理，符合基地排水规划。</w:t>
                  </w:r>
                </w:p>
              </w:tc>
              <w:tc>
                <w:tcPr>
                  <w:tcW w:w="697" w:type="dxa"/>
                  <w:tcBorders>
                    <w:tl2br w:val="nil"/>
                    <w:tr2bl w:val="nil"/>
                  </w:tcBorders>
                  <w:vAlign w:val="center"/>
                </w:tcPr>
                <w:p w14:paraId="77DF9BAC">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7F0DEC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597" w:type="dxa"/>
                  <w:tcBorders>
                    <w:tl2br w:val="nil"/>
                    <w:tr2bl w:val="nil"/>
                  </w:tcBorders>
                  <w:vAlign w:val="center"/>
                </w:tcPr>
                <w:p w14:paraId="6851ADA9">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供热</w:t>
                  </w:r>
                </w:p>
              </w:tc>
              <w:tc>
                <w:tcPr>
                  <w:tcW w:w="3504" w:type="dxa"/>
                  <w:tcBorders>
                    <w:tl2br w:val="nil"/>
                    <w:tr2bl w:val="nil"/>
                  </w:tcBorders>
                  <w:vAlign w:val="center"/>
                </w:tcPr>
                <w:p w14:paraId="3BDD13C6">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基地采用集中燃气锅炉房供热，供热能源采用天燃气。根据园区热负荷分布，供热划分为</w:t>
                  </w:r>
                  <w:r>
                    <w:rPr>
                      <w:rFonts w:hint="default" w:ascii="Times New Roman" w:hAnsi="Times New Roman" w:cs="Times New Roman"/>
                      <w:color w:val="auto"/>
                      <w:kern w:val="0"/>
                      <w:szCs w:val="21"/>
                      <w:highlight w:val="none"/>
                      <w:lang w:val="en-US" w:eastAsia="zh-CN" w:bidi="ar"/>
                    </w:rPr>
                    <w:t>9</w:t>
                  </w:r>
                  <w:r>
                    <w:rPr>
                      <w:rFonts w:hint="eastAsia" w:ascii="Times New Roman" w:hAnsi="Times New Roman" w:cs="Times New Roman"/>
                      <w:color w:val="auto"/>
                      <w:kern w:val="0"/>
                      <w:szCs w:val="21"/>
                      <w:highlight w:val="none"/>
                      <w:lang w:val="en-US" w:eastAsia="zh-CN" w:bidi="ar"/>
                    </w:rPr>
                    <w:t>个供热区，规划设置</w:t>
                  </w:r>
                  <w:r>
                    <w:rPr>
                      <w:rFonts w:hint="default" w:ascii="Times New Roman" w:hAnsi="Times New Roman" w:cs="Times New Roman"/>
                      <w:color w:val="auto"/>
                      <w:kern w:val="0"/>
                      <w:szCs w:val="21"/>
                      <w:highlight w:val="none"/>
                      <w:lang w:val="en-US" w:eastAsia="zh-CN" w:bidi="ar"/>
                    </w:rPr>
                    <w:t>9</w:t>
                  </w:r>
                  <w:r>
                    <w:rPr>
                      <w:rFonts w:hint="eastAsia" w:ascii="Times New Roman" w:hAnsi="Times New Roman" w:cs="Times New Roman"/>
                      <w:color w:val="auto"/>
                      <w:kern w:val="0"/>
                      <w:szCs w:val="21"/>
                      <w:highlight w:val="none"/>
                      <w:lang w:val="en-US" w:eastAsia="zh-CN" w:bidi="ar"/>
                    </w:rPr>
                    <w:t xml:space="preserve">座热水锅炉房。 </w:t>
                  </w:r>
                </w:p>
              </w:tc>
              <w:tc>
                <w:tcPr>
                  <w:tcW w:w="1860" w:type="dxa"/>
                  <w:tcBorders>
                    <w:tl2br w:val="nil"/>
                    <w:tr2bl w:val="nil"/>
                  </w:tcBorders>
                  <w:vAlign w:val="center"/>
                </w:tcPr>
                <w:p w14:paraId="02F33A35">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本项目冬季供暖由中央空调供暖。</w:t>
                  </w:r>
                </w:p>
              </w:tc>
              <w:tc>
                <w:tcPr>
                  <w:tcW w:w="697" w:type="dxa"/>
                  <w:tcBorders>
                    <w:tl2br w:val="nil"/>
                    <w:tr2bl w:val="nil"/>
                  </w:tcBorders>
                  <w:vAlign w:val="center"/>
                </w:tcPr>
                <w:p w14:paraId="092128FC">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5230B7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597" w:type="dxa"/>
                  <w:tcBorders>
                    <w:tl2br w:val="nil"/>
                    <w:tr2bl w:val="nil"/>
                  </w:tcBorders>
                  <w:vAlign w:val="center"/>
                </w:tcPr>
                <w:p w14:paraId="3C51397C">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大 气 </w:t>
                  </w:r>
                </w:p>
                <w:p w14:paraId="258F40A7">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污 染 </w:t>
                  </w:r>
                </w:p>
                <w:p w14:paraId="04A4DDB5">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防 治 </w:t>
                  </w:r>
                </w:p>
                <w:p w14:paraId="32123695">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措施 </w:t>
                  </w:r>
                </w:p>
                <w:p w14:paraId="5FC577FB">
                  <w:pPr>
                    <w:widowControl/>
                    <w:spacing w:line="240" w:lineRule="auto"/>
                    <w:jc w:val="center"/>
                    <w:rPr>
                      <w:rFonts w:hint="default" w:ascii="Times New Roman" w:hAnsi="Times New Roman" w:cs="Times New Roman"/>
                      <w:color w:val="auto"/>
                      <w:kern w:val="0"/>
                      <w:szCs w:val="21"/>
                      <w:highlight w:val="none"/>
                      <w:lang w:val="en-US" w:eastAsia="zh-CN" w:bidi="ar"/>
                    </w:rPr>
                  </w:pPr>
                </w:p>
              </w:tc>
              <w:tc>
                <w:tcPr>
                  <w:tcW w:w="3504" w:type="dxa"/>
                  <w:tcBorders>
                    <w:tl2br w:val="nil"/>
                    <w:tr2bl w:val="nil"/>
                  </w:tcBorders>
                  <w:vAlign w:val="center"/>
                </w:tcPr>
                <w:p w14:paraId="03A611D7">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加强对入区项目的环境管理，严格污染治理措施，控制园区大气污染物排放总量；禁止铸造等重金属污染的生产工序进入园区；积极进行绿化建设，提高绿地覆盖率，防治地面扬尘；加强施工期对现场、道路、堆场的管理；加强园区环境清扫，减少二次扬尘。 </w:t>
                  </w:r>
                </w:p>
              </w:tc>
              <w:tc>
                <w:tcPr>
                  <w:tcW w:w="1860" w:type="dxa"/>
                  <w:tcBorders>
                    <w:tl2br w:val="nil"/>
                    <w:tr2bl w:val="nil"/>
                  </w:tcBorders>
                  <w:vAlign w:val="center"/>
                </w:tcPr>
                <w:p w14:paraId="39BDAE0F">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本项目不涉及铸造等重污染的生产工序；项目产生的废气能够实现达标排放；符合基地大气污染防治要求。</w:t>
                  </w:r>
                </w:p>
              </w:tc>
              <w:tc>
                <w:tcPr>
                  <w:tcW w:w="697" w:type="dxa"/>
                  <w:tcBorders>
                    <w:tl2br w:val="nil"/>
                    <w:tr2bl w:val="nil"/>
                  </w:tcBorders>
                  <w:vAlign w:val="center"/>
                </w:tcPr>
                <w:p w14:paraId="2CFCC1C7">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174921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597" w:type="dxa"/>
                  <w:tcBorders>
                    <w:tl2br w:val="nil"/>
                    <w:tr2bl w:val="nil"/>
                  </w:tcBorders>
                  <w:vAlign w:val="center"/>
                </w:tcPr>
                <w:p w14:paraId="47D34D35">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水 污 </w:t>
                  </w:r>
                </w:p>
                <w:p w14:paraId="69FFC39A">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染 防 </w:t>
                  </w:r>
                </w:p>
                <w:p w14:paraId="2FD496D6">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治 措 </w:t>
                  </w:r>
                </w:p>
                <w:p w14:paraId="6CE529E4">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施 </w:t>
                  </w:r>
                </w:p>
                <w:p w14:paraId="642E2640">
                  <w:pPr>
                    <w:widowControl/>
                    <w:spacing w:line="240" w:lineRule="auto"/>
                    <w:jc w:val="center"/>
                    <w:rPr>
                      <w:rFonts w:hint="default" w:ascii="Times New Roman" w:hAnsi="Times New Roman" w:cs="Times New Roman"/>
                      <w:color w:val="auto"/>
                      <w:kern w:val="0"/>
                      <w:szCs w:val="21"/>
                      <w:highlight w:val="none"/>
                      <w:lang w:val="en-US" w:eastAsia="zh-CN" w:bidi="ar"/>
                    </w:rPr>
                  </w:pPr>
                </w:p>
              </w:tc>
              <w:tc>
                <w:tcPr>
                  <w:tcW w:w="3504" w:type="dxa"/>
                  <w:tcBorders>
                    <w:tl2br w:val="nil"/>
                    <w:tr2bl w:val="nil"/>
                  </w:tcBorders>
                  <w:vAlign w:val="center"/>
                </w:tcPr>
                <w:p w14:paraId="5D4F5A59">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对入区项目严格把关，优先选择轻污染、节水型产业入园；采用单项治理和综合治理相结合、局部分散处理与园区集中处理相结合的方针；与园区建设同步落实园区污水管网和污水处理厂的规划、设计，确保污水处理达标后排往收纳水体。 </w:t>
                  </w:r>
                </w:p>
                <w:p w14:paraId="408061E3">
                  <w:pPr>
                    <w:widowControl/>
                    <w:spacing w:line="240" w:lineRule="auto"/>
                    <w:jc w:val="center"/>
                    <w:rPr>
                      <w:rFonts w:hint="default" w:ascii="Times New Roman" w:hAnsi="Times New Roman" w:cs="Times New Roman"/>
                      <w:color w:val="auto"/>
                      <w:kern w:val="0"/>
                      <w:szCs w:val="21"/>
                      <w:highlight w:val="none"/>
                      <w:lang w:val="en-US" w:eastAsia="zh-CN" w:bidi="ar"/>
                    </w:rPr>
                  </w:pPr>
                </w:p>
              </w:tc>
              <w:tc>
                <w:tcPr>
                  <w:tcW w:w="1860" w:type="dxa"/>
                  <w:tcBorders>
                    <w:tl2br w:val="nil"/>
                    <w:tr2bl w:val="nil"/>
                  </w:tcBorders>
                  <w:vAlign w:val="center"/>
                </w:tcPr>
                <w:p w14:paraId="55BEB93F">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本项目不属于高污染、高耗水行业；</w:t>
                  </w:r>
                  <w:r>
                    <w:rPr>
                      <w:rFonts w:hint="eastAsia" w:ascii="Times New Roman" w:hAnsi="Times New Roman" w:cs="Times New Roman"/>
                      <w:color w:val="FF0000"/>
                      <w:kern w:val="0"/>
                      <w:szCs w:val="21"/>
                      <w:highlight w:val="none"/>
                      <w:lang w:val="en-US" w:eastAsia="zh-CN" w:bidi="ar"/>
                    </w:rPr>
                    <w:t>生活污水和浓盐水经园区公共化粪池预处理后，经市政污水管网</w:t>
                  </w:r>
                  <w:r>
                    <w:rPr>
                      <w:rFonts w:hint="eastAsia" w:ascii="Times New Roman" w:hAnsi="Times New Roman" w:cs="Times New Roman"/>
                      <w:color w:val="auto"/>
                      <w:kern w:val="0"/>
                      <w:szCs w:val="21"/>
                      <w:highlight w:val="none"/>
                      <w:lang w:val="en-US" w:eastAsia="zh-CN" w:bidi="ar"/>
                    </w:rPr>
                    <w:t>，最终进入北京新城禹潞环保科技有限责任公司</w:t>
                  </w:r>
                  <w:r>
                    <w:rPr>
                      <w:rFonts w:hint="default" w:ascii="Times New Roman" w:hAnsi="Times New Roman" w:cs="Times New Roman"/>
                      <w:color w:val="auto"/>
                      <w:kern w:val="0"/>
                      <w:szCs w:val="21"/>
                      <w:highlight w:val="none"/>
                      <w:lang w:val="en-US" w:eastAsia="zh-CN" w:bidi="ar"/>
                    </w:rPr>
                    <w:t>-</w:t>
                  </w:r>
                  <w:r>
                    <w:rPr>
                      <w:rFonts w:hint="eastAsia" w:ascii="Times New Roman" w:hAnsi="Times New Roman" w:cs="Times New Roman"/>
                      <w:color w:val="auto"/>
                      <w:kern w:val="0"/>
                      <w:szCs w:val="21"/>
                      <w:highlight w:val="none"/>
                      <w:lang w:val="en-US" w:eastAsia="zh-CN" w:bidi="ar"/>
                    </w:rPr>
                    <w:t>金桥第一污水处理厂处理，符合基地水污染防治要求。</w:t>
                  </w:r>
                </w:p>
              </w:tc>
              <w:tc>
                <w:tcPr>
                  <w:tcW w:w="697" w:type="dxa"/>
                  <w:tcBorders>
                    <w:tl2br w:val="nil"/>
                    <w:tr2bl w:val="nil"/>
                  </w:tcBorders>
                  <w:vAlign w:val="center"/>
                </w:tcPr>
                <w:p w14:paraId="778D9750">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7D89ED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597" w:type="dxa"/>
                  <w:tcBorders>
                    <w:tl2br w:val="nil"/>
                    <w:tr2bl w:val="nil"/>
                  </w:tcBorders>
                  <w:vAlign w:val="center"/>
                </w:tcPr>
                <w:p w14:paraId="3D158ABE">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声 环 </w:t>
                  </w:r>
                </w:p>
                <w:p w14:paraId="7FBD3B82">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境 </w:t>
                  </w:r>
                </w:p>
                <w:p w14:paraId="40C61F89">
                  <w:pPr>
                    <w:widowControl/>
                    <w:spacing w:line="240" w:lineRule="auto"/>
                    <w:jc w:val="center"/>
                    <w:rPr>
                      <w:rFonts w:hint="default" w:ascii="Times New Roman" w:hAnsi="Times New Roman" w:cs="Times New Roman"/>
                      <w:color w:val="auto"/>
                      <w:kern w:val="0"/>
                      <w:szCs w:val="21"/>
                      <w:highlight w:val="none"/>
                      <w:lang w:val="en-US" w:eastAsia="zh-CN" w:bidi="ar"/>
                    </w:rPr>
                  </w:pPr>
                </w:p>
              </w:tc>
              <w:tc>
                <w:tcPr>
                  <w:tcW w:w="3504" w:type="dxa"/>
                  <w:tcBorders>
                    <w:tl2br w:val="nil"/>
                    <w:tr2bl w:val="nil"/>
                  </w:tcBorders>
                  <w:vAlign w:val="center"/>
                </w:tcPr>
                <w:p w14:paraId="7320C07E">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园区工业用地内的工厂合理布局；产业园合理布局，环境噪声敏感建筑设置在远离道路、锅炉房等噪声污染的地方；在产业园内道路附近建设噪声敏感建筑物，设置足够的防护距离。 </w:t>
                  </w:r>
                </w:p>
              </w:tc>
              <w:tc>
                <w:tcPr>
                  <w:tcW w:w="1860" w:type="dxa"/>
                  <w:tcBorders>
                    <w:tl2br w:val="nil"/>
                    <w:tr2bl w:val="nil"/>
                  </w:tcBorders>
                  <w:vAlign w:val="center"/>
                </w:tcPr>
                <w:p w14:paraId="191AF922">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本项目选用低噪音设备，采取降噪措施，确保厂界噪声达标排放，符合基地声环境要求。</w:t>
                  </w:r>
                </w:p>
              </w:tc>
              <w:tc>
                <w:tcPr>
                  <w:tcW w:w="697" w:type="dxa"/>
                  <w:tcBorders>
                    <w:tl2br w:val="nil"/>
                    <w:tr2bl w:val="nil"/>
                  </w:tcBorders>
                  <w:vAlign w:val="center"/>
                </w:tcPr>
                <w:p w14:paraId="2D3BEFB4">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59AA54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597" w:type="dxa"/>
                  <w:tcBorders>
                    <w:tl2br w:val="nil"/>
                    <w:tr2bl w:val="nil"/>
                  </w:tcBorders>
                  <w:vAlign w:val="center"/>
                </w:tcPr>
                <w:p w14:paraId="27D0FEE6">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固 体 </w:t>
                  </w:r>
                </w:p>
                <w:p w14:paraId="38FF23CC">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废物 </w:t>
                  </w:r>
                </w:p>
                <w:p w14:paraId="338FED4E">
                  <w:pPr>
                    <w:widowControl/>
                    <w:spacing w:line="240" w:lineRule="auto"/>
                    <w:jc w:val="center"/>
                    <w:rPr>
                      <w:rFonts w:hint="default" w:ascii="Times New Roman" w:hAnsi="Times New Roman" w:cs="Times New Roman"/>
                      <w:color w:val="auto"/>
                      <w:kern w:val="0"/>
                      <w:szCs w:val="21"/>
                      <w:highlight w:val="none"/>
                      <w:lang w:val="en-US" w:eastAsia="zh-CN" w:bidi="ar"/>
                    </w:rPr>
                  </w:pPr>
                </w:p>
              </w:tc>
              <w:tc>
                <w:tcPr>
                  <w:tcW w:w="3504" w:type="dxa"/>
                  <w:tcBorders>
                    <w:tl2br w:val="nil"/>
                    <w:tr2bl w:val="nil"/>
                  </w:tcBorders>
                  <w:vAlign w:val="center"/>
                </w:tcPr>
                <w:p w14:paraId="3302C374">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设置园区环卫管理站，并设置垃圾收集转运站。 </w:t>
                  </w:r>
                </w:p>
                <w:p w14:paraId="7AF07A11">
                  <w:pPr>
                    <w:widowControl/>
                    <w:spacing w:line="240" w:lineRule="auto"/>
                    <w:jc w:val="both"/>
                    <w:rPr>
                      <w:rFonts w:hint="default" w:ascii="Times New Roman" w:hAnsi="Times New Roman" w:cs="Times New Roman"/>
                      <w:color w:val="auto"/>
                      <w:kern w:val="0"/>
                      <w:szCs w:val="21"/>
                      <w:highlight w:val="none"/>
                      <w:lang w:val="en-US" w:eastAsia="zh-CN" w:bidi="ar"/>
                    </w:rPr>
                  </w:pPr>
                </w:p>
              </w:tc>
              <w:tc>
                <w:tcPr>
                  <w:tcW w:w="1860" w:type="dxa"/>
                  <w:tcBorders>
                    <w:tl2br w:val="nil"/>
                    <w:tr2bl w:val="nil"/>
                  </w:tcBorders>
                  <w:vAlign w:val="center"/>
                </w:tcPr>
                <w:p w14:paraId="297E957E">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废包装（不沾染试剂或沾染无危险特性试剂的包装物）统一收集后放置园区指定垃圾箱，由环卫部门进行清运处理；废离子交换树脂由厂家直接更换，即换即清，更换后由厂家直接运走再生； </w:t>
                  </w:r>
                </w:p>
                <w:p w14:paraId="6600D3A5">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危险废物统一收后暂存于危废间，定期交由有资质单位处置；生活垃圾统一收集后由环卫部门定期清运。固体废物均得到合理处置，符合开发区固体废物治理措施要求。</w:t>
                  </w:r>
                </w:p>
              </w:tc>
              <w:tc>
                <w:tcPr>
                  <w:tcW w:w="697" w:type="dxa"/>
                  <w:tcBorders>
                    <w:tl2br w:val="nil"/>
                    <w:tr2bl w:val="nil"/>
                  </w:tcBorders>
                  <w:vAlign w:val="center"/>
                </w:tcPr>
                <w:p w14:paraId="1FC07277">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2F5A90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597" w:type="dxa"/>
                  <w:tcBorders>
                    <w:tl2br w:val="nil"/>
                    <w:tr2bl w:val="nil"/>
                  </w:tcBorders>
                  <w:vAlign w:val="center"/>
                </w:tcPr>
                <w:p w14:paraId="66E06AE3">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大气 </w:t>
                  </w:r>
                </w:p>
                <w:p w14:paraId="3A742DDC">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污染 </w:t>
                  </w:r>
                </w:p>
                <w:p w14:paraId="7EDE7B57">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防治 </w:t>
                  </w:r>
                </w:p>
                <w:p w14:paraId="3C75694B">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措施 </w:t>
                  </w:r>
                </w:p>
                <w:p w14:paraId="5332B82E">
                  <w:pPr>
                    <w:widowControl/>
                    <w:spacing w:line="240" w:lineRule="auto"/>
                    <w:jc w:val="center"/>
                    <w:rPr>
                      <w:rFonts w:hint="default" w:ascii="Times New Roman" w:hAnsi="Times New Roman" w:cs="Times New Roman"/>
                      <w:color w:val="auto"/>
                      <w:kern w:val="0"/>
                      <w:szCs w:val="21"/>
                      <w:highlight w:val="none"/>
                      <w:lang w:val="en-US" w:eastAsia="zh-CN" w:bidi="ar"/>
                    </w:rPr>
                  </w:pPr>
                </w:p>
              </w:tc>
              <w:tc>
                <w:tcPr>
                  <w:tcW w:w="3504" w:type="dxa"/>
                  <w:tcBorders>
                    <w:tl2br w:val="nil"/>
                    <w:tr2bl w:val="nil"/>
                  </w:tcBorders>
                  <w:vAlign w:val="center"/>
                </w:tcPr>
                <w:p w14:paraId="2296E7B5">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1</w:t>
                  </w:r>
                  <w:r>
                    <w:rPr>
                      <w:rFonts w:hint="eastAsia" w:ascii="Times New Roman" w:hAnsi="Times New Roman" w:cs="Times New Roman"/>
                      <w:color w:val="auto"/>
                      <w:kern w:val="0"/>
                      <w:szCs w:val="21"/>
                      <w:highlight w:val="none"/>
                      <w:lang w:val="en-US" w:eastAsia="zh-CN" w:bidi="ar"/>
                    </w:rPr>
                    <w:t>）园区内新建的生产、采暖设施采用清洁能源，燃气锅炉须达到北京市《锅炉污染物综合排放标准》（</w:t>
                  </w:r>
                  <w:r>
                    <w:rPr>
                      <w:rFonts w:hint="default" w:ascii="Times New Roman" w:hAnsi="Times New Roman" w:cs="Times New Roman"/>
                      <w:color w:val="auto"/>
                      <w:kern w:val="0"/>
                      <w:szCs w:val="21"/>
                      <w:highlight w:val="none"/>
                      <w:lang w:val="en-US" w:eastAsia="zh-CN" w:bidi="ar"/>
                    </w:rPr>
                    <w:t>DB11/139-2002</w:t>
                  </w:r>
                  <w:r>
                    <w:rPr>
                      <w:rFonts w:hint="eastAsia" w:ascii="Times New Roman" w:hAnsi="Times New Roman" w:cs="Times New Roman"/>
                      <w:color w:val="auto"/>
                      <w:kern w:val="0"/>
                      <w:szCs w:val="21"/>
                      <w:highlight w:val="none"/>
                      <w:lang w:val="en-US" w:eastAsia="zh-CN" w:bidi="ar"/>
                    </w:rPr>
                    <w:t xml:space="preserve">）中的限值； </w:t>
                  </w:r>
                </w:p>
                <w:p w14:paraId="0D3AD707">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2</w:t>
                  </w:r>
                  <w:r>
                    <w:rPr>
                      <w:rFonts w:hint="eastAsia" w:ascii="Times New Roman" w:hAnsi="Times New Roman" w:cs="Times New Roman"/>
                      <w:color w:val="auto"/>
                      <w:kern w:val="0"/>
                      <w:szCs w:val="21"/>
                      <w:highlight w:val="none"/>
                      <w:lang w:val="en-US" w:eastAsia="zh-CN" w:bidi="ar"/>
                    </w:rPr>
                    <w:t>）施工期间须执行《北京市建设工程施工现场环境保护标准》（京建施</w:t>
                  </w:r>
                  <w:r>
                    <w:rPr>
                      <w:rFonts w:hint="default" w:ascii="Times New Roman" w:hAnsi="Times New Roman" w:cs="Times New Roman"/>
                      <w:color w:val="auto"/>
                      <w:kern w:val="0"/>
                      <w:szCs w:val="21"/>
                      <w:highlight w:val="none"/>
                      <w:lang w:val="en-US" w:eastAsia="zh-CN" w:bidi="ar"/>
                    </w:rPr>
                    <w:t>[2003]3</w:t>
                  </w:r>
                  <w:r>
                    <w:rPr>
                      <w:rFonts w:hint="eastAsia" w:ascii="Times New Roman" w:hAnsi="Times New Roman" w:cs="Times New Roman"/>
                      <w:color w:val="auto"/>
                      <w:kern w:val="0"/>
                      <w:szCs w:val="21"/>
                      <w:highlight w:val="none"/>
                      <w:lang w:val="en-US" w:eastAsia="zh-CN" w:bidi="ar"/>
                    </w:rPr>
                    <w:t xml:space="preserve">号）中的规定，做好防尘降尘工作。 </w:t>
                  </w:r>
                </w:p>
                <w:p w14:paraId="4B4B3E8F">
                  <w:pPr>
                    <w:widowControl/>
                    <w:spacing w:line="240" w:lineRule="auto"/>
                    <w:jc w:val="both"/>
                    <w:rPr>
                      <w:rFonts w:hint="default" w:ascii="Times New Roman" w:hAnsi="Times New Roman" w:cs="Times New Roman"/>
                      <w:color w:val="auto"/>
                      <w:kern w:val="0"/>
                      <w:szCs w:val="21"/>
                      <w:highlight w:val="none"/>
                      <w:lang w:val="en-US" w:eastAsia="zh-CN" w:bidi="ar"/>
                    </w:rPr>
                  </w:pPr>
                </w:p>
              </w:tc>
              <w:tc>
                <w:tcPr>
                  <w:tcW w:w="1860" w:type="dxa"/>
                  <w:tcBorders>
                    <w:tl2br w:val="nil"/>
                    <w:tr2bl w:val="nil"/>
                  </w:tcBorders>
                  <w:vAlign w:val="center"/>
                </w:tcPr>
                <w:p w14:paraId="6E507B36">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1</w:t>
                  </w:r>
                  <w:r>
                    <w:rPr>
                      <w:rFonts w:hint="eastAsia" w:ascii="Times New Roman" w:hAnsi="Times New Roman" w:cs="Times New Roman"/>
                      <w:color w:val="auto"/>
                      <w:kern w:val="0"/>
                      <w:szCs w:val="21"/>
                      <w:highlight w:val="none"/>
                      <w:lang w:val="en-US" w:eastAsia="zh-CN" w:bidi="ar"/>
                    </w:rPr>
                    <w:t xml:space="preserve">、本项目冬季由中央空调提供供暖，不涉及锅炉烟气排放； </w:t>
                  </w:r>
                </w:p>
                <w:p w14:paraId="1816A2C7">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2</w:t>
                  </w:r>
                  <w:r>
                    <w:rPr>
                      <w:rFonts w:hint="eastAsia" w:ascii="Times New Roman" w:hAnsi="Times New Roman" w:cs="Times New Roman"/>
                      <w:color w:val="auto"/>
                      <w:kern w:val="0"/>
                      <w:szCs w:val="21"/>
                      <w:highlight w:val="none"/>
                      <w:lang w:val="en-US" w:eastAsia="zh-CN" w:bidi="ar"/>
                    </w:rPr>
                    <w:t xml:space="preserve">、项目使用原有厂房，仪器设备安装过程中严格对施工现场进行管理；符合大气污染 </w:t>
                  </w:r>
                </w:p>
                <w:p w14:paraId="46C85EA5">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防治要求。</w:t>
                  </w:r>
                </w:p>
              </w:tc>
              <w:tc>
                <w:tcPr>
                  <w:tcW w:w="697" w:type="dxa"/>
                  <w:tcBorders>
                    <w:tl2br w:val="nil"/>
                    <w:tr2bl w:val="nil"/>
                  </w:tcBorders>
                  <w:vAlign w:val="center"/>
                </w:tcPr>
                <w:p w14:paraId="0940CD0F">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687F6B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597" w:type="dxa"/>
                  <w:tcBorders>
                    <w:tl2br w:val="nil"/>
                    <w:tr2bl w:val="nil"/>
                  </w:tcBorders>
                  <w:vAlign w:val="center"/>
                </w:tcPr>
                <w:p w14:paraId="15CB1660">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水污 </w:t>
                  </w:r>
                </w:p>
                <w:p w14:paraId="1D294A83">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染防 </w:t>
                  </w:r>
                </w:p>
                <w:p w14:paraId="5BFCA6BA">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治措 </w:t>
                  </w:r>
                </w:p>
                <w:p w14:paraId="7C4151AE">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施 </w:t>
                  </w:r>
                </w:p>
                <w:p w14:paraId="3BF03CCF">
                  <w:pPr>
                    <w:widowControl/>
                    <w:spacing w:line="240" w:lineRule="auto"/>
                    <w:jc w:val="center"/>
                    <w:rPr>
                      <w:rFonts w:hint="default" w:ascii="Times New Roman" w:hAnsi="Times New Roman" w:cs="Times New Roman"/>
                      <w:color w:val="auto"/>
                      <w:kern w:val="0"/>
                      <w:szCs w:val="21"/>
                      <w:highlight w:val="none"/>
                      <w:lang w:val="en-US" w:eastAsia="zh-CN" w:bidi="ar"/>
                    </w:rPr>
                  </w:pPr>
                </w:p>
              </w:tc>
              <w:tc>
                <w:tcPr>
                  <w:tcW w:w="3504" w:type="dxa"/>
                  <w:tcBorders>
                    <w:tl2br w:val="nil"/>
                    <w:tr2bl w:val="nil"/>
                  </w:tcBorders>
                  <w:vAlign w:val="center"/>
                </w:tcPr>
                <w:p w14:paraId="03688930">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园区内须建设完善的雨、污分流系统。园区生活污水和生产废水排入园区集中污水处理厂，经处理后的污水排入凤港减河，排放执行《北京市水污染物排放标准》（试行）中“排 </w:t>
                  </w:r>
                </w:p>
                <w:p w14:paraId="05929E01">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入地表水体”新建三级标准。 </w:t>
                  </w:r>
                </w:p>
                <w:p w14:paraId="2F8B5AA9">
                  <w:pPr>
                    <w:widowControl/>
                    <w:spacing w:line="240" w:lineRule="auto"/>
                    <w:jc w:val="both"/>
                    <w:rPr>
                      <w:rFonts w:hint="default" w:ascii="Times New Roman" w:hAnsi="Times New Roman" w:cs="Times New Roman"/>
                      <w:color w:val="auto"/>
                      <w:kern w:val="0"/>
                      <w:szCs w:val="21"/>
                      <w:highlight w:val="none"/>
                      <w:lang w:val="en-US" w:eastAsia="zh-CN" w:bidi="ar"/>
                    </w:rPr>
                  </w:pPr>
                </w:p>
              </w:tc>
              <w:tc>
                <w:tcPr>
                  <w:tcW w:w="1860" w:type="dxa"/>
                  <w:tcBorders>
                    <w:tl2br w:val="nil"/>
                    <w:tr2bl w:val="nil"/>
                  </w:tcBorders>
                  <w:vAlign w:val="center"/>
                </w:tcPr>
                <w:p w14:paraId="0475AFEE">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本项目产生的生活污水达到北京市《水污染物综合排放标准》（</w:t>
                  </w:r>
                  <w:r>
                    <w:rPr>
                      <w:rFonts w:hint="default" w:ascii="Times New Roman" w:hAnsi="Times New Roman" w:cs="Times New Roman"/>
                      <w:color w:val="auto"/>
                      <w:kern w:val="0"/>
                      <w:szCs w:val="21"/>
                      <w:highlight w:val="none"/>
                      <w:lang w:val="en-US" w:eastAsia="zh-CN" w:bidi="ar"/>
                    </w:rPr>
                    <w:t>DB11/307-2013</w:t>
                  </w:r>
                  <w:r>
                    <w:rPr>
                      <w:rFonts w:hint="eastAsia" w:ascii="Times New Roman" w:hAnsi="Times New Roman" w:cs="Times New Roman"/>
                      <w:color w:val="auto"/>
                      <w:kern w:val="0"/>
                      <w:szCs w:val="21"/>
                      <w:highlight w:val="none"/>
                      <w:lang w:val="en-US" w:eastAsia="zh-CN" w:bidi="ar"/>
                    </w:rPr>
                    <w:t>）中“排入公共污水处理系统的水污染物排放限值”要求后排入北京新城禹潞环保科技有限责任公司</w:t>
                  </w:r>
                  <w:r>
                    <w:rPr>
                      <w:rFonts w:hint="default" w:ascii="Times New Roman" w:hAnsi="Times New Roman" w:cs="Times New Roman"/>
                      <w:color w:val="auto"/>
                      <w:kern w:val="0"/>
                      <w:szCs w:val="21"/>
                      <w:highlight w:val="none"/>
                      <w:lang w:val="en-US" w:eastAsia="zh-CN" w:bidi="ar"/>
                    </w:rPr>
                    <w:t>-</w:t>
                  </w:r>
                  <w:r>
                    <w:rPr>
                      <w:rFonts w:hint="eastAsia" w:ascii="Times New Roman" w:hAnsi="Times New Roman" w:cs="Times New Roman"/>
                      <w:color w:val="auto"/>
                      <w:kern w:val="0"/>
                      <w:szCs w:val="21"/>
                      <w:highlight w:val="none"/>
                      <w:lang w:val="en-US" w:eastAsia="zh-CN" w:bidi="ar"/>
                    </w:rPr>
                    <w:t>金桥第一污水处理厂进一步处理，符合水污染防治要求。</w:t>
                  </w:r>
                </w:p>
              </w:tc>
              <w:tc>
                <w:tcPr>
                  <w:tcW w:w="697" w:type="dxa"/>
                  <w:tcBorders>
                    <w:tl2br w:val="nil"/>
                    <w:tr2bl w:val="nil"/>
                  </w:tcBorders>
                  <w:vAlign w:val="center"/>
                </w:tcPr>
                <w:p w14:paraId="090DFCEB">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57BEC7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597" w:type="dxa"/>
                  <w:tcBorders>
                    <w:tl2br w:val="nil"/>
                    <w:tr2bl w:val="nil"/>
                  </w:tcBorders>
                  <w:vAlign w:val="center"/>
                </w:tcPr>
                <w:p w14:paraId="74E56590">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声环 </w:t>
                  </w:r>
                </w:p>
                <w:p w14:paraId="7685C61A">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境 </w:t>
                  </w:r>
                </w:p>
                <w:p w14:paraId="680EFA90">
                  <w:pPr>
                    <w:widowControl/>
                    <w:spacing w:line="240" w:lineRule="auto"/>
                    <w:jc w:val="center"/>
                    <w:rPr>
                      <w:rFonts w:hint="default" w:ascii="Times New Roman" w:hAnsi="Times New Roman" w:cs="Times New Roman"/>
                      <w:color w:val="auto"/>
                      <w:kern w:val="0"/>
                      <w:szCs w:val="21"/>
                      <w:highlight w:val="none"/>
                      <w:lang w:val="en-US" w:eastAsia="zh-CN" w:bidi="ar"/>
                    </w:rPr>
                  </w:pPr>
                </w:p>
              </w:tc>
              <w:tc>
                <w:tcPr>
                  <w:tcW w:w="3504" w:type="dxa"/>
                  <w:tcBorders>
                    <w:tl2br w:val="nil"/>
                    <w:tr2bl w:val="nil"/>
                  </w:tcBorders>
                  <w:vAlign w:val="center"/>
                </w:tcPr>
                <w:p w14:paraId="461F8FDA">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1</w:t>
                  </w:r>
                  <w:r>
                    <w:rPr>
                      <w:rFonts w:hint="eastAsia" w:ascii="Times New Roman" w:hAnsi="Times New Roman" w:cs="Times New Roman"/>
                      <w:color w:val="auto"/>
                      <w:kern w:val="0"/>
                      <w:szCs w:val="21"/>
                      <w:highlight w:val="none"/>
                      <w:lang w:val="en-US" w:eastAsia="zh-CN" w:bidi="ar"/>
                    </w:rPr>
                    <w:t>）调压站、燃气锅炉等设备须采取降噪措施，厂界噪声执行《工业企业厂界噪声标准》（</w:t>
                  </w:r>
                  <w:r>
                    <w:rPr>
                      <w:rFonts w:hint="default" w:ascii="Times New Roman" w:hAnsi="Times New Roman" w:cs="Times New Roman"/>
                      <w:color w:val="auto"/>
                      <w:kern w:val="0"/>
                      <w:szCs w:val="21"/>
                      <w:highlight w:val="none"/>
                      <w:lang w:val="en-US" w:eastAsia="zh-CN" w:bidi="ar"/>
                    </w:rPr>
                    <w:t>GB12348-90</w:t>
                  </w:r>
                  <w:r>
                    <w:rPr>
                      <w:rFonts w:hint="eastAsia" w:ascii="Times New Roman" w:hAnsi="Times New Roman" w:cs="Times New Roman"/>
                      <w:color w:val="auto"/>
                      <w:kern w:val="0"/>
                      <w:szCs w:val="21"/>
                      <w:highlight w:val="none"/>
                      <w:lang w:val="en-US" w:eastAsia="zh-CN" w:bidi="ar"/>
                    </w:rPr>
                    <w:t xml:space="preserve">）中三类标准。 </w:t>
                  </w:r>
                </w:p>
                <w:p w14:paraId="02551C89">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2</w:t>
                  </w:r>
                  <w:r>
                    <w:rPr>
                      <w:rFonts w:hint="eastAsia" w:ascii="Times New Roman" w:hAnsi="Times New Roman" w:cs="Times New Roman"/>
                      <w:color w:val="auto"/>
                      <w:kern w:val="0"/>
                      <w:szCs w:val="21"/>
                      <w:highlight w:val="none"/>
                      <w:lang w:val="en-US" w:eastAsia="zh-CN" w:bidi="ar"/>
                    </w:rPr>
                    <w:t>）为减少六环路居民的噪声影响，六环路南侧</w:t>
                  </w:r>
                  <w:r>
                    <w:rPr>
                      <w:rFonts w:hint="default" w:ascii="Times New Roman" w:hAnsi="Times New Roman" w:cs="Times New Roman"/>
                      <w:color w:val="auto"/>
                      <w:kern w:val="0"/>
                      <w:szCs w:val="21"/>
                      <w:highlight w:val="none"/>
                      <w:lang w:val="en-US" w:eastAsia="zh-CN" w:bidi="ar"/>
                    </w:rPr>
                    <w:t>100</w:t>
                  </w:r>
                  <w:r>
                    <w:rPr>
                      <w:rFonts w:hint="eastAsia" w:ascii="Times New Roman" w:hAnsi="Times New Roman" w:cs="Times New Roman"/>
                      <w:color w:val="auto"/>
                      <w:kern w:val="0"/>
                      <w:szCs w:val="21"/>
                      <w:highlight w:val="none"/>
                      <w:lang w:val="en-US" w:eastAsia="zh-CN" w:bidi="ar"/>
                    </w:rPr>
                    <w:t xml:space="preserve">米内不得建设住宅、学校、医院等噪声敏感建筑物。 </w:t>
                  </w:r>
                </w:p>
                <w:p w14:paraId="1323E056">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3</w:t>
                  </w:r>
                  <w:r>
                    <w:rPr>
                      <w:rFonts w:hint="eastAsia" w:ascii="Times New Roman" w:hAnsi="Times New Roman" w:cs="Times New Roman"/>
                      <w:color w:val="auto"/>
                      <w:kern w:val="0"/>
                      <w:szCs w:val="21"/>
                      <w:highlight w:val="none"/>
                      <w:lang w:val="en-US" w:eastAsia="zh-CN" w:bidi="ar"/>
                    </w:rPr>
                    <w:t>）施工期噪声执行《建筑施工 场 界 噪 声 限 值 》（</w:t>
                  </w:r>
                  <w:r>
                    <w:rPr>
                      <w:rFonts w:hint="default" w:ascii="Times New Roman" w:hAnsi="Times New Roman" w:cs="Times New Roman"/>
                      <w:color w:val="auto"/>
                      <w:kern w:val="0"/>
                      <w:szCs w:val="21"/>
                      <w:highlight w:val="none"/>
                      <w:lang w:val="en-US" w:eastAsia="zh-CN" w:bidi="ar"/>
                    </w:rPr>
                    <w:t>GB12523-90</w:t>
                  </w:r>
                  <w:r>
                    <w:rPr>
                      <w:rFonts w:hint="eastAsia" w:ascii="Times New Roman" w:hAnsi="Times New Roman" w:cs="Times New Roman"/>
                      <w:color w:val="auto"/>
                      <w:kern w:val="0"/>
                      <w:szCs w:val="21"/>
                      <w:highlight w:val="none"/>
                      <w:lang w:val="en-US" w:eastAsia="zh-CN" w:bidi="ar"/>
                    </w:rPr>
                    <w:t xml:space="preserve">）的规定。 </w:t>
                  </w:r>
                </w:p>
                <w:p w14:paraId="59D707BE">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 </w:t>
                  </w:r>
                </w:p>
                <w:p w14:paraId="0A6BAE54">
                  <w:pPr>
                    <w:widowControl/>
                    <w:spacing w:line="240" w:lineRule="auto"/>
                    <w:jc w:val="both"/>
                    <w:rPr>
                      <w:rFonts w:hint="default" w:ascii="Times New Roman" w:hAnsi="Times New Roman" w:cs="Times New Roman"/>
                      <w:color w:val="auto"/>
                      <w:kern w:val="0"/>
                      <w:szCs w:val="21"/>
                      <w:highlight w:val="none"/>
                      <w:lang w:val="en-US" w:eastAsia="zh-CN" w:bidi="ar"/>
                    </w:rPr>
                  </w:pPr>
                </w:p>
              </w:tc>
              <w:tc>
                <w:tcPr>
                  <w:tcW w:w="1860" w:type="dxa"/>
                  <w:tcBorders>
                    <w:tl2br w:val="nil"/>
                    <w:tr2bl w:val="nil"/>
                  </w:tcBorders>
                  <w:vAlign w:val="center"/>
                </w:tcPr>
                <w:p w14:paraId="462C529B">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1</w:t>
                  </w:r>
                  <w:r>
                    <w:rPr>
                      <w:rFonts w:hint="eastAsia" w:ascii="Times New Roman" w:hAnsi="Times New Roman" w:cs="Times New Roman"/>
                      <w:color w:val="auto"/>
                      <w:kern w:val="0"/>
                      <w:szCs w:val="21"/>
                      <w:highlight w:val="none"/>
                      <w:lang w:val="en-US" w:eastAsia="zh-CN" w:bidi="ar"/>
                    </w:rPr>
                    <w:t>、本项目运营期产噪设备主要为风机等，对产噪设备采取降噪措施，运营期厂界噪声执行《工业企业厂界环境噪声排</w:t>
                  </w:r>
                </w:p>
                <w:p w14:paraId="106263D3">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放标准》（</w:t>
                  </w:r>
                  <w:r>
                    <w:rPr>
                      <w:rFonts w:hint="default" w:ascii="Times New Roman" w:hAnsi="Times New Roman" w:cs="Times New Roman"/>
                      <w:color w:val="auto"/>
                      <w:kern w:val="0"/>
                      <w:szCs w:val="21"/>
                      <w:highlight w:val="none"/>
                      <w:lang w:val="en-US" w:eastAsia="zh-CN" w:bidi="ar"/>
                    </w:rPr>
                    <w:t>GB12348-2008</w:t>
                  </w:r>
                  <w:r>
                    <w:rPr>
                      <w:rFonts w:hint="eastAsia" w:ascii="Times New Roman" w:hAnsi="Times New Roman" w:cs="Times New Roman"/>
                      <w:color w:val="auto"/>
                      <w:kern w:val="0"/>
                      <w:szCs w:val="21"/>
                      <w:highlight w:val="none"/>
                      <w:lang w:val="en-US" w:eastAsia="zh-CN" w:bidi="ar"/>
                    </w:rPr>
                    <w:t>）中的</w:t>
                  </w:r>
                  <w:r>
                    <w:rPr>
                      <w:rFonts w:hint="default" w:ascii="Times New Roman" w:hAnsi="Times New Roman" w:cs="Times New Roman"/>
                      <w:color w:val="auto"/>
                      <w:kern w:val="0"/>
                      <w:szCs w:val="21"/>
                      <w:highlight w:val="none"/>
                      <w:lang w:val="en-US" w:eastAsia="zh-CN" w:bidi="ar"/>
                    </w:rPr>
                    <w:t>3</w:t>
                  </w:r>
                  <w:r>
                    <w:rPr>
                      <w:rFonts w:hint="eastAsia" w:ascii="Times New Roman" w:hAnsi="Times New Roman" w:cs="Times New Roman"/>
                      <w:color w:val="auto"/>
                      <w:kern w:val="0"/>
                      <w:szCs w:val="21"/>
                      <w:highlight w:val="none"/>
                      <w:lang w:val="en-US" w:eastAsia="zh-CN" w:bidi="ar"/>
                    </w:rPr>
                    <w:t xml:space="preserve">类标准，符合声环境要求。 </w:t>
                  </w:r>
                </w:p>
                <w:p w14:paraId="0FED0840">
                  <w:pPr>
                    <w:widowControl/>
                    <w:numPr>
                      <w:ilvl w:val="0"/>
                      <w:numId w:val="5"/>
                    </w:numPr>
                    <w:spacing w:line="240" w:lineRule="auto"/>
                    <w:jc w:val="both"/>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本项目位于产业金桥科技产业基地，不涉及此项目。</w:t>
                  </w:r>
                </w:p>
                <w:p w14:paraId="347EEB94">
                  <w:pPr>
                    <w:widowControl/>
                    <w:numPr>
                      <w:ilvl w:val="0"/>
                      <w:numId w:val="5"/>
                    </w:numPr>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施工期厂界噪声执行《建筑施工场界环境噪声排放标准》（</w:t>
                  </w:r>
                  <w:r>
                    <w:rPr>
                      <w:rFonts w:hint="default" w:ascii="Times New Roman" w:hAnsi="Times New Roman" w:cs="Times New Roman"/>
                      <w:color w:val="auto"/>
                      <w:kern w:val="0"/>
                      <w:szCs w:val="21"/>
                      <w:highlight w:val="none"/>
                      <w:lang w:val="en-US" w:eastAsia="zh-CN" w:bidi="ar"/>
                    </w:rPr>
                    <w:t>GB12523-2011</w:t>
                  </w:r>
                  <w:r>
                    <w:rPr>
                      <w:rFonts w:hint="eastAsia" w:ascii="Times New Roman" w:hAnsi="Times New Roman" w:cs="Times New Roman"/>
                      <w:color w:val="auto"/>
                      <w:kern w:val="0"/>
                      <w:szCs w:val="21"/>
                      <w:highlight w:val="none"/>
                      <w:lang w:val="en-US" w:eastAsia="zh-CN" w:bidi="ar"/>
                    </w:rPr>
                    <w:t>）中的限值；</w:t>
                  </w:r>
                </w:p>
              </w:tc>
              <w:tc>
                <w:tcPr>
                  <w:tcW w:w="697" w:type="dxa"/>
                  <w:tcBorders>
                    <w:tl2br w:val="nil"/>
                    <w:tr2bl w:val="nil"/>
                  </w:tcBorders>
                  <w:vAlign w:val="center"/>
                </w:tcPr>
                <w:p w14:paraId="5DB16375">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344854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597" w:type="dxa"/>
                  <w:tcBorders>
                    <w:tl2br w:val="nil"/>
                    <w:tr2bl w:val="nil"/>
                  </w:tcBorders>
                  <w:vAlign w:val="center"/>
                </w:tcPr>
                <w:p w14:paraId="6027E5A3">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固体 </w:t>
                  </w:r>
                </w:p>
                <w:p w14:paraId="00E640F4">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废物</w:t>
                  </w:r>
                </w:p>
              </w:tc>
              <w:tc>
                <w:tcPr>
                  <w:tcW w:w="3504" w:type="dxa"/>
                  <w:tcBorders>
                    <w:tl2br w:val="nil"/>
                    <w:tr2bl w:val="nil"/>
                  </w:tcBorders>
                  <w:vAlign w:val="center"/>
                </w:tcPr>
                <w:p w14:paraId="774F43E2">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 </w:t>
                  </w:r>
                </w:p>
                <w:p w14:paraId="2BF7FB2F">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 xml:space="preserve">园区产生的生产、生活垃圾须集中密闭收集处理。 </w:t>
                  </w:r>
                </w:p>
                <w:p w14:paraId="0F4C1216">
                  <w:pPr>
                    <w:widowControl/>
                    <w:spacing w:line="240" w:lineRule="auto"/>
                    <w:jc w:val="both"/>
                    <w:rPr>
                      <w:rFonts w:hint="default" w:ascii="Times New Roman" w:hAnsi="Times New Roman" w:cs="Times New Roman"/>
                      <w:color w:val="auto"/>
                      <w:kern w:val="0"/>
                      <w:szCs w:val="21"/>
                      <w:highlight w:val="none"/>
                      <w:lang w:val="en-US" w:eastAsia="zh-CN" w:bidi="ar"/>
                    </w:rPr>
                  </w:pPr>
                </w:p>
              </w:tc>
              <w:tc>
                <w:tcPr>
                  <w:tcW w:w="1860" w:type="dxa"/>
                  <w:tcBorders>
                    <w:tl2br w:val="nil"/>
                    <w:tr2bl w:val="nil"/>
                  </w:tcBorders>
                  <w:vAlign w:val="center"/>
                </w:tcPr>
                <w:p w14:paraId="5D35CAFE">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废包装（不沾染试剂或沾染无危险特性试剂的包装物）统一收集后放置园区指定垃圾箱，由环卫部门进行清运处理；废离子交换树脂由厂家直接更换，即换即清，更换后由厂家直接运走再生；危险废物统一收集后暂存于危废间，定期交由有资质单位处置；生活垃圾统一收集后由环卫部门定期清运。固体废物均得到合理处置，符合开发区固体废物治理措施要求。</w:t>
                  </w:r>
                </w:p>
              </w:tc>
              <w:tc>
                <w:tcPr>
                  <w:tcW w:w="697" w:type="dxa"/>
                  <w:tcBorders>
                    <w:tl2br w:val="nil"/>
                    <w:tr2bl w:val="nil"/>
                  </w:tcBorders>
                  <w:vAlign w:val="center"/>
                </w:tcPr>
                <w:p w14:paraId="09F85D21">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bl>
          <w:p w14:paraId="070E7344">
            <w:pPr>
              <w:widowControl/>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lang w:bidi="ar"/>
              </w:rPr>
              <w:t>根据上表分析结果，本项目符合</w:t>
            </w:r>
            <w:r>
              <w:rPr>
                <w:rFonts w:hint="eastAsia" w:ascii="Times New Roman" w:hAnsi="Times New Roman" w:eastAsia="宋体" w:cs="Times New Roman"/>
                <w:color w:val="auto"/>
                <w:kern w:val="0"/>
                <w:sz w:val="24"/>
                <w:highlight w:val="none"/>
                <w:lang w:val="en-US" w:eastAsia="zh-CN" w:bidi="ar"/>
              </w:rPr>
              <w:t>中关村科技园区通州园金桥科技产业基地相关规划环境影响跟踪评价</w:t>
            </w:r>
            <w:r>
              <w:rPr>
                <w:rFonts w:hint="default" w:ascii="Times New Roman" w:hAnsi="Times New Roman" w:eastAsia="宋体" w:cs="Times New Roman"/>
                <w:color w:val="auto"/>
                <w:kern w:val="0"/>
                <w:sz w:val="24"/>
                <w:highlight w:val="none"/>
                <w:lang w:bidi="ar"/>
              </w:rPr>
              <w:t>及其审查意见的相关要求。</w:t>
            </w:r>
          </w:p>
        </w:tc>
      </w:tr>
      <w:tr w14:paraId="641DA9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8" w:hRule="atLeast"/>
          <w:jc w:val="center"/>
        </w:trPr>
        <w:tc>
          <w:tcPr>
            <w:tcW w:w="2129" w:type="dxa"/>
            <w:tcBorders>
              <w:top w:val="single" w:color="auto" w:sz="4" w:space="0"/>
              <w:left w:val="single" w:color="auto" w:sz="8" w:space="0"/>
              <w:bottom w:val="single" w:color="auto" w:sz="4" w:space="0"/>
              <w:right w:val="single" w:color="auto" w:sz="4" w:space="0"/>
            </w:tcBorders>
            <w:vAlign w:val="center"/>
          </w:tcPr>
          <w:p w14:paraId="5C2B01FC">
            <w:pPr>
              <w:autoSpaceDE w:val="0"/>
              <w:autoSpaceDN w:val="0"/>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rPr>
              <w:t>其他符合性分析</w:t>
            </w:r>
          </w:p>
        </w:tc>
        <w:tc>
          <w:tcPr>
            <w:tcW w:w="6741" w:type="dxa"/>
            <w:gridSpan w:val="3"/>
            <w:tcBorders>
              <w:top w:val="single" w:color="auto" w:sz="4" w:space="0"/>
              <w:left w:val="single" w:color="auto" w:sz="4" w:space="0"/>
              <w:bottom w:val="single" w:color="auto" w:sz="4" w:space="0"/>
              <w:right w:val="single" w:color="auto" w:sz="8" w:space="0"/>
            </w:tcBorders>
          </w:tcPr>
          <w:p w14:paraId="78F7F596">
            <w:pPr>
              <w:numPr>
                <w:ilvl w:val="0"/>
                <w:numId w:val="6"/>
              </w:numPr>
              <w:spacing w:line="360" w:lineRule="auto"/>
              <w:ind w:firstLine="482"/>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产业政策符合性分析：</w:t>
            </w:r>
          </w:p>
          <w:p w14:paraId="5B9581EA">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本项目</w:t>
            </w:r>
            <w:r>
              <w:rPr>
                <w:rFonts w:hint="default" w:ascii="Times New Roman" w:hAnsi="Times New Roman" w:eastAsia="宋体" w:cs="Times New Roman"/>
                <w:color w:val="auto"/>
                <w:kern w:val="0"/>
                <w:sz w:val="24"/>
                <w:highlight w:val="none"/>
                <w:lang w:val="en-US" w:eastAsia="zh-CN" w:bidi="ar"/>
              </w:rPr>
              <w:t>从事</w:t>
            </w:r>
            <w:r>
              <w:rPr>
                <w:rFonts w:hint="eastAsia" w:cs="Times New Roman"/>
                <w:color w:val="auto"/>
                <w:kern w:val="0"/>
                <w:sz w:val="24"/>
                <w:highlight w:val="none"/>
                <w:lang w:val="en-US" w:eastAsia="zh-CN" w:bidi="ar"/>
              </w:rPr>
              <w:t>检验检测服务</w:t>
            </w:r>
            <w:r>
              <w:rPr>
                <w:rFonts w:hint="default" w:ascii="Times New Roman" w:hAnsi="Times New Roman" w:eastAsia="宋体"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bidi="ar"/>
              </w:rPr>
              <w:t>属于《产业结构调整指导目录（2024年本）》中</w:t>
            </w:r>
            <w:r>
              <w:rPr>
                <w:rFonts w:hint="eastAsia"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val="en-US" w:eastAsia="zh-CN" w:bidi="ar"/>
              </w:rPr>
              <w:t>三十一、科技服务业</w:t>
            </w:r>
            <w:r>
              <w:rPr>
                <w:rFonts w:hint="eastAsia" w:cs="Times New Roman"/>
                <w:color w:val="auto"/>
                <w:kern w:val="0"/>
                <w:sz w:val="24"/>
                <w:highlight w:val="none"/>
                <w:lang w:eastAsia="zh-CN" w:bidi="ar"/>
              </w:rPr>
              <w:t>”</w:t>
            </w:r>
            <w:r>
              <w:rPr>
                <w:rFonts w:hint="eastAsia" w:cs="Times New Roman"/>
                <w:color w:val="auto"/>
                <w:kern w:val="0"/>
                <w:sz w:val="24"/>
                <w:highlight w:val="none"/>
                <w:lang w:val="en-US" w:eastAsia="zh-CN" w:bidi="ar"/>
              </w:rPr>
              <w:t>中的“检验检测服务”，属于“</w:t>
            </w:r>
            <w:r>
              <w:rPr>
                <w:rFonts w:hint="default" w:ascii="Times New Roman" w:hAnsi="Times New Roman" w:eastAsia="宋体" w:cs="Times New Roman"/>
                <w:color w:val="auto"/>
                <w:kern w:val="0"/>
                <w:sz w:val="24"/>
                <w:highlight w:val="none"/>
                <w:lang w:val="en-US" w:eastAsia="zh-CN" w:bidi="ar"/>
              </w:rPr>
              <w:t>鼓励类</w:t>
            </w:r>
            <w:r>
              <w:rPr>
                <w:rFonts w:hint="eastAsia"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bidi="ar"/>
              </w:rPr>
              <w:t>项目。</w:t>
            </w:r>
          </w:p>
          <w:p w14:paraId="696CABD2">
            <w:pPr>
              <w:spacing w:line="360" w:lineRule="auto"/>
              <w:ind w:firstLine="480" w:firstLineChars="200"/>
              <w:rPr>
                <w:rFonts w:hint="default" w:ascii="Times New Roman" w:hAnsi="Times New Roman" w:eastAsia="宋体" w:cs="Times New Roman"/>
                <w:color w:val="auto"/>
                <w:kern w:val="0"/>
                <w:sz w:val="24"/>
                <w:highlight w:val="none"/>
                <w:lang w:eastAsia="zh-CN" w:bidi="ar"/>
              </w:rPr>
            </w:pPr>
            <w:r>
              <w:rPr>
                <w:rFonts w:hint="default" w:ascii="Times New Roman" w:hAnsi="Times New Roman" w:eastAsia="宋体" w:cs="Times New Roman"/>
                <w:color w:val="auto"/>
                <w:kern w:val="0"/>
                <w:sz w:val="24"/>
                <w:highlight w:val="none"/>
                <w:lang w:bidi="ar"/>
              </w:rPr>
              <w:t>本项目不属于《北京市新增产业的禁止和限制目录（2022年版）》中禁止和限制类中所列的项目</w:t>
            </w:r>
            <w:r>
              <w:rPr>
                <w:rFonts w:hint="default" w:ascii="Times New Roman" w:hAnsi="Times New Roman" w:eastAsia="宋体" w:cs="Times New Roman"/>
                <w:color w:val="auto"/>
                <w:kern w:val="0"/>
                <w:sz w:val="24"/>
                <w:highlight w:val="none"/>
                <w:lang w:eastAsia="zh-CN" w:bidi="ar"/>
              </w:rPr>
              <w:t>。</w:t>
            </w:r>
          </w:p>
          <w:p w14:paraId="0ACE11D9">
            <w:pPr>
              <w:spacing w:line="360" w:lineRule="auto"/>
              <w:ind w:firstLine="480" w:firstLineChars="200"/>
              <w:rPr>
                <w:rFonts w:hint="default"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kern w:val="0"/>
                <w:sz w:val="24"/>
                <w:highlight w:val="none"/>
                <w:lang w:val="en-US" w:eastAsia="zh-CN" w:bidi="ar"/>
              </w:rPr>
              <w:t>本项目</w:t>
            </w:r>
            <w:r>
              <w:rPr>
                <w:rFonts w:hint="eastAsia" w:cs="Times New Roman"/>
                <w:color w:val="auto"/>
                <w:kern w:val="0"/>
                <w:sz w:val="24"/>
                <w:highlight w:val="none"/>
                <w:lang w:val="en-US" w:eastAsia="zh-CN" w:bidi="ar"/>
              </w:rPr>
              <w:t>不属于外商投资项目，</w:t>
            </w:r>
            <w:r>
              <w:rPr>
                <w:rFonts w:hint="default" w:ascii="Times New Roman" w:hAnsi="Times New Roman" w:eastAsia="宋体" w:cs="Times New Roman"/>
                <w:color w:val="auto"/>
                <w:kern w:val="0"/>
                <w:sz w:val="24"/>
                <w:highlight w:val="none"/>
                <w:lang w:val="en-US" w:eastAsia="zh-CN" w:bidi="ar"/>
              </w:rPr>
              <w:t>未列入</w:t>
            </w:r>
            <w:r>
              <w:rPr>
                <w:rFonts w:hint="default" w:ascii="Times New Roman" w:hAnsi="Times New Roman" w:eastAsia="宋体" w:cs="Times New Roman"/>
                <w:color w:val="auto"/>
                <w:kern w:val="0"/>
                <w:sz w:val="24"/>
                <w:highlight w:val="none"/>
                <w:lang w:eastAsia="zh-CN" w:bidi="ar"/>
              </w:rPr>
              <w:t>《外商投资准入特别管理措施（负面清单）（202</w:t>
            </w:r>
            <w:r>
              <w:rPr>
                <w:rFonts w:hint="default" w:ascii="Times New Roman" w:hAnsi="Times New Roman" w:eastAsia="宋体" w:cs="Times New Roman"/>
                <w:color w:val="auto"/>
                <w:kern w:val="0"/>
                <w:sz w:val="24"/>
                <w:highlight w:val="none"/>
                <w:lang w:val="en-US" w:eastAsia="zh-CN" w:bidi="ar"/>
              </w:rPr>
              <w:t>5</w:t>
            </w:r>
            <w:r>
              <w:rPr>
                <w:rFonts w:hint="default" w:ascii="Times New Roman" w:hAnsi="Times New Roman" w:eastAsia="宋体" w:cs="Times New Roman"/>
                <w:color w:val="auto"/>
                <w:kern w:val="0"/>
                <w:sz w:val="24"/>
                <w:highlight w:val="none"/>
                <w:lang w:eastAsia="zh-CN" w:bidi="ar"/>
              </w:rPr>
              <w:t>年版）》</w:t>
            </w:r>
            <w:r>
              <w:rPr>
                <w:rFonts w:hint="default" w:ascii="Times New Roman" w:hAnsi="Times New Roman" w:eastAsia="宋体" w:cs="Times New Roman"/>
                <w:color w:val="auto"/>
                <w:kern w:val="0"/>
                <w:sz w:val="24"/>
                <w:highlight w:val="none"/>
                <w:lang w:val="en-US" w:eastAsia="zh-CN" w:bidi="ar"/>
              </w:rPr>
              <w:t>。</w:t>
            </w:r>
          </w:p>
          <w:p w14:paraId="328B9A70">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val="en-US" w:eastAsia="zh-CN" w:bidi="ar"/>
              </w:rPr>
              <w:t>综上，</w:t>
            </w:r>
            <w:r>
              <w:rPr>
                <w:rFonts w:hint="default" w:ascii="Times New Roman" w:hAnsi="Times New Roman" w:eastAsia="宋体" w:cs="Times New Roman"/>
                <w:color w:val="auto"/>
                <w:kern w:val="0"/>
                <w:sz w:val="24"/>
                <w:highlight w:val="none"/>
                <w:lang w:bidi="ar"/>
              </w:rPr>
              <w:t>本项目符合产业政策</w:t>
            </w:r>
            <w:r>
              <w:rPr>
                <w:rFonts w:hint="default" w:ascii="Times New Roman" w:hAnsi="Times New Roman" w:eastAsia="宋体" w:cs="Times New Roman"/>
                <w:color w:val="auto"/>
                <w:kern w:val="0"/>
                <w:sz w:val="24"/>
                <w:highlight w:val="none"/>
                <w:lang w:val="en-US" w:eastAsia="zh-CN" w:bidi="ar"/>
              </w:rPr>
              <w:t>的要求</w:t>
            </w:r>
            <w:r>
              <w:rPr>
                <w:rFonts w:hint="default" w:ascii="Times New Roman" w:hAnsi="Times New Roman" w:eastAsia="宋体" w:cs="Times New Roman"/>
                <w:color w:val="auto"/>
                <w:kern w:val="0"/>
                <w:sz w:val="24"/>
                <w:highlight w:val="none"/>
                <w:lang w:bidi="ar"/>
              </w:rPr>
              <w:t>。</w:t>
            </w:r>
          </w:p>
          <w:p w14:paraId="30B081A5">
            <w:pPr>
              <w:numPr>
                <w:ilvl w:val="0"/>
                <w:numId w:val="6"/>
              </w:numPr>
              <w:spacing w:line="360" w:lineRule="auto"/>
              <w:ind w:firstLine="482"/>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选址合理性分析</w:t>
            </w:r>
          </w:p>
          <w:p w14:paraId="7E6A714D">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本项目</w:t>
            </w:r>
            <w:r>
              <w:rPr>
                <w:rFonts w:hint="eastAsia" w:ascii="Times New Roman" w:hAnsi="Times New Roman" w:eastAsia="宋体" w:cs="Times New Roman"/>
                <w:color w:val="auto"/>
                <w:kern w:val="0"/>
                <w:sz w:val="24"/>
                <w:highlight w:val="none"/>
                <w:lang w:val="en-US" w:eastAsia="zh-CN" w:bidi="ar"/>
              </w:rPr>
              <w:t>租用</w:t>
            </w:r>
            <w:r>
              <w:rPr>
                <w:rFonts w:hint="default" w:ascii="Times New Roman" w:hAnsi="Times New Roman" w:eastAsia="宋体" w:cs="Times New Roman"/>
                <w:color w:val="auto"/>
                <w:kern w:val="0"/>
                <w:sz w:val="24"/>
                <w:highlight w:val="none"/>
                <w:lang w:bidi="ar"/>
              </w:rPr>
              <w:t>现有房屋现有建筑进行建设，不新建房屋，</w:t>
            </w:r>
            <w:r>
              <w:rPr>
                <w:rFonts w:hint="eastAsia" w:ascii="Times New Roman" w:hAnsi="Times New Roman" w:eastAsia="宋体" w:cs="Times New Roman"/>
                <w:color w:val="auto"/>
                <w:kern w:val="0"/>
                <w:sz w:val="24"/>
                <w:highlight w:val="none"/>
                <w:lang w:val="en-US" w:eastAsia="zh-CN" w:bidi="ar"/>
              </w:rPr>
              <w:t>房屋所有权人：北京中联启能电力科技有限公司，房屋所有权证号：</w:t>
            </w:r>
            <w:r>
              <w:rPr>
                <w:rFonts w:hint="eastAsia" w:cs="Times New Roman"/>
                <w:color w:val="auto"/>
                <w:kern w:val="0"/>
                <w:sz w:val="24"/>
                <w:highlight w:val="none"/>
                <w:lang w:val="en-US" w:eastAsia="zh-CN" w:bidi="ar"/>
              </w:rPr>
              <w:t>“</w:t>
            </w:r>
            <w:r>
              <w:rPr>
                <w:rFonts w:hint="eastAsia" w:ascii="Times New Roman" w:hAnsi="Times New Roman" w:eastAsia="宋体" w:cs="Times New Roman"/>
                <w:color w:val="auto"/>
                <w:kern w:val="0"/>
                <w:sz w:val="24"/>
                <w:highlight w:val="none"/>
                <w:lang w:val="en-US" w:eastAsia="zh-CN" w:bidi="ar"/>
              </w:rPr>
              <w:t>X京 房权证 通 字第-1408639 字号</w:t>
            </w:r>
            <w:r>
              <w:rPr>
                <w:rFonts w:hint="eastAsia"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bidi="ar"/>
              </w:rPr>
              <w:t>，房屋</w:t>
            </w:r>
            <w:r>
              <w:rPr>
                <w:rFonts w:hint="default" w:ascii="Times New Roman" w:hAnsi="Times New Roman" w:eastAsia="宋体" w:cs="Times New Roman"/>
                <w:color w:val="auto"/>
                <w:kern w:val="0"/>
                <w:sz w:val="24"/>
                <w:highlight w:val="none"/>
                <w:lang w:eastAsia="zh-CN" w:bidi="ar"/>
              </w:rPr>
              <w:t>用途</w:t>
            </w:r>
            <w:r>
              <w:rPr>
                <w:rFonts w:hint="default" w:ascii="Times New Roman" w:hAnsi="Times New Roman" w:eastAsia="宋体" w:cs="Times New Roman"/>
                <w:color w:val="auto"/>
                <w:kern w:val="0"/>
                <w:sz w:val="24"/>
                <w:highlight w:val="none"/>
                <w:lang w:bidi="ar"/>
              </w:rPr>
              <w:t>为</w:t>
            </w:r>
            <w:r>
              <w:rPr>
                <w:rFonts w:hint="eastAsia" w:ascii="Times New Roman" w:hAnsi="Times New Roman" w:eastAsia="宋体" w:cs="Times New Roman"/>
                <w:color w:val="auto"/>
                <w:kern w:val="0"/>
                <w:sz w:val="24"/>
                <w:highlight w:val="none"/>
                <w:lang w:val="en-US" w:eastAsia="zh-CN" w:bidi="ar"/>
              </w:rPr>
              <w:t>厂房</w:t>
            </w:r>
            <w:r>
              <w:rPr>
                <w:rFonts w:hint="default" w:ascii="Times New Roman" w:hAnsi="Times New Roman" w:eastAsia="宋体" w:cs="Times New Roman"/>
                <w:color w:val="auto"/>
                <w:kern w:val="0"/>
                <w:sz w:val="24"/>
                <w:highlight w:val="none"/>
                <w:lang w:bidi="ar"/>
              </w:rPr>
              <w:t>，本项目</w:t>
            </w:r>
            <w:r>
              <w:rPr>
                <w:rFonts w:hint="eastAsia" w:ascii="Times New Roman" w:hAnsi="Times New Roman" w:eastAsia="宋体" w:cs="Times New Roman"/>
                <w:color w:val="auto"/>
                <w:kern w:val="0"/>
                <w:sz w:val="24"/>
                <w:highlight w:val="none"/>
                <w:lang w:val="en-US" w:eastAsia="zh-CN" w:bidi="ar"/>
              </w:rPr>
              <w:t>符合房屋规划用途，项目</w:t>
            </w:r>
            <w:r>
              <w:rPr>
                <w:rFonts w:hint="default" w:ascii="Times New Roman" w:hAnsi="Times New Roman" w:eastAsia="宋体" w:cs="Times New Roman"/>
                <w:color w:val="auto"/>
                <w:kern w:val="0"/>
                <w:sz w:val="24"/>
                <w:highlight w:val="none"/>
                <w:lang w:bidi="ar"/>
              </w:rPr>
              <w:t>选址合理可行。</w:t>
            </w:r>
          </w:p>
          <w:p w14:paraId="5489996C">
            <w:pPr>
              <w:numPr>
                <w:ilvl w:val="0"/>
                <w:numId w:val="6"/>
              </w:numPr>
              <w:spacing w:line="360" w:lineRule="auto"/>
              <w:ind w:firstLine="482"/>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与</w:t>
            </w:r>
            <w:r>
              <w:rPr>
                <w:rFonts w:hint="eastAsia" w:cs="Times New Roman"/>
                <w:b/>
                <w:bCs/>
                <w:color w:val="auto"/>
                <w:kern w:val="0"/>
                <w:sz w:val="24"/>
                <w:highlight w:val="none"/>
                <w:lang w:eastAsia="zh-CN" w:bidi="ar"/>
              </w:rPr>
              <w:t>“</w:t>
            </w:r>
            <w:r>
              <w:rPr>
                <w:rFonts w:hint="default" w:ascii="Times New Roman" w:hAnsi="Times New Roman" w:eastAsia="宋体" w:cs="Times New Roman"/>
                <w:b/>
                <w:bCs/>
                <w:color w:val="auto"/>
                <w:kern w:val="0"/>
                <w:sz w:val="24"/>
                <w:highlight w:val="none"/>
                <w:lang w:bidi="ar"/>
              </w:rPr>
              <w:t>三线一单</w:t>
            </w:r>
            <w:r>
              <w:rPr>
                <w:rFonts w:hint="eastAsia" w:cs="Times New Roman"/>
                <w:b/>
                <w:bCs/>
                <w:color w:val="auto"/>
                <w:kern w:val="0"/>
                <w:sz w:val="24"/>
                <w:highlight w:val="none"/>
                <w:lang w:eastAsia="zh-CN" w:bidi="ar"/>
              </w:rPr>
              <w:t>”</w:t>
            </w:r>
            <w:r>
              <w:rPr>
                <w:rFonts w:hint="default" w:ascii="Times New Roman" w:hAnsi="Times New Roman" w:eastAsia="宋体" w:cs="Times New Roman"/>
                <w:b/>
                <w:bCs/>
                <w:color w:val="auto"/>
                <w:kern w:val="0"/>
                <w:sz w:val="24"/>
                <w:highlight w:val="none"/>
                <w:lang w:bidi="ar"/>
              </w:rPr>
              <w:t>符合性分析</w:t>
            </w:r>
          </w:p>
          <w:p w14:paraId="624EC0CB">
            <w:pPr>
              <w:numPr>
                <w:ilvl w:val="0"/>
                <w:numId w:val="7"/>
              </w:numPr>
              <w:spacing w:line="360" w:lineRule="auto"/>
              <w:ind w:firstLine="482" w:firstLineChars="200"/>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生态保护红线符合性分析</w:t>
            </w:r>
          </w:p>
          <w:p w14:paraId="3E9EDE53">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根据《北京市人民政府关于发布北京市生态保护红线的通知》(京政发(2018)18号)，全市生态保护红线包括水源涵养、水土保持和生物多样性维护的生态功能重要区、水土流失生态敏感区以及市级以上禁止开发区域和有必要严格保护的其他各类保护地。</w:t>
            </w:r>
          </w:p>
          <w:p w14:paraId="7EC162B5">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本项目位于</w:t>
            </w:r>
            <w:r>
              <w:rPr>
                <w:rFonts w:hint="eastAsia" w:cs="Times New Roman"/>
                <w:color w:val="auto"/>
                <w:sz w:val="24"/>
                <w:highlight w:val="none"/>
                <w:lang w:val="en-US" w:eastAsia="zh-CN"/>
              </w:rPr>
              <w:t>北京经济技术开发区(通州)环科中路16号23幢1至4层</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kern w:val="0"/>
                <w:sz w:val="24"/>
                <w:highlight w:val="none"/>
                <w:lang w:bidi="ar"/>
              </w:rPr>
              <w:t>本项目所在地不涉及生态保护红线，符合生态保护红线的要求。本项目与北京市生态红线位置关系见</w:t>
            </w:r>
            <w:r>
              <w:rPr>
                <w:rFonts w:hint="default" w:ascii="Times New Roman" w:hAnsi="Times New Roman" w:eastAsia="宋体" w:cs="Times New Roman"/>
                <w:color w:val="auto"/>
                <w:kern w:val="0"/>
                <w:sz w:val="24"/>
                <w:highlight w:val="none"/>
                <w:lang w:val="en-US" w:eastAsia="zh-CN" w:bidi="ar"/>
              </w:rPr>
              <w:t>下图</w:t>
            </w:r>
            <w:r>
              <w:rPr>
                <w:rFonts w:hint="default" w:ascii="Times New Roman" w:hAnsi="Times New Roman" w:eastAsia="宋体" w:cs="Times New Roman"/>
                <w:color w:val="auto"/>
                <w:kern w:val="0"/>
                <w:sz w:val="24"/>
                <w:highlight w:val="none"/>
                <w:lang w:bidi="ar"/>
              </w:rPr>
              <w:t>。</w:t>
            </w:r>
          </w:p>
          <w:p w14:paraId="5BF4A43A">
            <w:pPr>
              <w:spacing w:line="360" w:lineRule="auto"/>
              <w:jc w:val="both"/>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sz w:val="21"/>
              </w:rPr>
              <mc:AlternateContent>
                <mc:Choice Requires="wps">
                  <w:drawing>
                    <wp:anchor distT="0" distB="0" distL="114300" distR="114300" simplePos="0" relativeHeight="251662336" behindDoc="0" locked="0" layoutInCell="1" allowOverlap="1">
                      <wp:simplePos x="0" y="0"/>
                      <wp:positionH relativeFrom="column">
                        <wp:posOffset>2102485</wp:posOffset>
                      </wp:positionH>
                      <wp:positionV relativeFrom="paragraph">
                        <wp:posOffset>2502535</wp:posOffset>
                      </wp:positionV>
                      <wp:extent cx="75565" cy="75565"/>
                      <wp:effectExtent l="6350" t="6350" r="9525" b="9525"/>
                      <wp:wrapNone/>
                      <wp:docPr id="32" name="椭圆 32"/>
                      <wp:cNvGraphicFramePr/>
                      <a:graphic xmlns:a="http://schemas.openxmlformats.org/drawingml/2006/main">
                        <a:graphicData uri="http://schemas.microsoft.com/office/word/2010/wordprocessingShape">
                          <wps:wsp>
                            <wps:cNvSpPr/>
                            <wps:spPr>
                              <a:xfrm>
                                <a:off x="4486910" y="6849745"/>
                                <a:ext cx="75565" cy="75565"/>
                              </a:xfrm>
                              <a:prstGeom prst="ellipse">
                                <a:avLst/>
                              </a:prstGeom>
                              <a:solidFill>
                                <a:srgbClr val="FF0000"/>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5.55pt;margin-top:197.05pt;height:5.95pt;width:5.95pt;z-index:251662336;v-text-anchor:middle;mso-width-relative:page;mso-height-relative:page;" fillcolor="#FF0000" filled="t" stroked="t" coordsize="21600,21600" o:gfxdata="UEsDBAoAAAAAAIdO4kAAAAAAAAAAAAAAAAAEAAAAZHJzL1BLAwQUAAAACACHTuJA+pjvIdgAAAAL&#10;AQAADwAAAGRycy9kb3ducmV2LnhtbE2PwU7DMBBE70j8g7WVuFE7JKpoiFOhSr3AiYAQRyde7Kix&#10;HcVOm/w9ywluM9qn2ZnqsLiBXXCKffASsq0Ahr4LuvdGwsf76f4RWEzKazUEjxJWjHCob28qVepw&#10;9W94aZJhFOJjqSTYlMaS89hZdCpuw4iebt9hciqRnQzXk7pSuBv4gxA77lTv6YNVIx4tdudmdhKa&#10;7NOa9eTal3VsjvPyavZf+Czl3SYTT8ASLukPht/6VB1q6tSG2evIBgl5nmWEktgXJIjIi5zWtRIK&#10;sRPA64r/31D/AFBLAwQUAAAACACHTuJAw0RppY8CAAAkBQAADgAAAGRycy9lMm9Eb2MueG1srVTN&#10;bhMxEL4j8Q6W73STkE3SqJsqNAQhFVqpIM6O15u15D9s56c8AE/BkSuPBc/B591tk7YceiAHZ+yZ&#10;/cbfNzM+O99rRbbCB2lNQfsnPUqE4baUZl3Qz5+WryaUhMhMyZQ1oqC3ItDz2csXZzs3FQNbW1UK&#10;TwBiwnTnClrH6KZZFngtNAsn1gkDZ2W9ZhFbv85Kz3ZA1yob9HqjbGd96bzlIgScLlon7RD9cwBt&#10;VUkuFpZvtDCxRfVCsQhKoZYu0Flz26oSPF5VVRCRqIKCaWxWJIG9Sms2O2PTtWeulry7AnvOFR5x&#10;0kwaJL2HWrDIyMbLJ1Bacm+DreIJtzpriTSKgEW/90ibm5o50XCB1MHdix7+Hyz/uL32RJYFfT2g&#10;xDCNiv/5+ev3j+8EB1Bn58IUQTfu2ne7ADNR3Vdep3+QIPuCDoeT0Wkfut4WdDQZno6Heauu2EfC&#10;ETDO81FOCYe/NYGXHWCcD/GdsJoko6BCKRQysWdTtr0MsY2+i0rHwSpZLqVSzcavVxfKky1DpZfL&#10;Hn4pPRI8CFOG7ND1gzHchDP0b4W+gakdNAhmTQlTawwGj77J/eDrcJxk8Hacvxk1QWqjP9iyzT3O&#10;j1K38U+vkWgsWKjbT5ocrVhaRkyXkrqgk8ThjoQyAEm1aNVP1sqWt6idt21TB8eXErCXLMRr5tHF&#10;YIg5j1dYKmVB23YWJbX13/51nuLRXPBSssNUQJKvG+YFJeq9Qdud9odDwMZmM8zHA2z8sWd17DEb&#10;fWFRjj5eFMcbM8VHdWdW3uoveA7mKStczHDkbsXvNhexnVY8KFzM500YRsexeGluHE/gqfzGzjfR&#10;VrJpk4M6nWgYnqYG3aCn6TzeN1GHx232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PqY7yHYAAAA&#10;CwEAAA8AAAAAAAAAAQAgAAAAIgAAAGRycy9kb3ducmV2LnhtbFBLAQIUABQAAAAIAIdO4kDDRGml&#10;jwIAACQFAAAOAAAAAAAAAAEAIAAAACcBAABkcnMvZTJvRG9jLnhtbFBLBQYAAAAABgAGAFkBAAAo&#10;BgAAAAA=&#10;">
                      <v:fill on="t" focussize="0,0"/>
                      <v:stroke weight="1pt" color="#2E75B6 [2404]" miterlimit="8" joinstyle="miter"/>
                      <v:imagedata o:title=""/>
                      <o:lock v:ext="edit" aspectratio="f"/>
                    </v:shape>
                  </w:pict>
                </mc:Fallback>
              </mc:AlternateContent>
            </w:r>
            <w:r>
              <w:drawing>
                <wp:inline distT="0" distB="0" distL="114300" distR="114300">
                  <wp:extent cx="4142105" cy="3750310"/>
                  <wp:effectExtent l="0" t="0" r="3175" b="13970"/>
                  <wp:docPr id="1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8"/>
                          <pic:cNvPicPr>
                            <a:picLocks noChangeAspect="1"/>
                          </pic:cNvPicPr>
                        </pic:nvPicPr>
                        <pic:blipFill>
                          <a:blip r:embed="rId9"/>
                          <a:stretch>
                            <a:fillRect/>
                          </a:stretch>
                        </pic:blipFill>
                        <pic:spPr>
                          <a:xfrm>
                            <a:off x="0" y="0"/>
                            <a:ext cx="4142105" cy="3750310"/>
                          </a:xfrm>
                          <a:prstGeom prst="rect">
                            <a:avLst/>
                          </a:prstGeom>
                          <a:noFill/>
                          <a:ln>
                            <a:noFill/>
                          </a:ln>
                        </pic:spPr>
                      </pic:pic>
                    </a:graphicData>
                  </a:graphic>
                </wp:inline>
              </w:drawing>
            </w:r>
          </w:p>
          <w:p w14:paraId="534D3A2F">
            <w:pPr>
              <w:widowControl/>
              <w:numPr>
                <w:ilvl w:val="0"/>
                <w:numId w:val="3"/>
              </w:numPr>
              <w:spacing w:line="360" w:lineRule="auto"/>
              <w:ind w:left="425" w:leftChars="0" w:hanging="425" w:firstLineChars="0"/>
              <w:jc w:val="center"/>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b/>
                <w:bCs/>
                <w:color w:val="auto"/>
                <w:kern w:val="0"/>
                <w:sz w:val="24"/>
                <w:highlight w:val="none"/>
                <w:lang w:bidi="ar"/>
              </w:rPr>
              <w:t>本项目与北京市生态保护红线位置关系图</w:t>
            </w:r>
          </w:p>
          <w:p w14:paraId="54BDF33E">
            <w:pPr>
              <w:numPr>
                <w:ilvl w:val="0"/>
                <w:numId w:val="7"/>
              </w:numPr>
              <w:spacing w:line="360" w:lineRule="auto"/>
              <w:ind w:firstLine="482" w:firstLineChars="200"/>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环境质量底线符合性分析</w:t>
            </w:r>
          </w:p>
          <w:p w14:paraId="16296705">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根据北京市生态环境局发布的《2024年北京市生态环境状况公报》(2025年5月9日发布)，2024年北京经济技术开发区各污染物浓度均达到《环境空气质量标准》(GB3095-2012)限值要求，北京市</w:t>
            </w:r>
            <w:r>
              <w:rPr>
                <w:rFonts w:hint="eastAsia" w:ascii="Times New Roman" w:hAnsi="Times New Roman" w:eastAsia="宋体" w:cs="Times New Roman"/>
                <w:color w:val="auto"/>
                <w:kern w:val="0"/>
                <w:sz w:val="24"/>
                <w:highlight w:val="none"/>
                <w:lang w:val="en-US" w:eastAsia="zh-CN" w:bidi="ar"/>
              </w:rPr>
              <w:t>O</w:t>
            </w:r>
            <w:r>
              <w:rPr>
                <w:rFonts w:hint="default" w:ascii="Times New Roman" w:hAnsi="Times New Roman" w:eastAsia="宋体" w:cs="Times New Roman"/>
                <w:color w:val="auto"/>
                <w:kern w:val="0"/>
                <w:sz w:val="24"/>
                <w:highlight w:val="none"/>
                <w:vertAlign w:val="subscript"/>
                <w:lang w:val="en-US" w:eastAsia="zh-CN" w:bidi="ar"/>
              </w:rPr>
              <w:t>3</w:t>
            </w:r>
            <w:r>
              <w:rPr>
                <w:rFonts w:hint="default" w:ascii="Times New Roman" w:hAnsi="Times New Roman" w:eastAsia="宋体" w:cs="Times New Roman"/>
                <w:color w:val="auto"/>
                <w:kern w:val="0"/>
                <w:sz w:val="24"/>
                <w:highlight w:val="none"/>
                <w:lang w:bidi="ar"/>
              </w:rPr>
              <w:t>日最大8小时平均浓度未能达到《环境空气质量标准》(GB3095-2012)限值要求，其他污染物现状浓度达到上述标准要求，判定项目</w:t>
            </w:r>
            <w:r>
              <w:rPr>
                <w:rFonts w:hint="eastAsia" w:cs="Times New Roman"/>
                <w:color w:val="auto"/>
                <w:kern w:val="0"/>
                <w:sz w:val="24"/>
                <w:highlight w:val="none"/>
                <w:lang w:val="en-US" w:eastAsia="zh-CN" w:bidi="ar"/>
              </w:rPr>
              <w:t>所在区</w:t>
            </w:r>
            <w:r>
              <w:rPr>
                <w:rFonts w:hint="default" w:ascii="Times New Roman" w:hAnsi="Times New Roman" w:eastAsia="宋体" w:cs="Times New Roman"/>
                <w:color w:val="auto"/>
                <w:kern w:val="0"/>
                <w:sz w:val="24"/>
                <w:highlight w:val="none"/>
                <w:lang w:bidi="ar"/>
              </w:rPr>
              <w:t>为环境空气质量不达标区。本项目</w:t>
            </w:r>
            <w:r>
              <w:rPr>
                <w:rFonts w:hint="eastAsia" w:cs="Times New Roman"/>
                <w:color w:val="auto"/>
                <w:kern w:val="0"/>
                <w:sz w:val="24"/>
                <w:highlight w:val="none"/>
                <w:lang w:val="en-US" w:eastAsia="zh-CN" w:bidi="ar"/>
              </w:rPr>
              <w:t>根据不同过程废气类别分别采用万向罩、通风橱收集，并经活性炭吸附可行性</w:t>
            </w:r>
            <w:r>
              <w:rPr>
                <w:rFonts w:hint="default" w:ascii="Times New Roman" w:hAnsi="Times New Roman" w:eastAsia="宋体" w:cs="Times New Roman"/>
                <w:color w:val="auto"/>
                <w:kern w:val="0"/>
                <w:sz w:val="24"/>
                <w:highlight w:val="none"/>
                <w:lang w:val="en-US" w:eastAsia="zh-CN" w:bidi="ar"/>
              </w:rPr>
              <w:t>措施</w:t>
            </w:r>
            <w:r>
              <w:rPr>
                <w:rFonts w:hint="eastAsia" w:cs="Times New Roman"/>
                <w:color w:val="auto"/>
                <w:kern w:val="0"/>
                <w:sz w:val="24"/>
                <w:highlight w:val="none"/>
                <w:lang w:val="en-US" w:eastAsia="zh-CN" w:bidi="ar"/>
              </w:rPr>
              <w:t>治理</w:t>
            </w:r>
            <w:r>
              <w:rPr>
                <w:rFonts w:hint="default" w:ascii="Times New Roman" w:hAnsi="Times New Roman" w:eastAsia="宋体" w:cs="Times New Roman"/>
                <w:color w:val="auto"/>
                <w:kern w:val="0"/>
                <w:sz w:val="24"/>
                <w:highlight w:val="none"/>
                <w:lang w:val="en-US" w:eastAsia="zh-CN" w:bidi="ar"/>
              </w:rPr>
              <w:t>，满足</w:t>
            </w:r>
            <w:r>
              <w:rPr>
                <w:rFonts w:hint="eastAsia" w:cs="Times New Roman"/>
                <w:color w:val="auto"/>
                <w:kern w:val="0"/>
                <w:sz w:val="24"/>
                <w:highlight w:val="none"/>
                <w:lang w:val="en-US" w:eastAsia="zh-CN" w:bidi="ar"/>
              </w:rPr>
              <w:t>达标</w:t>
            </w:r>
            <w:r>
              <w:rPr>
                <w:rFonts w:hint="default" w:ascii="Times New Roman" w:hAnsi="Times New Roman" w:eastAsia="宋体" w:cs="Times New Roman"/>
                <w:color w:val="auto"/>
                <w:kern w:val="0"/>
                <w:sz w:val="24"/>
                <w:highlight w:val="none"/>
                <w:lang w:val="en-US" w:eastAsia="zh-CN" w:bidi="ar"/>
              </w:rPr>
              <w:t>排放要求</w:t>
            </w:r>
            <w:r>
              <w:rPr>
                <w:rFonts w:hint="default" w:ascii="Times New Roman" w:hAnsi="Times New Roman" w:eastAsia="宋体" w:cs="Times New Roman"/>
                <w:color w:val="auto"/>
                <w:kern w:val="0"/>
                <w:sz w:val="24"/>
                <w:highlight w:val="none"/>
                <w:lang w:bidi="ar"/>
              </w:rPr>
              <w:t>。随着北京市大气污染治理的措施的逐步实施，环境空气质量持续改善</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本项目的实施不会突破大气环境质量底线。</w:t>
            </w:r>
          </w:p>
          <w:p w14:paraId="4D61E7F5">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项目所在地附近地表水体为</w:t>
            </w:r>
            <w:r>
              <w:rPr>
                <w:rFonts w:hint="eastAsia" w:cs="Times New Roman"/>
                <w:color w:val="auto"/>
                <w:kern w:val="0"/>
                <w:sz w:val="24"/>
                <w:highlight w:val="none"/>
                <w:lang w:val="en-US" w:eastAsia="zh-CN" w:bidi="ar"/>
              </w:rPr>
              <w:t>西北侧的</w:t>
            </w:r>
            <w:r>
              <w:rPr>
                <w:rFonts w:hint="eastAsia" w:cs="Times New Roman"/>
                <w:color w:val="auto"/>
                <w:sz w:val="24"/>
                <w:szCs w:val="24"/>
                <w:lang w:val="en-US" w:eastAsia="zh-CN"/>
              </w:rPr>
              <w:t xml:space="preserve">2.85 </w:t>
            </w:r>
            <w:r>
              <w:rPr>
                <w:rFonts w:ascii="宋体" w:hAnsi="宋体" w:eastAsia="宋体" w:cs="宋体"/>
                <w:color w:val="auto"/>
                <w:sz w:val="24"/>
                <w:szCs w:val="24"/>
              </w:rPr>
              <w:t>km处的</w:t>
            </w:r>
            <w:r>
              <w:rPr>
                <w:rFonts w:hint="eastAsia" w:ascii="宋体" w:hAnsi="宋体" w:cs="宋体"/>
                <w:color w:val="auto"/>
                <w:sz w:val="24"/>
                <w:szCs w:val="24"/>
                <w:lang w:eastAsia="zh-CN"/>
              </w:rPr>
              <w:t>凤港减河</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kern w:val="0"/>
                <w:sz w:val="24"/>
                <w:highlight w:val="none"/>
                <w:lang w:bidi="ar"/>
              </w:rPr>
              <w:t>根据北京市五大水系各河流、水库水体功能划分与水质分类，</w:t>
            </w:r>
            <w:r>
              <w:rPr>
                <w:rFonts w:hint="eastAsia" w:ascii="宋体" w:hAnsi="宋体" w:cs="宋体"/>
                <w:color w:val="auto"/>
                <w:sz w:val="24"/>
                <w:szCs w:val="24"/>
                <w:lang w:eastAsia="zh-CN"/>
              </w:rPr>
              <w:t>凤港减河</w:t>
            </w:r>
            <w:r>
              <w:rPr>
                <w:rFonts w:hint="default" w:ascii="Times New Roman" w:hAnsi="Times New Roman" w:eastAsia="宋体" w:cs="Times New Roman"/>
                <w:color w:val="auto"/>
                <w:kern w:val="0"/>
                <w:sz w:val="24"/>
                <w:highlight w:val="none"/>
                <w:lang w:bidi="ar"/>
              </w:rPr>
              <w:t>水体功能为Ⅴ类。根据北京市生态环境局网站公布的</w:t>
            </w:r>
            <w:r>
              <w:rPr>
                <w:rFonts w:hint="default" w:ascii="Times New Roman" w:hAnsi="Times New Roman" w:eastAsia="宋体" w:cs="Times New Roman"/>
                <w:color w:val="auto"/>
                <w:kern w:val="0"/>
                <w:sz w:val="24"/>
                <w:highlight w:val="none"/>
                <w:lang w:val="en-US" w:eastAsia="zh-CN" w:bidi="ar"/>
              </w:rPr>
              <w:t>近一</w:t>
            </w:r>
            <w:r>
              <w:rPr>
                <w:rFonts w:hint="default" w:ascii="Times New Roman" w:hAnsi="Times New Roman" w:eastAsia="宋体" w:cs="Times New Roman"/>
                <w:color w:val="auto"/>
                <w:kern w:val="0"/>
                <w:sz w:val="24"/>
                <w:highlight w:val="none"/>
                <w:lang w:bidi="ar"/>
              </w:rPr>
              <w:t>年河流水质状况，</w:t>
            </w:r>
            <w:r>
              <w:rPr>
                <w:rFonts w:hint="eastAsia" w:ascii="宋体" w:hAnsi="宋体" w:cs="宋体"/>
                <w:color w:val="auto"/>
                <w:sz w:val="24"/>
                <w:szCs w:val="24"/>
                <w:lang w:eastAsia="zh-CN"/>
              </w:rPr>
              <w:t>凤港减河</w:t>
            </w:r>
            <w:r>
              <w:rPr>
                <w:rFonts w:hint="default" w:ascii="Times New Roman" w:hAnsi="Times New Roman" w:eastAsia="宋体" w:cs="Times New Roman"/>
                <w:color w:val="auto"/>
                <w:kern w:val="0"/>
                <w:sz w:val="24"/>
                <w:highlight w:val="none"/>
                <w:lang w:bidi="ar"/>
              </w:rPr>
              <w:t>现状水质均能够达到《地表水环境质量标准》（GB3838-2002）中Ⅴ类标准限值。</w:t>
            </w:r>
            <w:r>
              <w:rPr>
                <w:rFonts w:hint="default" w:ascii="Times New Roman" w:hAnsi="Times New Roman" w:eastAsia="宋体" w:cs="Times New Roman"/>
                <w:color w:val="auto"/>
                <w:kern w:val="0"/>
                <w:sz w:val="24"/>
                <w:highlight w:val="none"/>
                <w:lang w:eastAsia="zh-CN" w:bidi="ar"/>
              </w:rPr>
              <w:t>项目废水</w:t>
            </w:r>
            <w:r>
              <w:rPr>
                <w:rFonts w:hint="default" w:ascii="Times New Roman" w:hAnsi="Times New Roman" w:eastAsia="宋体" w:cs="Times New Roman"/>
                <w:color w:val="auto"/>
                <w:kern w:val="0"/>
                <w:sz w:val="24"/>
                <w:highlight w:val="none"/>
                <w:lang w:val="en-US" w:eastAsia="zh-CN" w:bidi="ar"/>
              </w:rPr>
              <w:t>包括生活污水、纯水制备废水、</w:t>
            </w:r>
            <w:r>
              <w:rPr>
                <w:rFonts w:hint="eastAsia" w:cs="Times New Roman"/>
                <w:color w:val="auto"/>
                <w:kern w:val="0"/>
                <w:sz w:val="24"/>
                <w:highlight w:val="none"/>
                <w:lang w:val="en-US" w:eastAsia="zh-CN" w:bidi="ar"/>
              </w:rPr>
              <w:t>高压蒸汽灭菌废水、容器第三遍及以后</w:t>
            </w:r>
            <w:r>
              <w:rPr>
                <w:rFonts w:hint="default" w:ascii="Times New Roman" w:hAnsi="Times New Roman" w:eastAsia="宋体" w:cs="Times New Roman"/>
                <w:color w:val="auto"/>
                <w:kern w:val="0"/>
                <w:sz w:val="24"/>
                <w:highlight w:val="none"/>
                <w:lang w:val="en-US" w:eastAsia="zh-CN" w:bidi="ar"/>
              </w:rPr>
              <w:t>清洗废水，</w:t>
            </w:r>
            <w:r>
              <w:rPr>
                <w:rFonts w:hint="eastAsia" w:cs="Times New Roman"/>
                <w:color w:val="auto"/>
                <w:kern w:val="0"/>
                <w:sz w:val="24"/>
                <w:highlight w:val="none"/>
                <w:lang w:val="en-US" w:eastAsia="zh-CN" w:bidi="ar"/>
              </w:rPr>
              <w:t>容器第三遍及以后</w:t>
            </w:r>
            <w:r>
              <w:rPr>
                <w:rFonts w:hint="default" w:ascii="Times New Roman" w:hAnsi="Times New Roman" w:eastAsia="宋体" w:cs="Times New Roman"/>
                <w:color w:val="auto"/>
                <w:kern w:val="0"/>
                <w:sz w:val="24"/>
                <w:highlight w:val="none"/>
                <w:lang w:val="en-US" w:eastAsia="zh-CN" w:bidi="ar"/>
              </w:rPr>
              <w:t>清洗废水经</w:t>
            </w:r>
            <w:r>
              <w:rPr>
                <w:rFonts w:hint="eastAsia" w:cs="Times New Roman"/>
                <w:color w:val="auto"/>
                <w:kern w:val="0"/>
                <w:sz w:val="24"/>
                <w:highlight w:val="none"/>
                <w:lang w:val="en-US" w:eastAsia="zh-CN" w:bidi="ar"/>
              </w:rPr>
              <w:t>废水处理设备处理后，与生活污水、纯水制备废水、高压蒸汽灭菌废水一起进</w:t>
            </w:r>
            <w:r>
              <w:rPr>
                <w:rFonts w:hint="default" w:cs="Times New Roman"/>
                <w:color w:val="auto"/>
                <w:kern w:val="0"/>
                <w:sz w:val="24"/>
                <w:highlight w:val="none"/>
                <w:lang w:val="en-US" w:eastAsia="zh-CN" w:bidi="ar"/>
              </w:rPr>
              <w:t>园区化粪池处理</w:t>
            </w:r>
            <w:r>
              <w:rPr>
                <w:rFonts w:hint="eastAsia" w:cs="Times New Roman"/>
                <w:color w:val="auto"/>
                <w:kern w:val="0"/>
                <w:sz w:val="24"/>
                <w:highlight w:val="none"/>
                <w:lang w:val="en-US" w:eastAsia="zh-CN" w:bidi="ar"/>
              </w:rPr>
              <w:t>，最后通过</w:t>
            </w:r>
            <w:r>
              <w:rPr>
                <w:rFonts w:hint="default" w:cs="Times New Roman"/>
                <w:color w:val="auto"/>
                <w:kern w:val="0"/>
                <w:sz w:val="24"/>
                <w:highlight w:val="none"/>
                <w:lang w:val="en-US" w:eastAsia="zh-CN" w:bidi="ar"/>
              </w:rPr>
              <w:t>市政管网排入</w:t>
            </w:r>
            <w:r>
              <w:rPr>
                <w:rFonts w:hint="eastAsia" w:cs="Times New Roman"/>
                <w:color w:val="auto"/>
                <w:kern w:val="0"/>
                <w:sz w:val="24"/>
                <w:highlight w:val="none"/>
                <w:lang w:val="en-US" w:eastAsia="zh-CN" w:bidi="ar"/>
              </w:rPr>
              <w:t>北京新城禹潞环保科技有限责任公司—金桥基地第一污水处理厂</w:t>
            </w:r>
            <w:r>
              <w:rPr>
                <w:rFonts w:hint="default" w:cs="Times New Roman"/>
                <w:color w:val="auto"/>
                <w:kern w:val="0"/>
                <w:sz w:val="24"/>
                <w:highlight w:val="none"/>
                <w:lang w:val="en-US" w:eastAsia="zh-CN" w:bidi="ar"/>
              </w:rPr>
              <w:t>处理，不直接排入地表水体，不会突破</w:t>
            </w:r>
            <w:r>
              <w:rPr>
                <w:rFonts w:hint="default" w:ascii="Times New Roman" w:hAnsi="Times New Roman" w:eastAsia="宋体" w:cs="Times New Roman"/>
                <w:color w:val="auto"/>
                <w:kern w:val="0"/>
                <w:sz w:val="24"/>
                <w:highlight w:val="none"/>
                <w:lang w:bidi="ar"/>
              </w:rPr>
              <w:t>水环境质量底线。</w:t>
            </w:r>
          </w:p>
          <w:p w14:paraId="400C843C">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本项目</w:t>
            </w:r>
            <w:r>
              <w:rPr>
                <w:rFonts w:hint="default" w:ascii="Times New Roman" w:hAnsi="Times New Roman" w:eastAsia="宋体" w:cs="Times New Roman"/>
                <w:color w:val="auto"/>
                <w:kern w:val="0"/>
                <w:sz w:val="24"/>
                <w:highlight w:val="none"/>
                <w:lang w:eastAsia="zh-CN" w:bidi="ar"/>
              </w:rPr>
              <w:t>实验</w:t>
            </w:r>
            <w:r>
              <w:rPr>
                <w:rFonts w:hint="default" w:ascii="Times New Roman" w:hAnsi="Times New Roman" w:eastAsia="宋体" w:cs="Times New Roman"/>
                <w:color w:val="auto"/>
                <w:kern w:val="0"/>
                <w:sz w:val="24"/>
                <w:highlight w:val="none"/>
                <w:lang w:bidi="ar"/>
              </w:rPr>
              <w:t>设备均为低噪声设备，且采取了</w:t>
            </w:r>
            <w:r>
              <w:rPr>
                <w:rFonts w:hint="eastAsia" w:cs="Times New Roman"/>
                <w:color w:val="auto"/>
                <w:kern w:val="0"/>
                <w:sz w:val="24"/>
                <w:highlight w:val="none"/>
                <w:lang w:val="en-US" w:eastAsia="zh-CN" w:bidi="ar"/>
              </w:rPr>
              <w:t>减震、</w:t>
            </w:r>
            <w:r>
              <w:rPr>
                <w:rFonts w:hint="default" w:ascii="Times New Roman" w:hAnsi="Times New Roman" w:eastAsia="宋体" w:cs="Times New Roman"/>
                <w:color w:val="auto"/>
                <w:kern w:val="0"/>
                <w:sz w:val="24"/>
                <w:highlight w:val="none"/>
                <w:lang w:bidi="ar"/>
              </w:rPr>
              <w:t>隔声</w:t>
            </w:r>
            <w:r>
              <w:rPr>
                <w:rFonts w:hint="eastAsia" w:cs="Times New Roman"/>
                <w:color w:val="auto"/>
                <w:kern w:val="0"/>
                <w:sz w:val="24"/>
                <w:highlight w:val="none"/>
                <w:lang w:val="en-US" w:eastAsia="zh-CN" w:bidi="ar"/>
              </w:rPr>
              <w:t>等</w:t>
            </w:r>
            <w:r>
              <w:rPr>
                <w:rFonts w:hint="default" w:ascii="Times New Roman" w:hAnsi="Times New Roman" w:eastAsia="宋体" w:cs="Times New Roman"/>
                <w:color w:val="auto"/>
                <w:kern w:val="0"/>
                <w:sz w:val="24"/>
                <w:highlight w:val="none"/>
                <w:lang w:bidi="ar"/>
              </w:rPr>
              <w:t>措施，厂界噪声</w:t>
            </w:r>
            <w:r>
              <w:rPr>
                <w:rFonts w:hint="eastAsia" w:cs="Times New Roman"/>
                <w:color w:val="auto"/>
                <w:kern w:val="0"/>
                <w:sz w:val="24"/>
                <w:highlight w:val="none"/>
                <w:lang w:val="en-US" w:eastAsia="zh-CN" w:bidi="ar"/>
              </w:rPr>
              <w:t>预测值</w:t>
            </w:r>
            <w:r>
              <w:rPr>
                <w:rFonts w:hint="default" w:ascii="Times New Roman" w:hAnsi="Times New Roman" w:eastAsia="宋体" w:cs="Times New Roman"/>
                <w:color w:val="auto"/>
                <w:kern w:val="0"/>
                <w:sz w:val="24"/>
                <w:highlight w:val="none"/>
                <w:lang w:bidi="ar"/>
              </w:rPr>
              <w:t>达标，不会突破声环境质量底线。</w:t>
            </w:r>
          </w:p>
          <w:p w14:paraId="3B39D0A8">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项目产生的</w:t>
            </w:r>
            <w:r>
              <w:rPr>
                <w:rFonts w:hint="default" w:ascii="Times New Roman" w:hAnsi="Times New Roman" w:eastAsia="宋体" w:cs="Times New Roman"/>
                <w:color w:val="auto"/>
                <w:kern w:val="0"/>
                <w:sz w:val="24"/>
                <w:highlight w:val="none"/>
                <w:lang w:val="en-US" w:eastAsia="zh-CN" w:bidi="ar"/>
              </w:rPr>
              <w:t>固体废物分类收集，建设规范的</w:t>
            </w:r>
            <w:r>
              <w:rPr>
                <w:rFonts w:hint="eastAsia" w:cs="Times New Roman"/>
                <w:color w:val="auto"/>
                <w:kern w:val="0"/>
                <w:sz w:val="24"/>
                <w:highlight w:val="none"/>
                <w:lang w:val="en-US" w:eastAsia="zh-CN" w:bidi="ar"/>
              </w:rPr>
              <w:t>固体废物</w:t>
            </w:r>
            <w:r>
              <w:rPr>
                <w:rFonts w:hint="default" w:ascii="Times New Roman" w:hAnsi="Times New Roman" w:eastAsia="宋体" w:cs="Times New Roman"/>
                <w:color w:val="auto"/>
                <w:kern w:val="0"/>
                <w:sz w:val="24"/>
                <w:highlight w:val="none"/>
                <w:lang w:val="en-US" w:eastAsia="zh-CN" w:bidi="ar"/>
              </w:rPr>
              <w:t>暂存间，所有固体废物</w:t>
            </w:r>
            <w:r>
              <w:rPr>
                <w:rFonts w:hint="default" w:ascii="Times New Roman" w:hAnsi="Times New Roman" w:eastAsia="宋体" w:cs="Times New Roman"/>
                <w:color w:val="auto"/>
                <w:kern w:val="0"/>
                <w:sz w:val="24"/>
                <w:highlight w:val="none"/>
                <w:lang w:bidi="ar"/>
              </w:rPr>
              <w:t>定期委托有资质的单位处置。</w:t>
            </w:r>
          </w:p>
          <w:p w14:paraId="0E84F6F5">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val="en-US" w:eastAsia="zh-CN" w:bidi="ar"/>
              </w:rPr>
              <w:t>项目运营期废气、废水、噪声等达标排放，</w:t>
            </w:r>
            <w:r>
              <w:rPr>
                <w:rFonts w:hint="eastAsia" w:cs="Times New Roman"/>
                <w:color w:val="auto"/>
                <w:kern w:val="0"/>
                <w:sz w:val="24"/>
                <w:highlight w:val="none"/>
                <w:lang w:val="en-US" w:eastAsia="zh-CN" w:bidi="ar"/>
              </w:rPr>
              <w:t>固体废物</w:t>
            </w:r>
            <w:r>
              <w:rPr>
                <w:rFonts w:hint="default" w:ascii="Times New Roman" w:hAnsi="Times New Roman" w:eastAsia="宋体" w:cs="Times New Roman"/>
                <w:color w:val="auto"/>
                <w:kern w:val="0"/>
                <w:sz w:val="24"/>
                <w:highlight w:val="none"/>
                <w:lang w:val="en-US" w:eastAsia="zh-CN" w:bidi="ar"/>
              </w:rPr>
              <w:t>合理处置，不会突破环境质量底线。</w:t>
            </w:r>
          </w:p>
          <w:p w14:paraId="34069539">
            <w:pPr>
              <w:numPr>
                <w:ilvl w:val="0"/>
                <w:numId w:val="7"/>
              </w:numPr>
              <w:spacing w:line="360" w:lineRule="auto"/>
              <w:ind w:firstLine="482" w:firstLineChars="200"/>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资源利用上线符合性分析</w:t>
            </w:r>
          </w:p>
          <w:p w14:paraId="7B977D87">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本项目用水来自自来水管网，用水量较少，水源充足；项目用电由市政电网引入，能够满足本项目用电需求；项目不新增用地，租用现有厂房，用地符合规划要求。因此项目资源利用情况不会突破区域资源利用上线，符合资源利用上线的要求。</w:t>
            </w:r>
          </w:p>
          <w:p w14:paraId="7DB78B5E">
            <w:pPr>
              <w:numPr>
                <w:ilvl w:val="0"/>
                <w:numId w:val="7"/>
              </w:numPr>
              <w:spacing w:line="360" w:lineRule="auto"/>
              <w:ind w:firstLine="482" w:firstLineChars="200"/>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环境准入负面清单</w:t>
            </w:r>
          </w:p>
          <w:p w14:paraId="68EA28BF">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根据《关于北京市生态环境分区管控(</w:t>
            </w:r>
            <w:r>
              <w:rPr>
                <w:rFonts w:hint="eastAsia"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三线一单</w:t>
            </w:r>
            <w:r>
              <w:rPr>
                <w:rFonts w:hint="eastAsia"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)的实施意见》，北京市生态环境管控分为优先保护单元、重点管控单元和一般管控单元三类区域。</w:t>
            </w:r>
          </w:p>
          <w:p w14:paraId="61F99195">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2024年12月25日，北京市生态环境局发布了《北京市生态环境局关于生态环境分区管控动态更新成果的通告》(通告(2024)33号)，发布了北京市生态环境分区管控动态更新成果，根据该成果，本项目位于重点管控单元，本项目在《北京市生态环境管控分区图》中的位置示意图见</w:t>
            </w:r>
            <w:r>
              <w:rPr>
                <w:rFonts w:hint="default" w:ascii="Times New Roman" w:hAnsi="Times New Roman" w:eastAsia="宋体" w:cs="Times New Roman"/>
                <w:color w:val="auto"/>
                <w:kern w:val="0"/>
                <w:sz w:val="24"/>
                <w:highlight w:val="none"/>
                <w:lang w:val="en-US" w:eastAsia="zh-CN" w:bidi="ar"/>
              </w:rPr>
              <w:t>下</w:t>
            </w:r>
            <w:r>
              <w:rPr>
                <w:rFonts w:hint="default" w:ascii="Times New Roman" w:hAnsi="Times New Roman" w:eastAsia="宋体" w:cs="Times New Roman"/>
                <w:color w:val="auto"/>
                <w:kern w:val="0"/>
                <w:sz w:val="24"/>
                <w:highlight w:val="none"/>
                <w:lang w:bidi="ar"/>
              </w:rPr>
              <w:t>图。</w:t>
            </w:r>
          </w:p>
          <w:p w14:paraId="6C5ECFA7">
            <w:pPr>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1"/>
              </w:rPr>
              <mc:AlternateContent>
                <mc:Choice Requires="wps">
                  <w:drawing>
                    <wp:anchor distT="0" distB="0" distL="114300" distR="114300" simplePos="0" relativeHeight="251664384" behindDoc="0" locked="0" layoutInCell="1" allowOverlap="1">
                      <wp:simplePos x="0" y="0"/>
                      <wp:positionH relativeFrom="column">
                        <wp:posOffset>2040255</wp:posOffset>
                      </wp:positionH>
                      <wp:positionV relativeFrom="paragraph">
                        <wp:posOffset>2473960</wp:posOffset>
                      </wp:positionV>
                      <wp:extent cx="75565" cy="75565"/>
                      <wp:effectExtent l="6350" t="6350" r="9525" b="9525"/>
                      <wp:wrapNone/>
                      <wp:docPr id="15" name="椭圆 15"/>
                      <wp:cNvGraphicFramePr/>
                      <a:graphic xmlns:a="http://schemas.openxmlformats.org/drawingml/2006/main">
                        <a:graphicData uri="http://schemas.microsoft.com/office/word/2010/wordprocessingShape">
                          <wps:wsp>
                            <wps:cNvSpPr/>
                            <wps:spPr>
                              <a:xfrm>
                                <a:off x="4424680" y="5042535"/>
                                <a:ext cx="75565" cy="75565"/>
                              </a:xfrm>
                              <a:prstGeom prst="ellipse">
                                <a:avLst/>
                              </a:prstGeom>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0.65pt;margin-top:194.8pt;height:5.95pt;width:5.95pt;z-index:251664384;v-text-anchor:middle;mso-width-relative:page;mso-height-relative:page;" fillcolor="#5B9BD5 [3204]" filled="t" stroked="t" coordsize="21600,21600" o:gfxdata="UEsDBAoAAAAAAIdO4kAAAAAAAAAAAAAAAAAEAAAAZHJzL1BLAwQUAAAACACHTuJAnOiCu9gAAAAL&#10;AQAADwAAAGRycy9kb3ducmV2LnhtbE2PQU7DMBBF90jcwRokNojaiWkJIU5VqHoASsV6Gps4Ih5H&#10;sdOG29ddwW5G8/Tn/Wo9u56dzBg6TwqyhQBmqPG6o1bB4XP3WAALEUlj78ko+DUB1vXtTYWl9mf6&#10;MKd9bFkKoVCiAhvjUHIeGmschoUfDKXbtx8dxrSOLdcjnlO463kuxIo77Ch9sDiYd2uan/3kFHxx&#10;u6HtEqd583bY7h5cMz5jodT9XSZegUUzxz8YrvpJHerkdPQT6cB6BTLPZELTULysgCVCSpkDOyp4&#10;EtkSeF3x/x3qC1BLAwQUAAAACACHTuJAc4JxxYECAAACBQAADgAAAGRycy9lMm9Eb2MueG1srVTN&#10;bhMxEL4j8Q6W73Q3YdOmUTdV2igIqaKVCuLseL1ZS/7Ddn7KA/AUHLnyWPAcfPambVo49EAOmxnP&#10;+JuZb2Z8dr7TimyED9Kamg6OSkqE4baRZlXTTx8Xb8aUhMhMw5Q1oqZ3ItDz6etXZ1s3EUPbWdUI&#10;TwBiwmTratrF6CZFEXgnNAtH1gkDY2u9ZhGqXxWNZ1uga1UMy/K42FrfOG+5CAGn895I94j+JYC2&#10;bSUXc8vXWpjYo3qhWERJoZMu0GnOtm0Fj9dtG0QkqqaoNOYvgkBepm8xPWOTlWeuk3yfAntJCs9q&#10;0kwaBH2AmrPIyNrLv6C05N4G28YjbnXRF5IZQRWD8hk3tx1zItcCqoN7ID38P1j+YXPjiWwwCSNK&#10;DNPo+O8fP399/0ZwAHa2LkzgdOtu/F4LEFOpu9br9I8iyK6mVTWsjsfg9a6mo7Iajt7m+2widpFw&#10;OJyMRseIwWHvReAVjzDOh/hOWE2SUFOhFBqZqmcTtrkKsfe+90rHwSrZLKRSWfGr5aXyZMPQ6dHF&#10;6cU8h0eAJ27KkC1qHZ6UyJQzzG+LuYGoHTgIZkUJUyssBo8+x35yOxwGWSxK/BJHz4OkJOcsdH0y&#10;GaEfNC0jdkdJXdNxunx/WxmAJKZ7bpO0tM0dOuNtP7LB8YUE7BUL8YZ5zCjyxxbHa3xaZVGU3UuU&#10;dNZ//dd58sfowErJFjOPgr+smReUqPcGQ3U6qCrAxqxUo5MhFH9oWR5azFpfWpA9wHvheBaTf1T3&#10;Yuut/oxln6WoMDHDEbundq9cxn4X8VxwMZtlNyyGY/HK3DqewFNzjZ2to21lHoJHdvakYTVyD/Zr&#10;nHbvUM9ej0/X9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c6IK72AAAAAsBAAAPAAAAAAAAAAEA&#10;IAAAACIAAABkcnMvZG93bnJldi54bWxQSwECFAAUAAAACACHTuJAc4JxxYECAAACBQAADgAAAAAA&#10;AAABACAAAAAnAQAAZHJzL2Uyb0RvYy54bWxQSwUGAAAAAAYABgBZAQAAGgYAAAAA&#10;">
                      <v:fill on="t" focussize="0,0"/>
                      <v:stroke weight="1pt" color="#FF0000 [2404]" miterlimit="8" joinstyle="miter"/>
                      <v:imagedata o:title=""/>
                      <o:lock v:ext="edit" aspectratio="f"/>
                    </v:shape>
                  </w:pict>
                </mc:Fallback>
              </mc:AlternateContent>
            </w:r>
            <w:r>
              <w:rPr>
                <w:rFonts w:hint="default" w:ascii="Times New Roman" w:hAnsi="Times New Roman" w:eastAsia="宋体" w:cs="Times New Roman"/>
                <w:color w:val="auto"/>
              </w:rPr>
              <w:drawing>
                <wp:inline distT="0" distB="0" distL="114300" distR="114300">
                  <wp:extent cx="3314700" cy="3246120"/>
                  <wp:effectExtent l="0" t="0" r="7620" b="0"/>
                  <wp:docPr id="1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5"/>
                          <pic:cNvPicPr>
                            <a:picLocks noChangeAspect="1"/>
                          </pic:cNvPicPr>
                        </pic:nvPicPr>
                        <pic:blipFill>
                          <a:blip r:embed="rId10"/>
                          <a:stretch>
                            <a:fillRect/>
                          </a:stretch>
                        </pic:blipFill>
                        <pic:spPr>
                          <a:xfrm>
                            <a:off x="0" y="0"/>
                            <a:ext cx="3314700" cy="3246120"/>
                          </a:xfrm>
                          <a:prstGeom prst="rect">
                            <a:avLst/>
                          </a:prstGeom>
                          <a:noFill/>
                          <a:ln>
                            <a:noFill/>
                          </a:ln>
                        </pic:spPr>
                      </pic:pic>
                    </a:graphicData>
                  </a:graphic>
                </wp:inline>
              </w:drawing>
            </w:r>
          </w:p>
          <w:p w14:paraId="21F3436F">
            <w:pPr>
              <w:widowControl/>
              <w:numPr>
                <w:ilvl w:val="0"/>
                <w:numId w:val="3"/>
              </w:numPr>
              <w:spacing w:line="360" w:lineRule="auto"/>
              <w:ind w:left="425" w:leftChars="0" w:hanging="425" w:firstLineChars="0"/>
              <w:jc w:val="center"/>
              <w:rPr>
                <w:rFonts w:hint="default" w:ascii="Times New Roman" w:hAnsi="Times New Roman" w:eastAsia="宋体" w:cs="Times New Roman"/>
                <w:b/>
                <w:bCs/>
                <w:color w:val="auto"/>
                <w:sz w:val="24"/>
                <w:szCs w:val="32"/>
                <w:highlight w:val="none"/>
              </w:rPr>
            </w:pPr>
            <w:r>
              <w:rPr>
                <w:rFonts w:hint="default" w:ascii="Times New Roman" w:hAnsi="Times New Roman" w:eastAsia="宋体" w:cs="Times New Roman"/>
                <w:b/>
                <w:bCs/>
                <w:color w:val="auto"/>
                <w:sz w:val="24"/>
                <w:szCs w:val="32"/>
                <w:highlight w:val="none"/>
              </w:rPr>
              <w:t>本项目在北京市生态环境管控分区图中的位置示意图</w:t>
            </w:r>
          </w:p>
          <w:p w14:paraId="646EE070">
            <w:pPr>
              <w:spacing w:line="360" w:lineRule="auto"/>
              <w:ind w:firstLine="480" w:firstLineChars="200"/>
              <w:rPr>
                <w:rFonts w:hint="default" w:ascii="Times New Roman" w:hAnsi="Times New Roman" w:eastAsia="宋体" w:cs="Times New Roman"/>
                <w:color w:val="auto"/>
                <w:kern w:val="0"/>
                <w:sz w:val="24"/>
                <w:highlight w:val="none"/>
                <w:lang w:eastAsia="zh-CN" w:bidi="ar"/>
              </w:rPr>
            </w:pPr>
            <w:r>
              <w:rPr>
                <w:rFonts w:hint="default" w:ascii="Times New Roman" w:hAnsi="Times New Roman" w:eastAsia="宋体" w:cs="Times New Roman"/>
                <w:color w:val="auto"/>
                <w:kern w:val="0"/>
                <w:sz w:val="24"/>
                <w:highlight w:val="none"/>
                <w:lang w:bidi="ar"/>
              </w:rPr>
              <w:t>根据北京市生态环境局</w:t>
            </w:r>
            <w:r>
              <w:rPr>
                <w:rFonts w:hint="eastAsia"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北京市生态环境局政府网站-政务服务-生态环境分区管控(</w:t>
            </w:r>
            <w:r>
              <w:rPr>
                <w:rFonts w:hint="default" w:ascii="Times New Roman" w:hAnsi="Times New Roman" w:eastAsia="宋体"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bidi="ar"/>
              </w:rPr>
              <w:t>三线一单’)系统</w:t>
            </w:r>
            <w:r>
              <w:rPr>
                <w:rFonts w:hint="eastAsia"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，本项目属于</w:t>
            </w:r>
            <w:r>
              <w:rPr>
                <w:rFonts w:hint="eastAsia" w:cs="Times New Roman"/>
                <w:color w:val="auto"/>
                <w:kern w:val="0"/>
                <w:sz w:val="24"/>
                <w:highlight w:val="none"/>
                <w:lang w:eastAsia="zh-CN" w:bidi="ar"/>
              </w:rPr>
              <w:t>金桥科技产业基地</w:t>
            </w:r>
            <w:r>
              <w:rPr>
                <w:rFonts w:hint="default" w:ascii="Times New Roman" w:hAnsi="Times New Roman" w:eastAsia="宋体" w:cs="Times New Roman"/>
                <w:color w:val="auto"/>
                <w:kern w:val="0"/>
                <w:sz w:val="24"/>
                <w:highlight w:val="none"/>
                <w:lang w:bidi="ar"/>
              </w:rPr>
              <w:t>重点管控单元，环境管控单元编码为</w:t>
            </w:r>
            <w:r>
              <w:rPr>
                <w:rFonts w:hint="eastAsia" w:cs="Times New Roman"/>
                <w:color w:val="auto"/>
                <w:kern w:val="0"/>
                <w:sz w:val="24"/>
                <w:highlight w:val="none"/>
                <w:lang w:val="en-US" w:eastAsia="zh-CN" w:bidi="ar"/>
              </w:rPr>
              <w:t>ZH11011220002</w:t>
            </w:r>
            <w:r>
              <w:rPr>
                <w:rFonts w:hint="default" w:ascii="Times New Roman" w:hAnsi="Times New Roman" w:eastAsia="宋体" w:cs="Times New Roman"/>
                <w:color w:val="auto"/>
                <w:kern w:val="0"/>
                <w:sz w:val="24"/>
                <w:highlight w:val="none"/>
                <w:lang w:bidi="ar"/>
              </w:rPr>
              <w:t>，本项目在</w:t>
            </w:r>
            <w:r>
              <w:rPr>
                <w:rFonts w:hint="eastAsia" w:cs="Times New Roman"/>
                <w:color w:val="auto"/>
                <w:kern w:val="0"/>
                <w:sz w:val="24"/>
                <w:highlight w:val="none"/>
                <w:lang w:eastAsia="zh-CN" w:bidi="ar"/>
              </w:rPr>
              <w:t>金桥科技产业基地</w:t>
            </w:r>
            <w:r>
              <w:rPr>
                <w:rFonts w:hint="default" w:ascii="Times New Roman" w:hAnsi="Times New Roman" w:eastAsia="宋体" w:cs="Times New Roman"/>
                <w:color w:val="auto"/>
                <w:kern w:val="0"/>
                <w:sz w:val="24"/>
                <w:highlight w:val="none"/>
                <w:lang w:bidi="ar"/>
              </w:rPr>
              <w:t>重点管控单元图中位置见</w:t>
            </w:r>
            <w:r>
              <w:rPr>
                <w:rFonts w:hint="default" w:ascii="Times New Roman" w:hAnsi="Times New Roman" w:eastAsia="宋体" w:cs="Times New Roman"/>
                <w:color w:val="auto"/>
                <w:kern w:val="0"/>
                <w:sz w:val="24"/>
                <w:highlight w:val="none"/>
                <w:lang w:val="en-US" w:eastAsia="zh-CN" w:bidi="ar"/>
              </w:rPr>
              <w:t>下</w:t>
            </w:r>
            <w:r>
              <w:rPr>
                <w:rFonts w:hint="default" w:ascii="Times New Roman" w:hAnsi="Times New Roman" w:eastAsia="宋体" w:cs="Times New Roman"/>
                <w:color w:val="auto"/>
                <w:kern w:val="0"/>
                <w:sz w:val="24"/>
                <w:highlight w:val="none"/>
                <w:lang w:bidi="ar"/>
              </w:rPr>
              <w:t>图</w:t>
            </w:r>
            <w:r>
              <w:rPr>
                <w:rFonts w:hint="default" w:ascii="Times New Roman" w:hAnsi="Times New Roman" w:eastAsia="宋体" w:cs="Times New Roman"/>
                <w:color w:val="auto"/>
                <w:kern w:val="0"/>
                <w:sz w:val="24"/>
                <w:highlight w:val="none"/>
                <w:lang w:eastAsia="zh-CN" w:bidi="ar"/>
              </w:rPr>
              <w:t>。</w:t>
            </w:r>
          </w:p>
          <w:p w14:paraId="457B2961">
            <w:pPr>
              <w:spacing w:line="360" w:lineRule="auto"/>
              <w:rPr>
                <w:rFonts w:hint="default" w:ascii="Times New Roman" w:hAnsi="Times New Roman" w:eastAsia="宋体" w:cs="Times New Roman"/>
                <w:color w:val="auto"/>
                <w:kern w:val="0"/>
                <w:sz w:val="24"/>
                <w:highlight w:val="none"/>
                <w:lang w:eastAsia="zh-CN" w:bidi="ar"/>
              </w:rPr>
            </w:pPr>
            <w:r>
              <w:rPr>
                <w:sz w:val="21"/>
              </w:rPr>
              <mc:AlternateContent>
                <mc:Choice Requires="wps">
                  <w:drawing>
                    <wp:anchor distT="0" distB="0" distL="114300" distR="114300" simplePos="0" relativeHeight="251672576" behindDoc="0" locked="0" layoutInCell="1" allowOverlap="1">
                      <wp:simplePos x="0" y="0"/>
                      <wp:positionH relativeFrom="column">
                        <wp:posOffset>3064510</wp:posOffset>
                      </wp:positionH>
                      <wp:positionV relativeFrom="paragraph">
                        <wp:posOffset>1204595</wp:posOffset>
                      </wp:positionV>
                      <wp:extent cx="647700" cy="320040"/>
                      <wp:effectExtent l="415290" t="6350" r="19050" b="252730"/>
                      <wp:wrapNone/>
                      <wp:docPr id="155" name="矩形标注 155"/>
                      <wp:cNvGraphicFramePr/>
                      <a:graphic xmlns:a="http://schemas.openxmlformats.org/drawingml/2006/main">
                        <a:graphicData uri="http://schemas.microsoft.com/office/word/2010/wordprocessingShape">
                          <wps:wsp>
                            <wps:cNvSpPr/>
                            <wps:spPr>
                              <a:xfrm>
                                <a:off x="5448935" y="2291080"/>
                                <a:ext cx="647700" cy="320040"/>
                              </a:xfrm>
                              <a:prstGeom prst="wedgeRectCallout">
                                <a:avLst>
                                  <a:gd name="adj1" fmla="val -106666"/>
                                  <a:gd name="adj2" fmla="val 119642"/>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76F2A199">
                                  <w:pPr>
                                    <w:jc w:val="center"/>
                                    <w:rPr>
                                      <w:rFonts w:hint="default" w:eastAsia="宋体"/>
                                      <w:b/>
                                      <w:bCs/>
                                      <w:lang w:val="en-US" w:eastAsia="zh-CN"/>
                                    </w:rPr>
                                  </w:pPr>
                                  <w:r>
                                    <w:rPr>
                                      <w:rFonts w:hint="eastAsia"/>
                                      <w:b/>
                                      <w:bCs/>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1.3pt;margin-top:94.85pt;height:25.2pt;width:51pt;z-index:251672576;v-text-anchor:middle;mso-width-relative:page;mso-height-relative:page;" fillcolor="#5B9BD5 [3204]" filled="t" stroked="t" coordsize="21600,21600" o:gfxdata="UEsDBAoAAAAAAIdO4kAAAAAAAAAAAAAAAAAEAAAAZHJzL1BLAwQUAAAACACHTuJAjFugK9sAAAAL&#10;AQAADwAAAGRycy9kb3ducmV2LnhtbE2PTU/DMAyG70j8h8hIXBBLWpVRStMdJj522YEykLhljWkr&#10;GqdqsnX8e8wJjvb76PXjcnVygzjiFHpPGpKFAoHUeNtTq2H3+nidgwjRkDWDJ9TwjQFW1flZaQrr&#10;Z3rBYx1bwSUUCqOhi3EspAxNh86EhR+ROPv0kzORx6mVdjIzl7tBpkotpTM98YXOjLjusPmqD06D&#10;2T1vP+JAb+NVs57j+9PmoW43Wl9eJOoeRMRT/IPhV5/VoWKnvT+QDWLQkOXpklEO8rtbEEzc5Blv&#10;9hrSTCUgq1L+/6H6AVBLAwQUAAAACACHTuJASUVr/NICAACWBQAADgAAAGRycy9lMm9Eb2MueG1s&#10;rVTNbtNAEL4j8Q6rvbeJ3fyrTpUmFCEVWlEQ5816HRvtj9ndNCkvwGOAOMGZM49DeQ2+XbttWjj0&#10;QA7OjGf8zcw3P4dHWyXJpbCuMjqjyX6XEqG5ySu9yujbNyd7I0qcZzpn0miR0Svh6NH06ZPDTT0R&#10;qSmNzIUlANFusqkzWnpfTzodx0uhmNs3tdAwFsYq5qHaVSe3bAN0JTtptzvobIzNa2u4cA5vF42R&#10;toj2MYCmKCouFoavldC+QbVCMo+SXFnVjk5jtkUhuD8rCic8kRlFpT4+EQTyMjw700M2WVlWlxVv&#10;U2CPSeFBTYpVGkFvoRbMM7K21V9QquLWOFP4fW5UpykkMoIqku4Dbi5KVotYC6h29S3p7v/B8leX&#10;55ZUOSah36dEM4WW//78/dfPr9dfPl3/+EbCe7C0qd0Ezhf1uW01BzGUvC2sCv8ohmwz2u/1RuMD&#10;YF1lNE3HSXfUsiy2nnA4DHrDYRf8czgcYCJ60d65A6qt88+FUSQIGd2IfCVeo5NzJqVZ+8gzuzx1&#10;PhKet0mz/H1CSaEk+nfJJNlLugP82g7veKW7XkkyHvTS4IQEWlBINymECM7IKj+ppIyKXS3n0hJE&#10;QKnH4+NFZAef3HOTmmxAadoUyrAmBcYTNasaVDu9ooTJFfaPexvrufe12w2SPhv2jwfRSa7VS5M3&#10;sYf9Lkhs8m79Yw33gEIZC+bK5pNoavhQlccSy0pldAScWySpARJa3TQ3SH673LYdX5r8CtNiTbNG&#10;ruYnFSKcMufPmQXv6Couiz/Do5AGDJhWoqQ09uO/3gd/jDOslGywh2Dnw5pZQYl8oTHo46SHASE+&#10;Kr3+MIVidy3LXYteq7lBZzAJyC6Kwd/LG7GwRr3DAZqFqDAxzRG76UOrzH1zH3DCuJjNohuWtWb+&#10;VF/UPICHSdBmtvamqHzoQSCqYadVsK6xHe1pCfdgV49ed+d0+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MW6Ar2wAAAAsBAAAPAAAAAAAAAAEAIAAAACIAAABkcnMvZG93bnJldi54bWxQSwECFAAU&#10;AAAACACHTuJASUVr/NICAACWBQAADgAAAAAAAAABACAAAAAqAQAAZHJzL2Uyb0RvYy54bWxQSwUG&#10;AAAAAAYABgBZAQAAbgYAAAAA&#10;" adj="-12240,36643">
                      <v:fill on="t" focussize="0,0"/>
                      <v:stroke weight="1pt" color="#2E75B6 [2404]" miterlimit="8" joinstyle="miter"/>
                      <v:imagedata o:title=""/>
                      <o:lock v:ext="edit" aspectratio="f"/>
                      <v:textbox>
                        <w:txbxContent>
                          <w:p w14:paraId="76F2A199">
                            <w:pPr>
                              <w:jc w:val="center"/>
                              <w:rPr>
                                <w:rFonts w:hint="default" w:eastAsia="宋体"/>
                                <w:b/>
                                <w:bCs/>
                                <w:lang w:val="en-US" w:eastAsia="zh-CN"/>
                              </w:rPr>
                            </w:pPr>
                            <w:r>
                              <w:rPr>
                                <w:rFonts w:hint="eastAsia"/>
                                <w:b/>
                                <w:bCs/>
                                <w:lang w:val="en-US" w:eastAsia="zh-CN"/>
                              </w:rPr>
                              <w:t>本项目</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2553970</wp:posOffset>
                      </wp:positionH>
                      <wp:positionV relativeFrom="paragraph">
                        <wp:posOffset>1730375</wp:posOffset>
                      </wp:positionV>
                      <wp:extent cx="76200" cy="75565"/>
                      <wp:effectExtent l="10160" t="13970" r="20320" b="17145"/>
                      <wp:wrapNone/>
                      <wp:docPr id="154" name="等腰三角形 154"/>
                      <wp:cNvGraphicFramePr/>
                      <a:graphic xmlns:a="http://schemas.openxmlformats.org/drawingml/2006/main">
                        <a:graphicData uri="http://schemas.microsoft.com/office/word/2010/wordprocessingShape">
                          <wps:wsp>
                            <wps:cNvSpPr/>
                            <wps:spPr>
                              <a:xfrm>
                                <a:off x="4938395" y="2816860"/>
                                <a:ext cx="76200" cy="75565"/>
                              </a:xfrm>
                              <a:prstGeom prst="triangl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01.1pt;margin-top:136.25pt;height:5.95pt;width:6pt;z-index:251671552;v-text-anchor:middle;mso-width-relative:page;mso-height-relative:page;" fillcolor="#5B9BD5 [3204]" filled="t" stroked="t" coordsize="21600,21600" o:gfxdata="UEsDBAoAAAAAAIdO4kAAAAAAAAAAAAAAAAAEAAAAZHJzL1BLAwQUAAAACACHTuJAwMRmK9kAAAAL&#10;AQAADwAAAGRycy9kb3ducmV2LnhtbE2PTU/DMAyG70j8h8hI3FjaEMZUmk7iS4C4sMKBo9eEtlrj&#10;VE22jn+POcHRrx+9flyuj34QBzfFPpCBfJGBcNQE21Nr4OP98WIFIiYki0MgZ+DbRVhXpyclFjbM&#10;tHGHOrWCSygWaKBLaSykjE3nPMZFGB3x7itMHhOPUyvthDOX+0GqLFtKjz3xhQ5Hd9e5ZlfvvYE5&#10;Xe6a2/js35a1fN084efL/YM25vwsz25AJHdMfzD86rM6VOy0DXuyUQwGdKYUowbUtboCwYTONSdb&#10;TlZag6xK+f+H6gdQSwMEFAAAAAgAh07iQFLCfzqnAgAAMAUAAA4AAABkcnMvZTJvRG9jLnhtbK1U&#10;zW4TMRC+I/EOlu90kzSbn1U3VdpQhFRopYI4O17vriX/YTvZlDuHXnkELpyQOHLhbUD0MRh7t0la&#10;OPTAZXfGM/5m5psZHx1vpEBrZh3XKsf9gx5GTFFdcFXl+O2bs2cTjJwnqiBCK5bja+bw8ezpk6PG&#10;ZGygay0KZhGAKJc1Jse19yZLEkdrJok70IYpMJbaSuJBtVVSWNIAuhTJoNcbJY22hbGaMufgdNEa&#10;cYdoHwOoy5JTttB0JZnyLaplgngoydXcODyL2ZYlo/6iLB3zSOQYKvXxC0FAXoZvMjsiWWWJqTnt&#10;UiCPSeFBTZJwBUG3UAviCVpZ/heU5NRqp0t/QLVM2kIiI1BFv/eAm6uaGBZrAaqd2ZLu/h8sfb2+&#10;tIgXMAnpECNFJLT899eb24/ffn6/uf3y6dePzyiYgKjGuAz8r8yl7TQHYqh6U1oZ/lAP2uR4OD2c&#10;HE5TjK5zPJj0R5NRRzTbeETBYTyCScCIgn2cpqM0oCc7GGOdf8G0REHIsbecqEoEJkhG1ufOt+53&#10;buHYacGLMy5EVGy1PBUWrQl0PT2ZnizuItxzEwo1UPdgHHMhMMslzBCkJQ3w4VSFEREVLAn1Nsa+&#10;d9vtBxk8H6cno+gkVvKVLtrY47QH2G22nX8s9B5QKGNBXN1eiaZwhWSSe9g0wWWOJ4CzRRIKQEIz&#10;WvqDtNTFNfTR6nbAnaFnHGDPifOXxMJEA9uw8/4CPqXQULbuJIxqbT/86zz4w6CBFaMGNgQoeb8i&#10;lmEkXioYwWl/OAwrFZVhOh6AYvcty32LWslTDe3ow+tiaBSDvxd3Ymm1fAdPwzxEBRNRFGK35HfK&#10;qW83Fx4Xyubz6AZrZIg/V1eGBvDAm9Lzldclj2OyY6cjDRYp9qBb+rCp+3r02j10s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AxGYr2QAAAAsBAAAPAAAAAAAAAAEAIAAAACIAAABkcnMvZG93bnJl&#10;di54bWxQSwECFAAUAAAACACHTuJAUsJ/OqcCAAAwBQAADgAAAAAAAAABACAAAAAoAQAAZHJzL2Uy&#10;b0RvYy54bWxQSwUGAAAAAAYABgBZAQAAQQYAAAAA&#10;" adj="10800">
                      <v:fill on="t" focussize="0,0"/>
                      <v:stroke weight="1pt" color="#2E75B6 [2404]" miterlimit="8" joinstyle="miter"/>
                      <v:imagedata o:title=""/>
                      <o:lock v:ext="edit" aspectratio="f"/>
                    </v:shape>
                  </w:pict>
                </mc:Fallback>
              </mc:AlternateContent>
            </w:r>
            <w:r>
              <w:drawing>
                <wp:inline distT="0" distB="0" distL="114300" distR="114300">
                  <wp:extent cx="4141470" cy="5498465"/>
                  <wp:effectExtent l="0" t="0" r="3810" b="3175"/>
                  <wp:docPr id="1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9"/>
                          <pic:cNvPicPr>
                            <a:picLocks noChangeAspect="1"/>
                          </pic:cNvPicPr>
                        </pic:nvPicPr>
                        <pic:blipFill>
                          <a:blip r:embed="rId11"/>
                          <a:stretch>
                            <a:fillRect/>
                          </a:stretch>
                        </pic:blipFill>
                        <pic:spPr>
                          <a:xfrm>
                            <a:off x="0" y="0"/>
                            <a:ext cx="4141470" cy="5498465"/>
                          </a:xfrm>
                          <a:prstGeom prst="rect">
                            <a:avLst/>
                          </a:prstGeom>
                          <a:noFill/>
                          <a:ln>
                            <a:noFill/>
                          </a:ln>
                        </pic:spPr>
                      </pic:pic>
                    </a:graphicData>
                  </a:graphic>
                </wp:inline>
              </w:drawing>
            </w:r>
          </w:p>
          <w:p w14:paraId="15431A60">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本项目与北京市生态环境管控单元位置关系图</w:t>
            </w:r>
          </w:p>
          <w:p w14:paraId="101745A2">
            <w:pPr>
              <w:widowControl/>
              <w:numPr>
                <w:ilvl w:val="0"/>
                <w:numId w:val="0"/>
              </w:numPr>
              <w:spacing w:line="360" w:lineRule="auto"/>
              <w:ind w:leftChars="0" w:firstLine="480" w:firstLineChars="200"/>
              <w:jc w:val="both"/>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现就全市总体环境准入清单、五大功能区环境准入清单及环境管控单元环境准入清单的符合性进行分析。</w:t>
            </w:r>
          </w:p>
        </w:tc>
      </w:tr>
    </w:tbl>
    <w:p w14:paraId="62C22A72">
      <w:pPr>
        <w:pStyle w:val="8"/>
        <w:rPr>
          <w:rFonts w:hint="default" w:ascii="Times New Roman" w:hAnsi="Times New Roman" w:eastAsia="宋体" w:cs="Times New Roman"/>
          <w:color w:val="auto"/>
          <w:sz w:val="21"/>
          <w:szCs w:val="22"/>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13197"/>
      </w:tblGrid>
      <w:tr w14:paraId="0D891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7" w:hRule="atLeast"/>
          <w:jc w:val="center"/>
        </w:trPr>
        <w:tc>
          <w:tcPr>
            <w:tcW w:w="456" w:type="dxa"/>
            <w:vAlign w:val="center"/>
          </w:tcPr>
          <w:p w14:paraId="7756D829">
            <w:pPr>
              <w:autoSpaceDE w:val="0"/>
              <w:autoSpaceDN w:val="0"/>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rPr>
              <w:t>其他符合性分析</w:t>
            </w:r>
          </w:p>
        </w:tc>
        <w:tc>
          <w:tcPr>
            <w:tcW w:w="13196" w:type="dxa"/>
          </w:tcPr>
          <w:p w14:paraId="59AFA03E">
            <w:pPr>
              <w:pStyle w:val="9"/>
              <w:spacing w:line="360" w:lineRule="auto"/>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color w:val="auto"/>
                <w:kern w:val="0"/>
                <w:sz w:val="24"/>
                <w:highlight w:val="none"/>
                <w:lang w:bidi="ar"/>
              </w:rPr>
              <w:t xml:space="preserve">    </w:t>
            </w:r>
            <w:r>
              <w:rPr>
                <w:rFonts w:hint="default" w:ascii="Times New Roman" w:hAnsi="Times New Roman" w:eastAsia="宋体" w:cs="Times New Roman"/>
                <w:b/>
                <w:bCs/>
                <w:color w:val="auto"/>
                <w:kern w:val="0"/>
                <w:sz w:val="24"/>
                <w:highlight w:val="none"/>
                <w:lang w:bidi="ar"/>
              </w:rPr>
              <w:t>1）全市总体生态环境准入清单</w:t>
            </w:r>
          </w:p>
          <w:p w14:paraId="41A35466">
            <w:pPr>
              <w:pStyle w:val="9"/>
              <w:spacing w:line="360" w:lineRule="auto"/>
              <w:ind w:firstLine="480" w:firstLineChars="200"/>
              <w:rPr>
                <w:rFonts w:hint="default" w:ascii="Times New Roman" w:hAnsi="Times New Roman" w:eastAsia="宋体" w:cs="Times New Roman"/>
                <w:color w:val="auto"/>
                <w:kern w:val="0"/>
                <w:sz w:val="24"/>
                <w:highlight w:val="none"/>
                <w:lang w:eastAsia="zh-CN" w:bidi="ar"/>
              </w:rPr>
            </w:pPr>
            <w:r>
              <w:rPr>
                <w:rFonts w:hint="default" w:ascii="Times New Roman" w:hAnsi="Times New Roman" w:eastAsia="宋体" w:cs="Times New Roman"/>
                <w:color w:val="auto"/>
                <w:kern w:val="0"/>
                <w:sz w:val="24"/>
                <w:highlight w:val="none"/>
                <w:lang w:bidi="ar"/>
              </w:rPr>
              <w:t>本项目属于重点管控类单元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重点产业园区</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w:t>
            </w:r>
            <w:r>
              <w:rPr>
                <w:rFonts w:hint="default" w:ascii="Times New Roman" w:hAnsi="Times New Roman" w:eastAsia="宋体" w:cs="Times New Roman"/>
                <w:color w:val="auto"/>
                <w:kern w:val="0"/>
                <w:sz w:val="24"/>
                <w:highlight w:val="none"/>
                <w:lang w:val="en-US" w:eastAsia="zh-CN" w:bidi="ar"/>
              </w:rPr>
              <w:t>具体</w:t>
            </w:r>
            <w:r>
              <w:rPr>
                <w:rFonts w:hint="eastAsia" w:ascii="Times New Roman" w:hAnsi="Times New Roman" w:eastAsia="宋体" w:cs="Times New Roman"/>
                <w:color w:val="auto"/>
                <w:kern w:val="0"/>
                <w:sz w:val="24"/>
                <w:highlight w:val="none"/>
                <w:lang w:val="en-US" w:eastAsia="zh-CN" w:bidi="ar"/>
              </w:rPr>
              <w:t>符合</w:t>
            </w:r>
            <w:r>
              <w:rPr>
                <w:rFonts w:hint="default" w:ascii="Times New Roman" w:hAnsi="Times New Roman" w:eastAsia="宋体" w:cs="Times New Roman"/>
                <w:color w:val="auto"/>
                <w:kern w:val="0"/>
                <w:sz w:val="24"/>
                <w:highlight w:val="none"/>
                <w:lang w:val="en-US" w:eastAsia="zh-CN" w:bidi="ar"/>
              </w:rPr>
              <w:t>性分析</w:t>
            </w:r>
            <w:r>
              <w:rPr>
                <w:rFonts w:hint="default" w:ascii="Times New Roman" w:hAnsi="Times New Roman" w:eastAsia="宋体" w:cs="Times New Roman"/>
                <w:color w:val="auto"/>
                <w:kern w:val="0"/>
                <w:sz w:val="24"/>
                <w:highlight w:val="none"/>
                <w:lang w:bidi="ar"/>
              </w:rPr>
              <w:t>见下表</w:t>
            </w:r>
            <w:r>
              <w:rPr>
                <w:rFonts w:hint="default" w:ascii="Times New Roman" w:hAnsi="Times New Roman" w:eastAsia="宋体" w:cs="Times New Roman"/>
                <w:color w:val="auto"/>
                <w:kern w:val="0"/>
                <w:sz w:val="24"/>
                <w:highlight w:val="none"/>
                <w:lang w:eastAsia="zh-CN" w:bidi="ar"/>
              </w:rPr>
              <w:t>。</w:t>
            </w:r>
          </w:p>
          <w:p w14:paraId="31E999C8">
            <w:pPr>
              <w:widowControl/>
              <w:numPr>
                <w:ilvl w:val="0"/>
                <w:numId w:val="4"/>
              </w:numPr>
              <w:spacing w:line="360" w:lineRule="auto"/>
              <w:ind w:left="425" w:leftChars="0" w:hanging="425" w:firstLineChars="0"/>
              <w:jc w:val="center"/>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项目与北京市生态环境准入及管理要求对照一览表</w:t>
            </w:r>
          </w:p>
          <w:tbl>
            <w:tblPr>
              <w:tblStyle w:val="24"/>
              <w:tblW w:w="1305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6495"/>
              <w:gridCol w:w="4980"/>
              <w:gridCol w:w="746"/>
            </w:tblGrid>
            <w:tr w14:paraId="710809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38" w:type="dxa"/>
                  <w:tcBorders>
                    <w:tl2br w:val="nil"/>
                    <w:tr2bl w:val="nil"/>
                  </w:tcBorders>
                  <w:shd w:val="clear" w:color="auto" w:fill="auto"/>
                  <w:vAlign w:val="center"/>
                </w:tcPr>
                <w:p w14:paraId="69BD677E">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管控类别</w:t>
                  </w:r>
                </w:p>
              </w:tc>
              <w:tc>
                <w:tcPr>
                  <w:tcW w:w="6495" w:type="dxa"/>
                  <w:tcBorders>
                    <w:tl2br w:val="nil"/>
                    <w:tr2bl w:val="nil"/>
                  </w:tcBorders>
                  <w:shd w:val="clear" w:color="auto" w:fill="auto"/>
                  <w:vAlign w:val="center"/>
                </w:tcPr>
                <w:p w14:paraId="223844D0">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重点管控要求</w:t>
                  </w:r>
                </w:p>
              </w:tc>
              <w:tc>
                <w:tcPr>
                  <w:tcW w:w="4980" w:type="dxa"/>
                  <w:tcBorders>
                    <w:tl2br w:val="nil"/>
                    <w:tr2bl w:val="nil"/>
                  </w:tcBorders>
                  <w:shd w:val="clear" w:color="auto" w:fill="auto"/>
                  <w:vAlign w:val="center"/>
                </w:tcPr>
                <w:p w14:paraId="63B49296">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本项目符合性</w:t>
                  </w:r>
                </w:p>
              </w:tc>
              <w:tc>
                <w:tcPr>
                  <w:tcW w:w="746" w:type="dxa"/>
                  <w:tcBorders>
                    <w:tl2br w:val="nil"/>
                    <w:tr2bl w:val="nil"/>
                  </w:tcBorders>
                  <w:shd w:val="clear" w:color="auto" w:fill="auto"/>
                  <w:vAlign w:val="center"/>
                </w:tcPr>
                <w:p w14:paraId="21687915">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是否</w:t>
                  </w:r>
                </w:p>
                <w:p w14:paraId="3FF9E662">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w:t>
                  </w:r>
                </w:p>
              </w:tc>
            </w:tr>
            <w:tr w14:paraId="4917F1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84" w:hRule="atLeast"/>
                <w:jc w:val="center"/>
              </w:trPr>
              <w:tc>
                <w:tcPr>
                  <w:tcW w:w="838" w:type="dxa"/>
                  <w:tcBorders>
                    <w:tl2br w:val="nil"/>
                    <w:tr2bl w:val="nil"/>
                  </w:tcBorders>
                  <w:shd w:val="clear" w:color="auto" w:fill="auto"/>
                  <w:vAlign w:val="center"/>
                </w:tcPr>
                <w:p w14:paraId="5C6453A6">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空间布局约束</w:t>
                  </w:r>
                </w:p>
              </w:tc>
              <w:tc>
                <w:tcPr>
                  <w:tcW w:w="6495" w:type="dxa"/>
                  <w:tcBorders>
                    <w:tl2br w:val="nil"/>
                    <w:tr2bl w:val="nil"/>
                  </w:tcBorders>
                  <w:shd w:val="clear" w:color="auto" w:fill="auto"/>
                  <w:vAlign w:val="center"/>
                </w:tcPr>
                <w:p w14:paraId="0FE9DBE7">
                  <w:pPr>
                    <w:pStyle w:val="9"/>
                    <w:numPr>
                      <w:ilvl w:val="0"/>
                      <w:numId w:val="8"/>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严格执行《北京市新增产业的禁止和限制目录（2022年版）》、北京市《建设项目规划使用性质正面和负面清单》、《外商投资准入特别管理措施(负面清单)（2021年版）》《自由贸易</w:t>
                  </w:r>
                  <w:r>
                    <w:rPr>
                      <w:rFonts w:hint="default" w:ascii="Times New Roman" w:hAnsi="Times New Roman" w:eastAsia="宋体" w:cs="Times New Roman"/>
                      <w:color w:val="auto"/>
                      <w:sz w:val="21"/>
                      <w:szCs w:val="21"/>
                      <w:highlight w:val="none"/>
                      <w:lang w:eastAsia="zh-CN"/>
                    </w:rPr>
                    <w:t>实验</w:t>
                  </w:r>
                  <w:r>
                    <w:rPr>
                      <w:rFonts w:hint="default" w:ascii="Times New Roman" w:hAnsi="Times New Roman" w:eastAsia="宋体" w:cs="Times New Roman"/>
                      <w:color w:val="auto"/>
                      <w:sz w:val="21"/>
                      <w:szCs w:val="21"/>
                      <w:highlight w:val="none"/>
                    </w:rPr>
                    <w:t>区外商投资准入特别管理措施（负面清单）（202</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年版）》《北京市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时期高精尖产业发展规划》《北京市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时期生态环境保护规划》。</w:t>
                  </w:r>
                </w:p>
                <w:p w14:paraId="19A5E32B">
                  <w:pPr>
                    <w:pStyle w:val="9"/>
                    <w:numPr>
                      <w:ilvl w:val="0"/>
                      <w:numId w:val="8"/>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严格执行《北京市工业污染行业生产工艺调整退出及设备淘汰目录（2022年版）》。</w:t>
                  </w:r>
                </w:p>
                <w:p w14:paraId="0C08AF95">
                  <w:pPr>
                    <w:pStyle w:val="9"/>
                    <w:numPr>
                      <w:ilvl w:val="0"/>
                      <w:numId w:val="8"/>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严格执行《北京城市总体规划(2016年-2035年)》《北京市国土空间近期规划(2021年—2025年)》及分区规划中的空间布局约束管控要求。</w:t>
                  </w:r>
                </w:p>
                <w:p w14:paraId="44449B21">
                  <w:pPr>
                    <w:pStyle w:val="9"/>
                    <w:numPr>
                      <w:ilvl w:val="0"/>
                      <w:numId w:val="8"/>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严格执行《北京市高污染燃料禁燃区划定方案（试行）》，高污染燃料禁燃区内任何单位不得新建、扩建高污染燃料燃用设施，不得将其他燃料燃用设施改造为高污染燃料燃用设施。</w:t>
                  </w:r>
                </w:p>
                <w:p w14:paraId="17001D14">
                  <w:pPr>
                    <w:pStyle w:val="9"/>
                    <w:numPr>
                      <w:ilvl w:val="0"/>
                      <w:numId w:val="8"/>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严格执行《北京市水污染防治条例》，通过合理规划工业布局，引导工业企业入驻工业园区；规划禁养区内已有的畜禽养殖场、养殖小区项目，由所在地区人民政府限期拆除。</w:t>
                  </w:r>
                </w:p>
                <w:p w14:paraId="7A6844CE">
                  <w:pPr>
                    <w:pStyle w:val="9"/>
                    <w:numPr>
                      <w:ilvl w:val="0"/>
                      <w:numId w:val="8"/>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北京市大气污染防治条例》，禁止销售不符合标准的散煤及制品；在居民住宅楼、未配套设立专用烟道的商住综合楼、商住综合楼内与居住层相邻的商业楼层内，禁止新建、改建、扩建产生油烟、异味、废气的饮食服务、服装干洗和机动车维修等项目。</w:t>
                  </w:r>
                </w:p>
                <w:p w14:paraId="0D248A0D">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7.严格执行《北京历史文化名城保护条例》，严格控制建设规模和建筑高度，保护景观视廊和空间格局；逐步开展环境整治、生态修复，恢复大尺度绿色空间。</w:t>
                  </w:r>
                </w:p>
              </w:tc>
              <w:tc>
                <w:tcPr>
                  <w:tcW w:w="4980" w:type="dxa"/>
                  <w:tcBorders>
                    <w:tl2br w:val="nil"/>
                    <w:tr2bl w:val="nil"/>
                  </w:tcBorders>
                  <w:shd w:val="clear" w:color="auto" w:fill="auto"/>
                  <w:vAlign w:val="center"/>
                </w:tcPr>
                <w:p w14:paraId="4DD0C7E6">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项目不在《北京市新增产业的禁止和限制目录》（2022年版）禁止和限制范围内；本项目不属于北京市《建设项目规划使用性质正面和负面清单》中负面清单范围内。本项目不涉及《外商投资准入特别管理措施(负面清单)》（202</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年版）、《自由贸易</w:t>
                  </w:r>
                  <w:r>
                    <w:rPr>
                      <w:rFonts w:hint="default" w:ascii="Times New Roman" w:hAnsi="Times New Roman" w:eastAsia="宋体" w:cs="Times New Roman"/>
                      <w:color w:val="auto"/>
                      <w:sz w:val="21"/>
                      <w:szCs w:val="21"/>
                      <w:highlight w:val="none"/>
                      <w:lang w:eastAsia="zh-CN"/>
                    </w:rPr>
                    <w:t>实验</w:t>
                  </w:r>
                  <w:r>
                    <w:rPr>
                      <w:rFonts w:hint="default" w:ascii="Times New Roman" w:hAnsi="Times New Roman" w:eastAsia="宋体" w:cs="Times New Roman"/>
                      <w:color w:val="auto"/>
                      <w:sz w:val="21"/>
                      <w:szCs w:val="21"/>
                      <w:highlight w:val="none"/>
                    </w:rPr>
                    <w:t>区外商投资准入特别管理措施（负面清单）》（2021年版）。</w:t>
                  </w:r>
                </w:p>
                <w:p w14:paraId="5D919EB7">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2.本项目未列入《北京市工业污染行业生产工艺调整退出及设备淘汰目录》（2022年版）。</w:t>
                  </w:r>
                </w:p>
                <w:p w14:paraId="3682BC5B">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3.本项目满足《北京城市总体规划(2016年-2035年)》及分区规划中的空间布局约束管控要求。</w:t>
                  </w:r>
                </w:p>
                <w:p w14:paraId="5080BBC9">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4.本项目不涉及燃料燃用设施使用。</w:t>
                  </w:r>
                </w:p>
                <w:p w14:paraId="75B0E7DB">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5.本项目不属于高污染、高耗水行业，符合《北京市水污染防治条例》（2021年版）相关要求。</w:t>
                  </w:r>
                </w:p>
                <w:p w14:paraId="1EBBB499">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6.项目符合《北京市大气污染防治条例》要求。</w:t>
                  </w:r>
                </w:p>
                <w:p w14:paraId="220C04C3">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7.项目租用现有建筑物，不新建建筑物，符合《北京历史文化名城保护条例》要求。</w:t>
                  </w:r>
                </w:p>
              </w:tc>
              <w:tc>
                <w:tcPr>
                  <w:tcW w:w="746" w:type="dxa"/>
                  <w:tcBorders>
                    <w:tl2br w:val="nil"/>
                    <w:tr2bl w:val="nil"/>
                  </w:tcBorders>
                  <w:shd w:val="clear" w:color="auto" w:fill="auto"/>
                  <w:vAlign w:val="center"/>
                </w:tcPr>
                <w:p w14:paraId="421F62A3">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D01E0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8" w:hRule="atLeast"/>
                <w:jc w:val="center"/>
              </w:trPr>
              <w:tc>
                <w:tcPr>
                  <w:tcW w:w="838" w:type="dxa"/>
                  <w:tcBorders>
                    <w:tl2br w:val="nil"/>
                    <w:tr2bl w:val="nil"/>
                  </w:tcBorders>
                  <w:shd w:val="clear" w:color="auto" w:fill="auto"/>
                  <w:vAlign w:val="center"/>
                </w:tcPr>
                <w:p w14:paraId="3688CC15">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污染物排放管控</w:t>
                  </w:r>
                </w:p>
              </w:tc>
              <w:tc>
                <w:tcPr>
                  <w:tcW w:w="6495" w:type="dxa"/>
                  <w:tcBorders>
                    <w:tl2br w:val="nil"/>
                    <w:tr2bl w:val="nil"/>
                  </w:tcBorders>
                  <w:shd w:val="clear" w:color="auto" w:fill="auto"/>
                </w:tcPr>
                <w:p w14:paraId="390A1B78">
                  <w:pPr>
                    <w:pStyle w:val="9"/>
                    <w:numPr>
                      <w:ilvl w:val="0"/>
                      <w:numId w:val="9"/>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中华人民共和国环境保护法》《中华人民共和国大气污染防治法》《中华人民共和国水污染防治法》《中华人民共和国土壤污染防治法》《中华人民共和国固体废物污染环境防治法》《排污许可管理条例》《北京市大气污染防治条例》《北京市水污染防治条例》《北京市土壤污染防治条例》等法律法规以及国家、地方环境质量标准。</w:t>
                  </w:r>
                </w:p>
                <w:p w14:paraId="53CC9C44">
                  <w:pPr>
                    <w:pStyle w:val="9"/>
                    <w:numPr>
                      <w:ilvl w:val="0"/>
                      <w:numId w:val="9"/>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严格执行《中华人民共和国清洁生产促进法》《中华人民共和国循环经济促进法》。</w:t>
                  </w:r>
                </w:p>
                <w:p w14:paraId="6B93B617">
                  <w:pPr>
                    <w:pStyle w:val="9"/>
                    <w:numPr>
                      <w:ilvl w:val="0"/>
                      <w:numId w:val="9"/>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严格执行《建设项目主要污染物排放总量指标审核及管理暂行办法》《原北京市环境保护局关于建设项目主要污染物排放总量指标审核及管理的补充通知》。</w:t>
                  </w:r>
                </w:p>
                <w:p w14:paraId="1CBD84F2">
                  <w:pPr>
                    <w:pStyle w:val="9"/>
                    <w:numPr>
                      <w:ilvl w:val="0"/>
                      <w:numId w:val="9"/>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严格执行废气、废水、噪声、固体废物等国家地方污染物排放标准；严格执行锅炉、餐饮、印刷业、木质家具制造业、汽车维修业等地方大气污染物排放标准，强化重点领域大气污染管控。</w:t>
                  </w:r>
                </w:p>
                <w:p w14:paraId="2DA203AB">
                  <w:pPr>
                    <w:pStyle w:val="9"/>
                    <w:numPr>
                      <w:ilvl w:val="0"/>
                      <w:numId w:val="9"/>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严格执行《北京市烟花爆竹安全管理规定》，五环路以内（含五环路）及各区人民政府划定的禁放区域禁止燃放烟花爆竹。</w:t>
                  </w:r>
                </w:p>
                <w:p w14:paraId="3B738319">
                  <w:pPr>
                    <w:pStyle w:val="9"/>
                    <w:numPr>
                      <w:ilvl w:val="0"/>
                      <w:numId w:val="9"/>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中共中央国务院关于深入打好污染防治攻坚战的意见》《中共北京市委北京市人民政府关于深入打好北京市污染防治攻坚战的实施意见》，推动工业园区和产业集群升级、挥发性有机物和氮氧化物协同减排。</w:t>
                  </w:r>
                </w:p>
                <w:p w14:paraId="597936F7">
                  <w:pPr>
                    <w:pStyle w:val="9"/>
                    <w:numPr>
                      <w:ilvl w:val="0"/>
                      <w:numId w:val="9"/>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时期生态环境保护规划》、《北京市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时期土壤污染防治规划》。</w:t>
                  </w:r>
                </w:p>
                <w:p w14:paraId="1A3E7641">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8.严格执行《北京市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时期应对气候变化和节能规划》《北京市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时期能源发展规划》《北京市碳达峰实施方案》《北京市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时期制造业绿色低碳发展行动方案》，坚决控制高耗能、高排放项目新建和改扩建，严格控制新建项目能耗和碳排放水平。</w:t>
                  </w:r>
                </w:p>
              </w:tc>
              <w:tc>
                <w:tcPr>
                  <w:tcW w:w="4980" w:type="dxa"/>
                  <w:tcBorders>
                    <w:tl2br w:val="nil"/>
                    <w:tr2bl w:val="nil"/>
                  </w:tcBorders>
                  <w:shd w:val="clear" w:color="auto" w:fill="auto"/>
                </w:tcPr>
                <w:p w14:paraId="694B4AE4">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项目严格执行《中华人民共和国环境保护法》《中华人民共和国大气污染防治法》《中华人民共和国水污染防治法》《中华人民共和国土壤污染防治法》《中华人民共和国固体废物污染环境防治法》《排污许可管理条例》《北京市大气污染防治条例》《北京市水污染防治条例》《北京市土壤污染防治条例》等法律法规以及国家、地方环境质量标准要求。</w:t>
                  </w:r>
                </w:p>
                <w:p w14:paraId="0884FE46">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2.本项目不属于高耗能行业，电源和水源由市政供给，符合清洁生产要求。</w:t>
                  </w:r>
                </w:p>
                <w:p w14:paraId="711B770D">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3.本项目总量控制指标为挥发性有机物、</w:t>
                  </w:r>
                  <w:r>
                    <w:rPr>
                      <w:rFonts w:hint="eastAsia" w:cs="Times New Roman"/>
                      <w:color w:val="auto"/>
                      <w:sz w:val="21"/>
                      <w:szCs w:val="21"/>
                      <w:highlight w:val="none"/>
                      <w:lang w:val="en-US" w:eastAsia="zh-CN"/>
                    </w:rPr>
                    <w:t>氮氧化物、</w:t>
                  </w:r>
                  <w:r>
                    <w:rPr>
                      <w:rFonts w:hint="default" w:ascii="Times New Roman" w:hAnsi="Times New Roman" w:eastAsia="宋体" w:cs="Times New Roman"/>
                      <w:color w:val="auto"/>
                      <w:sz w:val="21"/>
                      <w:szCs w:val="21"/>
                      <w:highlight w:val="none"/>
                    </w:rPr>
                    <w:t>化学需氧量、氨氮，严格执行《建设项目主要污染物排放总量指标审核及管理暂行办法（环发[2014]197号）》、《原北京市环境保护局关于建设项目主要污染物排放总量指标审核及管理的补充通知》。</w:t>
                  </w:r>
                </w:p>
                <w:p w14:paraId="45B333B2">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4.本项目废气、废水、噪声均满足国家地方污染物排放标准，固体废物合理处置，满足国家、地方相关要求。</w:t>
                  </w:r>
                </w:p>
                <w:p w14:paraId="06D304D1">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5.本项目不涉及烟花爆竹的使用。</w:t>
                  </w:r>
                </w:p>
                <w:p w14:paraId="686C6E89">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6.项目严格执行《中共中央国务院关于深入打好污染防治攻坚战的意见》《中共北京市委北京市人民政府关于深入打好北京市污染防治攻坚战的实施意见》。</w:t>
                  </w:r>
                </w:p>
                <w:p w14:paraId="22D968D8">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7.项目严格执行《北京市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时期生态环境保护规划》、《北京市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时期土壤污染防治规划》。</w:t>
                  </w:r>
                </w:p>
                <w:p w14:paraId="0997EF9A">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8.项目不属于高耗能行业，项目能耗和碳排放满足要求。</w:t>
                  </w:r>
                </w:p>
              </w:tc>
              <w:tc>
                <w:tcPr>
                  <w:tcW w:w="746" w:type="dxa"/>
                  <w:tcBorders>
                    <w:tl2br w:val="nil"/>
                    <w:tr2bl w:val="nil"/>
                  </w:tcBorders>
                  <w:shd w:val="clear" w:color="auto" w:fill="auto"/>
                  <w:vAlign w:val="center"/>
                </w:tcPr>
                <w:p w14:paraId="24CFA536">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D3775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38" w:type="dxa"/>
                  <w:tcBorders>
                    <w:tl2br w:val="nil"/>
                    <w:tr2bl w:val="nil"/>
                  </w:tcBorders>
                  <w:shd w:val="clear" w:color="auto" w:fill="auto"/>
                  <w:vAlign w:val="center"/>
                </w:tcPr>
                <w:p w14:paraId="5C0617ED">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环境风险防控</w:t>
                  </w:r>
                </w:p>
              </w:tc>
              <w:tc>
                <w:tcPr>
                  <w:tcW w:w="6495" w:type="dxa"/>
                  <w:tcBorders>
                    <w:tl2br w:val="nil"/>
                    <w:tr2bl w:val="nil"/>
                  </w:tcBorders>
                  <w:shd w:val="clear" w:color="auto" w:fill="auto"/>
                </w:tcPr>
                <w:p w14:paraId="70D0BCE8">
                  <w:pPr>
                    <w:pStyle w:val="9"/>
                    <w:numPr>
                      <w:ilvl w:val="0"/>
                      <w:numId w:val="10"/>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中华人民共和国环境保护法》《中华人民共和国大气污染防治法》《中华人民共和国水污染防治法》《中华人民共和国土壤污染防治法》《中华人民共和国固体废物污染环境防治法》《北京市大气污染防治条例》《北京市水污染防治条例》《中华人民共和国水土保持法》《国家突发环境事件应急预案》《企业事业单位突发环境事件应急预案备案管理办法（试行）》《北京市突发环境事件应急预案》《北京市空气重污染应急预案（2023年修订）》等法律法规文件要求，完善环境风险防控体系，提高区域环境风险防范能力。</w:t>
                  </w:r>
                </w:p>
                <w:p w14:paraId="12EBFA02">
                  <w:pPr>
                    <w:pStyle w:val="9"/>
                    <w:numPr>
                      <w:ilvl w:val="0"/>
                      <w:numId w:val="10"/>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污染地块土壤环境管理办法（试行）》《工矿用地土壤环境管理办法（试行）》相关要求，重点单位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有毒有害物质名录以生态环境部公布为准。</w:t>
                  </w:r>
                </w:p>
                <w:p w14:paraId="01E2DD98">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3.工业园区管理机构应当统筹组织园区内产废量较小的工业企业产生的危险废物的收集、贮存、转运。</w:t>
                  </w:r>
                </w:p>
              </w:tc>
              <w:tc>
                <w:tcPr>
                  <w:tcW w:w="4980" w:type="dxa"/>
                  <w:tcBorders>
                    <w:tl2br w:val="nil"/>
                    <w:tr2bl w:val="nil"/>
                  </w:tcBorders>
                  <w:shd w:val="clear" w:color="auto" w:fill="auto"/>
                </w:tcPr>
                <w:p w14:paraId="775BD2E7">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项目严格执行《中华人民共和国环境保护法》《中华人民共和国大气污染防治法》《中华人民共和国水污染防治法》《中华人民共和国土壤污染防治法》《中华人民共和国固体废物污染环境防治法》《北京市大气污染防治条例》《北京市水污染防治条例》《中华人民共和国水土保持法》《国家突发环境事件应急预案》、《企业事业单位突发环境事件应急预案备案管理办法（试行）》等法律法规文件要求。本项目针对风险物质使用储存等风险环节，提出风险防范措施。</w:t>
                  </w:r>
                </w:p>
                <w:p w14:paraId="18B6DB16">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2.本项目废气、废水能达标排放，固体废物能得到安全贮存和处置，且采取了满足标准要求的防渗措施，对地下水和土壤环境影响可控。</w:t>
                  </w:r>
                </w:p>
                <w:p w14:paraId="39FFAC71">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3.项目</w:t>
                  </w:r>
                  <w:r>
                    <w:rPr>
                      <w:rFonts w:hint="eastAsia" w:ascii="Times New Roman" w:hAnsi="Times New Roman" w:eastAsia="宋体" w:cs="Times New Roman"/>
                      <w:color w:val="auto"/>
                      <w:sz w:val="21"/>
                      <w:szCs w:val="21"/>
                      <w:highlight w:val="none"/>
                      <w:lang w:val="en-US" w:eastAsia="zh-CN"/>
                    </w:rPr>
                    <w:t>建设规范的危险废物暂存间，合理合规收集、贮存、处置危险废物</w:t>
                  </w:r>
                  <w:r>
                    <w:rPr>
                      <w:rFonts w:hint="default" w:ascii="Times New Roman" w:hAnsi="Times New Roman" w:eastAsia="宋体" w:cs="Times New Roman"/>
                      <w:color w:val="auto"/>
                      <w:sz w:val="21"/>
                      <w:szCs w:val="21"/>
                      <w:highlight w:val="none"/>
                    </w:rPr>
                    <w:t>。</w:t>
                  </w:r>
                </w:p>
              </w:tc>
              <w:tc>
                <w:tcPr>
                  <w:tcW w:w="746" w:type="dxa"/>
                  <w:tcBorders>
                    <w:tl2br w:val="nil"/>
                    <w:tr2bl w:val="nil"/>
                  </w:tcBorders>
                  <w:shd w:val="clear" w:color="auto" w:fill="auto"/>
                  <w:vAlign w:val="center"/>
                </w:tcPr>
                <w:p w14:paraId="20872F8A">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11E07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9" w:hRule="atLeast"/>
                <w:jc w:val="center"/>
              </w:trPr>
              <w:tc>
                <w:tcPr>
                  <w:tcW w:w="838" w:type="dxa"/>
                  <w:tcBorders>
                    <w:tl2br w:val="nil"/>
                    <w:tr2bl w:val="nil"/>
                  </w:tcBorders>
                  <w:shd w:val="clear" w:color="auto" w:fill="auto"/>
                  <w:vAlign w:val="center"/>
                </w:tcPr>
                <w:p w14:paraId="539E150D">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资源利用效率</w:t>
                  </w:r>
                </w:p>
              </w:tc>
              <w:tc>
                <w:tcPr>
                  <w:tcW w:w="6495" w:type="dxa"/>
                  <w:tcBorders>
                    <w:tl2br w:val="nil"/>
                    <w:tr2bl w:val="nil"/>
                  </w:tcBorders>
                  <w:shd w:val="clear" w:color="auto" w:fill="auto"/>
                </w:tcPr>
                <w:p w14:paraId="729A6A43">
                  <w:pPr>
                    <w:pStyle w:val="9"/>
                    <w:numPr>
                      <w:ilvl w:val="0"/>
                      <w:numId w:val="11"/>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严格执行《中华人民共和国水法》《北京市节水条例》《北京市人民政府关于实行最严格水资源管理制度的意见》《北京市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节水型社会建设规划》《关于北京市加强水生态空间管控工作的意见》，加强用水管控，推动再生水多元利用。</w:t>
                  </w:r>
                </w:p>
                <w:p w14:paraId="28EB84AD">
                  <w:pPr>
                    <w:pStyle w:val="9"/>
                    <w:numPr>
                      <w:ilvl w:val="0"/>
                      <w:numId w:val="11"/>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落实《北京城市总体规划(2016年-2035年)》《北京市国土空间近期规划(2021年—2025年)》要求，坚守建设用地规模底线，提高产业用地利用效率。</w:t>
                  </w:r>
                </w:p>
                <w:p w14:paraId="6E4DAFE5">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3.执行《中华人民共和国节约能源法》以及北京市单位产品能源消耗限额系列行业标准《供热锅炉综合能源消耗限额》《北京市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时期能源发展规划》《北京市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时期应对气候变化和节能规划》。</w:t>
                  </w:r>
                </w:p>
              </w:tc>
              <w:tc>
                <w:tcPr>
                  <w:tcW w:w="4980" w:type="dxa"/>
                  <w:tcBorders>
                    <w:tl2br w:val="nil"/>
                    <w:tr2bl w:val="nil"/>
                  </w:tcBorders>
                  <w:shd w:val="clear" w:color="auto" w:fill="auto"/>
                </w:tcPr>
                <w:p w14:paraId="3561D63C">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1.本项目用水由市政给水管网提供，严格执行《中华人民共和国水法》《北京市节水条例》《北京市人民政府关于实行最严格水资源管理制度的意见》《北京市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节水型社会建设规划》《关于北京市加强水生态空间管控工作的意见》，加强用水管控。</w:t>
                  </w:r>
                </w:p>
                <w:p w14:paraId="056480F6">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2.本项目租用现有建筑物，不新增用地，符合《北京城市总体规划(2016年-2035年)》《北京市国土空间近期规划(2021年</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2025年)》要求。</w:t>
                  </w:r>
                </w:p>
                <w:p w14:paraId="7BB40394">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3.项目不属于高耗能行业，且项目不涉及锅炉，项目能耗和碳排放满足要求。项目严格执行《中华人民共和国节约能源法》以及《北京市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时期能源发展规划》《北京市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时期应对气候变化和节能规划》。</w:t>
                  </w:r>
                </w:p>
              </w:tc>
              <w:tc>
                <w:tcPr>
                  <w:tcW w:w="746" w:type="dxa"/>
                  <w:tcBorders>
                    <w:tl2br w:val="nil"/>
                    <w:tr2bl w:val="nil"/>
                  </w:tcBorders>
                  <w:shd w:val="clear" w:color="auto" w:fill="auto"/>
                  <w:vAlign w:val="center"/>
                </w:tcPr>
                <w:p w14:paraId="43FA3708">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2821BBCD">
            <w:pPr>
              <w:rPr>
                <w:rFonts w:hint="default" w:ascii="Times New Roman" w:hAnsi="Times New Roman" w:eastAsia="宋体" w:cs="Times New Roman"/>
                <w:b/>
                <w:bCs/>
                <w:color w:val="auto"/>
                <w:kern w:val="0"/>
                <w:sz w:val="24"/>
                <w:highlight w:val="none"/>
                <w:lang w:bidi="ar"/>
              </w:rPr>
            </w:pPr>
          </w:p>
          <w:p w14:paraId="312E789F">
            <w:pPr>
              <w:pStyle w:val="9"/>
              <w:numPr>
                <w:ilvl w:val="0"/>
                <w:numId w:val="12"/>
              </w:num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五大功能区生态环境准入清单</w:t>
            </w:r>
          </w:p>
          <w:p w14:paraId="5ED63ABC">
            <w:pPr>
              <w:pStyle w:val="9"/>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本项目属于五大生态功能区中的平原新城，本项目与平原新城生态环境准入清单的符合性分析详见</w:t>
            </w:r>
            <w:r>
              <w:rPr>
                <w:rFonts w:hint="default" w:ascii="Times New Roman" w:hAnsi="Times New Roman" w:eastAsia="宋体" w:cs="Times New Roman"/>
                <w:color w:val="auto"/>
                <w:sz w:val="24"/>
                <w:highlight w:val="none"/>
                <w:lang w:val="en-US" w:eastAsia="zh-CN"/>
              </w:rPr>
              <w:t>下</w:t>
            </w:r>
            <w:r>
              <w:rPr>
                <w:rFonts w:hint="default" w:ascii="Times New Roman" w:hAnsi="Times New Roman" w:eastAsia="宋体" w:cs="Times New Roman"/>
                <w:color w:val="auto"/>
                <w:sz w:val="24"/>
                <w:highlight w:val="none"/>
              </w:rPr>
              <w:t>表</w:t>
            </w:r>
            <w:r>
              <w:rPr>
                <w:rFonts w:hint="default" w:ascii="Times New Roman" w:hAnsi="Times New Roman" w:eastAsia="宋体" w:cs="Times New Roman"/>
                <w:color w:val="auto"/>
                <w:sz w:val="24"/>
                <w:highlight w:val="none"/>
                <w:lang w:eastAsia="zh-CN"/>
              </w:rPr>
              <w:t>。</w:t>
            </w:r>
          </w:p>
          <w:p w14:paraId="5B98295E">
            <w:pPr>
              <w:widowControl/>
              <w:numPr>
                <w:ilvl w:val="0"/>
                <w:numId w:val="4"/>
              </w:numPr>
              <w:spacing w:line="360" w:lineRule="auto"/>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五大功能区生态环境准入清单</w:t>
            </w:r>
          </w:p>
          <w:tbl>
            <w:tblPr>
              <w:tblStyle w:val="24"/>
              <w:tblW w:w="1281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5875"/>
              <w:gridCol w:w="5225"/>
              <w:gridCol w:w="697"/>
            </w:tblGrid>
            <w:tr w14:paraId="1FD487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2" w:type="dxa"/>
                  <w:tcBorders>
                    <w:tl2br w:val="nil"/>
                    <w:tr2bl w:val="nil"/>
                  </w:tcBorders>
                  <w:shd w:val="clear" w:color="auto" w:fill="auto"/>
                  <w:vAlign w:val="center"/>
                </w:tcPr>
                <w:p w14:paraId="7777EAA4">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管控类别</w:t>
                  </w:r>
                </w:p>
              </w:tc>
              <w:tc>
                <w:tcPr>
                  <w:tcW w:w="5875" w:type="dxa"/>
                  <w:tcBorders>
                    <w:tl2br w:val="nil"/>
                    <w:tr2bl w:val="nil"/>
                  </w:tcBorders>
                  <w:shd w:val="clear" w:color="auto" w:fill="auto"/>
                  <w:vAlign w:val="center"/>
                </w:tcPr>
                <w:p w14:paraId="4E717A35">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重点管控要求</w:t>
                  </w:r>
                </w:p>
              </w:tc>
              <w:tc>
                <w:tcPr>
                  <w:tcW w:w="5225" w:type="dxa"/>
                  <w:tcBorders>
                    <w:tl2br w:val="nil"/>
                    <w:tr2bl w:val="nil"/>
                  </w:tcBorders>
                  <w:shd w:val="clear" w:color="auto" w:fill="auto"/>
                  <w:vAlign w:val="center"/>
                </w:tcPr>
                <w:p w14:paraId="726A1AFE">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本项目符合性</w:t>
                  </w:r>
                </w:p>
              </w:tc>
              <w:tc>
                <w:tcPr>
                  <w:tcW w:w="697" w:type="dxa"/>
                  <w:tcBorders>
                    <w:tl2br w:val="nil"/>
                    <w:tr2bl w:val="nil"/>
                  </w:tcBorders>
                  <w:shd w:val="clear" w:color="auto" w:fill="auto"/>
                  <w:vAlign w:val="center"/>
                </w:tcPr>
                <w:p w14:paraId="6B9A7702">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是否符合</w:t>
                  </w:r>
                </w:p>
              </w:tc>
            </w:tr>
            <w:tr w14:paraId="417AC7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2" w:type="dxa"/>
                  <w:tcBorders>
                    <w:tl2br w:val="nil"/>
                    <w:tr2bl w:val="nil"/>
                  </w:tcBorders>
                  <w:shd w:val="clear" w:color="auto" w:fill="auto"/>
                  <w:vAlign w:val="center"/>
                </w:tcPr>
                <w:p w14:paraId="376F8735">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空间布局约束</w:t>
                  </w:r>
                </w:p>
              </w:tc>
              <w:tc>
                <w:tcPr>
                  <w:tcW w:w="5875" w:type="dxa"/>
                  <w:tcBorders>
                    <w:tl2br w:val="nil"/>
                    <w:tr2bl w:val="nil"/>
                  </w:tcBorders>
                  <w:shd w:val="clear" w:color="auto" w:fill="auto"/>
                </w:tcPr>
                <w:p w14:paraId="4CA2DC9C">
                  <w:pPr>
                    <w:pStyle w:val="9"/>
                    <w:numPr>
                      <w:ilvl w:val="0"/>
                      <w:numId w:val="13"/>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执行《北京市新增产业的禁止和限制目录（2022年版）》适用于北京城市副中心的管控要求。</w:t>
                  </w:r>
                </w:p>
                <w:p w14:paraId="1EF63D24">
                  <w:pPr>
                    <w:pStyle w:val="9"/>
                    <w:numPr>
                      <w:ilvl w:val="0"/>
                      <w:numId w:val="13"/>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执行《建设项目规划使用性质正面和负面清单》适用于城市副中心的管控要求。</w:t>
                  </w:r>
                </w:p>
                <w:p w14:paraId="67945A34">
                  <w:pPr>
                    <w:pStyle w:val="9"/>
                    <w:numPr>
                      <w:ilvl w:val="0"/>
                      <w:numId w:val="13"/>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执行《北京城市副中心（通州区）</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时期产业发展规划》《北京城市副中心（通州区）</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时期城市治理规划）》《北京市城市副中心（通州区）</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时期交通发展建设规划》的管控要求。</w:t>
                  </w:r>
                </w:p>
                <w:p w14:paraId="41556BB6">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4.涉及生态保护红线及相关法定保护空间的应执行优先保护类总体准入清单。</w:t>
                  </w:r>
                </w:p>
              </w:tc>
              <w:tc>
                <w:tcPr>
                  <w:tcW w:w="5225" w:type="dxa"/>
                  <w:tcBorders>
                    <w:tl2br w:val="nil"/>
                    <w:tr2bl w:val="nil"/>
                  </w:tcBorders>
                  <w:shd w:val="clear" w:color="auto" w:fill="auto"/>
                  <w:vAlign w:val="center"/>
                </w:tcPr>
                <w:p w14:paraId="0511F166">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1.对照《北京市新增产业的禁止和限制目录（2022年版）》中适用于中心城区、北京城市副中心以外的平原地区的目录(二)，本项目不属于禁止和限制项目。</w:t>
                  </w:r>
                </w:p>
                <w:p w14:paraId="1C668616">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2.本项目不涉及北京市《建设项目规划使用性质正面和负面清单》中负面清单。</w:t>
                  </w:r>
                </w:p>
                <w:p w14:paraId="2432BE07">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3.项目符合《北京城市副中心（通州区）</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时期产业发展规划》《北京城市副中心（通州区）</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时期城市治理规划）》《北京市城市副中心（通州区）</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时期交通发展建设规划》的管控要求。</w:t>
                  </w:r>
                </w:p>
                <w:p w14:paraId="49B0E9AF">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4.项目位于</w:t>
                  </w:r>
                  <w:r>
                    <w:rPr>
                      <w:rFonts w:hint="eastAsia" w:cs="Times New Roman"/>
                      <w:color w:val="auto"/>
                      <w:sz w:val="21"/>
                      <w:szCs w:val="21"/>
                      <w:highlight w:val="none"/>
                      <w:lang w:val="en-US" w:eastAsia="zh-CN"/>
                    </w:rPr>
                    <w:t>北京经济技术开发区(通州)环科中路16号23幢1至4层</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项目不涉及生态保护红线及相关法定保护空间。</w:t>
                  </w:r>
                </w:p>
              </w:tc>
              <w:tc>
                <w:tcPr>
                  <w:tcW w:w="697" w:type="dxa"/>
                  <w:tcBorders>
                    <w:tl2br w:val="nil"/>
                    <w:tr2bl w:val="nil"/>
                  </w:tcBorders>
                  <w:shd w:val="clear" w:color="auto" w:fill="auto"/>
                  <w:vAlign w:val="center"/>
                </w:tcPr>
                <w:p w14:paraId="2301C1EE">
                  <w:pPr>
                    <w:pStyle w:val="9"/>
                    <w:jc w:val="center"/>
                    <w:rPr>
                      <w:rFonts w:hint="default" w:ascii="Times New Roman" w:hAnsi="Times New Roman" w:eastAsia="宋体" w:cs="Times New Roman"/>
                      <w:color w:val="auto"/>
                      <w:sz w:val="21"/>
                      <w:szCs w:val="21"/>
                      <w:highlight w:val="none"/>
                    </w:rPr>
                  </w:pPr>
                </w:p>
                <w:p w14:paraId="15799BC2">
                  <w:pPr>
                    <w:pStyle w:val="9"/>
                    <w:jc w:val="center"/>
                    <w:rPr>
                      <w:rFonts w:hint="default" w:ascii="Times New Roman" w:hAnsi="Times New Roman" w:eastAsia="宋体" w:cs="Times New Roman"/>
                      <w:color w:val="auto"/>
                      <w:sz w:val="21"/>
                      <w:szCs w:val="21"/>
                      <w:highlight w:val="none"/>
                    </w:rPr>
                  </w:pPr>
                </w:p>
                <w:p w14:paraId="75592236">
                  <w:pPr>
                    <w:pStyle w:val="9"/>
                    <w:jc w:val="center"/>
                    <w:rPr>
                      <w:rFonts w:hint="default" w:ascii="Times New Roman" w:hAnsi="Times New Roman" w:eastAsia="宋体" w:cs="Times New Roman"/>
                      <w:color w:val="auto"/>
                      <w:sz w:val="21"/>
                      <w:szCs w:val="21"/>
                      <w:highlight w:val="none"/>
                    </w:rPr>
                  </w:pPr>
                </w:p>
                <w:p w14:paraId="77826F6B">
                  <w:pPr>
                    <w:pStyle w:val="9"/>
                    <w:jc w:val="center"/>
                    <w:rPr>
                      <w:rFonts w:hint="default" w:ascii="Times New Roman" w:hAnsi="Times New Roman" w:eastAsia="宋体" w:cs="Times New Roman"/>
                      <w:color w:val="auto"/>
                      <w:sz w:val="21"/>
                      <w:szCs w:val="21"/>
                      <w:highlight w:val="none"/>
                    </w:rPr>
                  </w:pPr>
                </w:p>
                <w:p w14:paraId="61F95B2C">
                  <w:pPr>
                    <w:pStyle w:val="9"/>
                    <w:jc w:val="center"/>
                    <w:rPr>
                      <w:rFonts w:hint="default" w:ascii="Times New Roman" w:hAnsi="Times New Roman" w:eastAsia="宋体" w:cs="Times New Roman"/>
                      <w:color w:val="auto"/>
                      <w:sz w:val="21"/>
                      <w:szCs w:val="21"/>
                      <w:highlight w:val="none"/>
                    </w:rPr>
                  </w:pPr>
                </w:p>
                <w:p w14:paraId="362B9834">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7E4DF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2" w:type="dxa"/>
                  <w:tcBorders>
                    <w:tl2br w:val="nil"/>
                    <w:tr2bl w:val="nil"/>
                  </w:tcBorders>
                  <w:shd w:val="clear" w:color="auto" w:fill="auto"/>
                  <w:vAlign w:val="center"/>
                </w:tcPr>
                <w:p w14:paraId="1E56876E">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污染物排放管控</w:t>
                  </w:r>
                </w:p>
              </w:tc>
              <w:tc>
                <w:tcPr>
                  <w:tcW w:w="5875" w:type="dxa"/>
                  <w:tcBorders>
                    <w:tl2br w:val="nil"/>
                    <w:tr2bl w:val="nil"/>
                  </w:tcBorders>
                  <w:shd w:val="clear" w:color="auto" w:fill="auto"/>
                </w:tcPr>
                <w:p w14:paraId="789656FB">
                  <w:pPr>
                    <w:pStyle w:val="9"/>
                    <w:numPr>
                      <w:ilvl w:val="0"/>
                      <w:numId w:val="14"/>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通州区全域禁止使用高排放非道路移动机械。</w:t>
                  </w:r>
                </w:p>
                <w:p w14:paraId="3A93DB16">
                  <w:pPr>
                    <w:pStyle w:val="9"/>
                    <w:numPr>
                      <w:ilvl w:val="0"/>
                      <w:numId w:val="14"/>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副中心开展大气污染精细化治理，组织空气质量排名靠后的街道(乡镇)进行综合整治。</w:t>
                  </w:r>
                </w:p>
                <w:p w14:paraId="5548B73A">
                  <w:pPr>
                    <w:pStyle w:val="9"/>
                    <w:numPr>
                      <w:ilvl w:val="0"/>
                      <w:numId w:val="14"/>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必须遵守污染物排放的国家标准和地方标准；在实施重点污染物排放总量控制的区域内，还必须符合重点污染物排放总量控制的要求。</w:t>
                  </w:r>
                </w:p>
                <w:p w14:paraId="61AA1CE9">
                  <w:pPr>
                    <w:pStyle w:val="9"/>
                    <w:numPr>
                      <w:ilvl w:val="0"/>
                      <w:numId w:val="14"/>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严格产业准入标准，有序引导高端要素集聚。</w:t>
                  </w:r>
                </w:p>
                <w:p w14:paraId="5624059D">
                  <w:pPr>
                    <w:pStyle w:val="9"/>
                    <w:numPr>
                      <w:ilvl w:val="0"/>
                      <w:numId w:val="14"/>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工业园区配套建设废水集中处理设施。</w:t>
                  </w:r>
                </w:p>
                <w:p w14:paraId="3EF83240">
                  <w:pPr>
                    <w:pStyle w:val="9"/>
                    <w:numPr>
                      <w:ilvl w:val="0"/>
                      <w:numId w:val="14"/>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依法关闭或搬迁禁养区内的畜禽养殖场（小区）和养殖专业户。新建、改建、扩建规模化畜禽养殖场（小区）要实施雨污分流、粪便污水资源化利用。</w:t>
                  </w:r>
                </w:p>
                <w:p w14:paraId="52AC8F66">
                  <w:pPr>
                    <w:pStyle w:val="9"/>
                    <w:numPr>
                      <w:ilvl w:val="0"/>
                      <w:numId w:val="14"/>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禁止在居民住宅楼、未配套设立专用烟道的商住综合楼、商住综合楼内与居住层相邻的商业楼层内，新建、改建、扩建产生油烟、异味、废气、噪声污染的饮食服务、服装干洗、机动车维修。</w:t>
                  </w:r>
                </w:p>
                <w:p w14:paraId="41062734">
                  <w:pPr>
                    <w:pStyle w:val="9"/>
                    <w:numPr>
                      <w:ilvl w:val="0"/>
                      <w:numId w:val="14"/>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到2025年，道路(含背街小巷)优于一级清扫保洁质量要求。</w:t>
                  </w:r>
                </w:p>
                <w:p w14:paraId="241AC5FE">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9.推动副中心核心区划定超低排放区建设，基本实现公交、环卫、出租、邮政、渣土、机场大巴、货运、旅游及公务车辆为新能源动力，逐步禁止柴油车辆驶入。</w:t>
                  </w:r>
                </w:p>
              </w:tc>
              <w:tc>
                <w:tcPr>
                  <w:tcW w:w="5225" w:type="dxa"/>
                  <w:tcBorders>
                    <w:tl2br w:val="nil"/>
                    <w:tr2bl w:val="nil"/>
                  </w:tcBorders>
                  <w:shd w:val="clear" w:color="auto" w:fill="auto"/>
                  <w:vAlign w:val="center"/>
                </w:tcPr>
                <w:p w14:paraId="322A5B6B">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1.项目不涉及高排放非道路移动机械。</w:t>
                  </w:r>
                </w:p>
                <w:p w14:paraId="1E01EFEA">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2.项目所在区域不属于空气质量排名靠后的街道(乡镇)。</w:t>
                  </w:r>
                </w:p>
                <w:p w14:paraId="4B5DA7E4">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3.本项目废气、废水、噪声均满足国家地方污染物排放标准，固体废物合理处置，满足国家、地方相关要求。本项目总量控制指标为挥发性有机物、化学需氧量、</w:t>
                  </w:r>
                  <w:r>
                    <w:rPr>
                      <w:rFonts w:hint="eastAsia" w:cs="Times New Roman"/>
                      <w:color w:val="auto"/>
                      <w:sz w:val="21"/>
                      <w:szCs w:val="21"/>
                      <w:highlight w:val="none"/>
                      <w:lang w:val="en-US" w:eastAsia="zh-CN"/>
                    </w:rPr>
                    <w:t>氮氧化物、</w:t>
                  </w:r>
                  <w:r>
                    <w:rPr>
                      <w:rFonts w:hint="default" w:ascii="Times New Roman" w:hAnsi="Times New Roman" w:eastAsia="宋体" w:cs="Times New Roman"/>
                      <w:color w:val="auto"/>
                      <w:sz w:val="21"/>
                      <w:szCs w:val="21"/>
                      <w:highlight w:val="none"/>
                    </w:rPr>
                    <w:t>氨氮，严格执行《建设项目主要污染物排放总量指标审核及管理暂行办法（环发[2014]197号）》、《原北京市环境保护局关于建设项目主要污染物排放总量指标审核及管理的补充通知》。</w:t>
                  </w:r>
                </w:p>
                <w:p w14:paraId="62FEC565">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4.项目符合《产业结构调整指导目录》（2024年本）。项目不在《北京市新增产业的禁止和限制目录（2022年版）》禁止和限制范围内。</w:t>
                  </w:r>
                </w:p>
                <w:p w14:paraId="62E79F49">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5.项目所在工业园区已配套建设废水集中</w:t>
                  </w:r>
                  <w:r>
                    <w:rPr>
                      <w:rFonts w:hint="eastAsia" w:cs="Times New Roman"/>
                      <w:color w:val="auto"/>
                      <w:sz w:val="21"/>
                      <w:szCs w:val="21"/>
                      <w:highlight w:val="none"/>
                      <w:lang w:val="en-US" w:eastAsia="zh-CN"/>
                    </w:rPr>
                    <w:t>收集设施，建设化粪池，园区项目废水排放满足污水处理厂进水要求</w:t>
                  </w:r>
                  <w:r>
                    <w:rPr>
                      <w:rFonts w:hint="default" w:ascii="Times New Roman" w:hAnsi="Times New Roman" w:eastAsia="宋体" w:cs="Times New Roman"/>
                      <w:color w:val="auto"/>
                      <w:sz w:val="21"/>
                      <w:szCs w:val="21"/>
                      <w:highlight w:val="none"/>
                    </w:rPr>
                    <w:t>。</w:t>
                  </w:r>
                </w:p>
                <w:p w14:paraId="6AD6AD6D">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6.项目不属于畜禽养殖场（小区）和养殖专业户。</w:t>
                  </w:r>
                </w:p>
                <w:p w14:paraId="48C81CBE">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7.项目不位于居民住宅楼、未配套设立专用烟道的商住综合楼、商住综合楼内与居住层相邻的商业楼层内，且项目不属于饮食服务、服装干洗、机动车维修。</w:t>
                  </w:r>
                </w:p>
                <w:p w14:paraId="40037F76">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8.项目不涉及。</w:t>
                  </w:r>
                </w:p>
                <w:p w14:paraId="613DB4EC">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9.项目不涉及柴油车辆。</w:t>
                  </w:r>
                </w:p>
              </w:tc>
              <w:tc>
                <w:tcPr>
                  <w:tcW w:w="697" w:type="dxa"/>
                  <w:tcBorders>
                    <w:tl2br w:val="nil"/>
                    <w:tr2bl w:val="nil"/>
                  </w:tcBorders>
                  <w:shd w:val="clear" w:color="auto" w:fill="auto"/>
                  <w:vAlign w:val="center"/>
                </w:tcPr>
                <w:p w14:paraId="1752A085">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3958D1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2" w:type="dxa"/>
                  <w:tcBorders>
                    <w:tl2br w:val="nil"/>
                    <w:tr2bl w:val="nil"/>
                  </w:tcBorders>
                  <w:shd w:val="clear" w:color="auto" w:fill="auto"/>
                  <w:vAlign w:val="center"/>
                </w:tcPr>
                <w:p w14:paraId="02608714">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环境风险防控</w:t>
                  </w:r>
                </w:p>
              </w:tc>
              <w:tc>
                <w:tcPr>
                  <w:tcW w:w="5875" w:type="dxa"/>
                  <w:tcBorders>
                    <w:tl2br w:val="nil"/>
                    <w:tr2bl w:val="nil"/>
                  </w:tcBorders>
                  <w:shd w:val="clear" w:color="auto" w:fill="auto"/>
                </w:tcPr>
                <w:p w14:paraId="4C2ACADA">
                  <w:pPr>
                    <w:pStyle w:val="9"/>
                    <w:numPr>
                      <w:ilvl w:val="0"/>
                      <w:numId w:val="15"/>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应充分考虑污染地块的环境风险，合理确定土地用途。</w:t>
                  </w:r>
                </w:p>
                <w:p w14:paraId="20B4FD11">
                  <w:pPr>
                    <w:pStyle w:val="9"/>
                    <w:numPr>
                      <w:ilvl w:val="0"/>
                      <w:numId w:val="15"/>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严格用地准入，防范人居环境风险。严格实施再开发、安全利用的管理。对原东方化工厂所在区域开展土壤治理修复和风险管控，保障城市绿心用地安全。</w:t>
                  </w:r>
                </w:p>
                <w:p w14:paraId="5A5D46EC">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3.有效落实空气重污染各项应急减排措施，引导提高施工工地和应急减排清单企业的绩效等级，引导使用纯电动、氢燃料电池的车辆和非道路移动机械。</w:t>
                  </w:r>
                </w:p>
              </w:tc>
              <w:tc>
                <w:tcPr>
                  <w:tcW w:w="5225" w:type="dxa"/>
                  <w:tcBorders>
                    <w:tl2br w:val="nil"/>
                    <w:tr2bl w:val="nil"/>
                  </w:tcBorders>
                  <w:shd w:val="clear" w:color="auto" w:fill="auto"/>
                  <w:vAlign w:val="center"/>
                </w:tcPr>
                <w:p w14:paraId="4776AC18">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1.项目租用现有建筑物进行建设，不涉及新增用地。项目租用建筑物用途为</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工业</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val="en-US" w:eastAsia="zh-CN"/>
                    </w:rPr>
                    <w:t>从事</w:t>
                  </w:r>
                  <w:r>
                    <w:rPr>
                      <w:rFonts w:hint="eastAsia" w:cs="Times New Roman"/>
                      <w:color w:val="auto"/>
                      <w:sz w:val="21"/>
                      <w:szCs w:val="21"/>
                      <w:highlight w:val="none"/>
                      <w:lang w:val="en-US" w:eastAsia="zh-CN"/>
                    </w:rPr>
                    <w:t>检验检测服务</w:t>
                  </w:r>
                  <w:r>
                    <w:rPr>
                      <w:rFonts w:hint="default" w:ascii="Times New Roman" w:hAnsi="Times New Roman" w:eastAsia="宋体" w:cs="Times New Roman"/>
                      <w:color w:val="auto"/>
                      <w:sz w:val="21"/>
                      <w:szCs w:val="21"/>
                      <w:highlight w:val="none"/>
                    </w:rPr>
                    <w:t>，符合建筑的规划用途。</w:t>
                  </w:r>
                </w:p>
                <w:p w14:paraId="2EB4DED3">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2.项目租用现有建筑物进行建设，不涉及新增用地。</w:t>
                  </w:r>
                </w:p>
                <w:p w14:paraId="6BD510C7">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3.项目租用现有建筑物进行建设，不涉及土建施工。施工期仅为简单装修。</w:t>
                  </w:r>
                </w:p>
              </w:tc>
              <w:tc>
                <w:tcPr>
                  <w:tcW w:w="697" w:type="dxa"/>
                  <w:tcBorders>
                    <w:tl2br w:val="nil"/>
                    <w:tr2bl w:val="nil"/>
                  </w:tcBorders>
                  <w:shd w:val="clear" w:color="auto" w:fill="auto"/>
                  <w:vAlign w:val="center"/>
                </w:tcPr>
                <w:p w14:paraId="67F1911C">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3DB8A0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2" w:type="dxa"/>
                  <w:tcBorders>
                    <w:tl2br w:val="nil"/>
                    <w:tr2bl w:val="nil"/>
                  </w:tcBorders>
                  <w:shd w:val="clear" w:color="auto" w:fill="auto"/>
                  <w:vAlign w:val="center"/>
                </w:tcPr>
                <w:p w14:paraId="1F78CED4">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资源利用效率</w:t>
                  </w:r>
                </w:p>
              </w:tc>
              <w:tc>
                <w:tcPr>
                  <w:tcW w:w="5875" w:type="dxa"/>
                  <w:tcBorders>
                    <w:tl2br w:val="nil"/>
                    <w:tr2bl w:val="nil"/>
                  </w:tcBorders>
                  <w:shd w:val="clear" w:color="auto" w:fill="auto"/>
                </w:tcPr>
                <w:p w14:paraId="78A35AED">
                  <w:pPr>
                    <w:pStyle w:val="9"/>
                    <w:numPr>
                      <w:ilvl w:val="0"/>
                      <w:numId w:val="16"/>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坚持节水优先，实行最严格水资源管理制度，促进生产和生活全方位节水。</w:t>
                  </w:r>
                </w:p>
                <w:p w14:paraId="2DE433FB">
                  <w:pPr>
                    <w:pStyle w:val="9"/>
                    <w:numPr>
                      <w:ilvl w:val="0"/>
                      <w:numId w:val="16"/>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优化区域能源结构，大力推进新能源和可再生能源利用，严控能源消费总量。</w:t>
                  </w:r>
                </w:p>
                <w:p w14:paraId="26AADDA8">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3.加快锅炉房新能源和可再生能源替代，结合旧城改造、城市更新、园区建设和特色小镇等发展契机，推进建筑和工业等领域新能源和可再生能源供热，显著降低常规发展模式下能源利用污染物排放总量。</w:t>
                  </w:r>
                </w:p>
              </w:tc>
              <w:tc>
                <w:tcPr>
                  <w:tcW w:w="5225" w:type="dxa"/>
                  <w:tcBorders>
                    <w:tl2br w:val="nil"/>
                    <w:tr2bl w:val="nil"/>
                  </w:tcBorders>
                  <w:shd w:val="clear" w:color="auto" w:fill="auto"/>
                  <w:vAlign w:val="center"/>
                </w:tcPr>
                <w:p w14:paraId="040635B9">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1.本项目用水由市政给水管网提供。项目加强</w:t>
                  </w:r>
                  <w:r>
                    <w:rPr>
                      <w:rFonts w:hint="eastAsia" w:cs="Times New Roman"/>
                      <w:color w:val="auto"/>
                      <w:sz w:val="21"/>
                      <w:szCs w:val="21"/>
                      <w:highlight w:val="none"/>
                      <w:lang w:val="en-US" w:eastAsia="zh-CN"/>
                    </w:rPr>
                    <w:t>检测</w:t>
                  </w:r>
                  <w:r>
                    <w:rPr>
                      <w:rFonts w:hint="default" w:ascii="Times New Roman" w:hAnsi="Times New Roman" w:eastAsia="宋体" w:cs="Times New Roman"/>
                      <w:color w:val="auto"/>
                      <w:sz w:val="21"/>
                      <w:szCs w:val="21"/>
                      <w:highlight w:val="none"/>
                    </w:rPr>
                    <w:t>和生活全方位节水。</w:t>
                  </w:r>
                </w:p>
                <w:p w14:paraId="7D47BCD1">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2.项目所用能源主要为水资源和电能。项目不涉及其他能源消耗。</w:t>
                  </w:r>
                </w:p>
                <w:p w14:paraId="44238A1F">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3.项目不涉及锅炉使用。</w:t>
                  </w:r>
                </w:p>
              </w:tc>
              <w:tc>
                <w:tcPr>
                  <w:tcW w:w="697" w:type="dxa"/>
                  <w:tcBorders>
                    <w:tl2br w:val="nil"/>
                    <w:tr2bl w:val="nil"/>
                  </w:tcBorders>
                  <w:shd w:val="clear" w:color="auto" w:fill="auto"/>
                  <w:vAlign w:val="center"/>
                </w:tcPr>
                <w:p w14:paraId="2276AC31">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6F04741A">
            <w:pPr>
              <w:rPr>
                <w:rFonts w:hint="default" w:ascii="Times New Roman" w:hAnsi="Times New Roman" w:eastAsia="宋体" w:cs="Times New Roman"/>
                <w:b/>
                <w:bCs/>
                <w:color w:val="auto"/>
                <w:sz w:val="24"/>
                <w:highlight w:val="none"/>
              </w:rPr>
            </w:pPr>
          </w:p>
          <w:p w14:paraId="18E70F1F">
            <w:pPr>
              <w:pStyle w:val="9"/>
              <w:numPr>
                <w:ilvl w:val="0"/>
                <w:numId w:val="12"/>
              </w:num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环境管控单元生态环境准入清单</w:t>
            </w:r>
          </w:p>
          <w:p w14:paraId="540ACAD8">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本项目与重点管控单元准入清单的符合性分析见下表</w:t>
            </w:r>
          </w:p>
          <w:p w14:paraId="733BCD88">
            <w:pPr>
              <w:widowControl/>
              <w:numPr>
                <w:ilvl w:val="0"/>
                <w:numId w:val="4"/>
              </w:numPr>
              <w:spacing w:line="360" w:lineRule="auto"/>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重点产业园区重点管控单元生态环境准入清单</w:t>
            </w:r>
          </w:p>
          <w:tbl>
            <w:tblPr>
              <w:tblStyle w:val="24"/>
              <w:tblW w:w="12979"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7516"/>
              <w:gridCol w:w="4008"/>
              <w:gridCol w:w="677"/>
            </w:tblGrid>
            <w:tr w14:paraId="6B2503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8" w:type="dxa"/>
                  <w:tcBorders>
                    <w:tl2br w:val="nil"/>
                    <w:tr2bl w:val="nil"/>
                  </w:tcBorders>
                  <w:shd w:val="clear" w:color="auto" w:fill="auto"/>
                  <w:vAlign w:val="center"/>
                </w:tcPr>
                <w:p w14:paraId="5848E03A">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管控类别</w:t>
                  </w:r>
                </w:p>
              </w:tc>
              <w:tc>
                <w:tcPr>
                  <w:tcW w:w="7516" w:type="dxa"/>
                  <w:tcBorders>
                    <w:tl2br w:val="nil"/>
                    <w:tr2bl w:val="nil"/>
                  </w:tcBorders>
                  <w:shd w:val="clear" w:color="auto" w:fill="auto"/>
                  <w:vAlign w:val="center"/>
                </w:tcPr>
                <w:p w14:paraId="7ECEFACA">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重点管控要求</w:t>
                  </w:r>
                </w:p>
              </w:tc>
              <w:tc>
                <w:tcPr>
                  <w:tcW w:w="4008" w:type="dxa"/>
                  <w:tcBorders>
                    <w:tl2br w:val="nil"/>
                    <w:tr2bl w:val="nil"/>
                  </w:tcBorders>
                  <w:shd w:val="clear" w:color="auto" w:fill="auto"/>
                  <w:vAlign w:val="center"/>
                </w:tcPr>
                <w:p w14:paraId="657822E6">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本项目符合性</w:t>
                  </w:r>
                </w:p>
              </w:tc>
              <w:tc>
                <w:tcPr>
                  <w:tcW w:w="677" w:type="dxa"/>
                  <w:tcBorders>
                    <w:tl2br w:val="nil"/>
                    <w:tr2bl w:val="nil"/>
                  </w:tcBorders>
                  <w:shd w:val="clear" w:color="auto" w:fill="auto"/>
                  <w:vAlign w:val="center"/>
                </w:tcPr>
                <w:p w14:paraId="4CDFB3C9">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是否</w:t>
                  </w:r>
                </w:p>
                <w:p w14:paraId="3D0104E1">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w:t>
                  </w:r>
                </w:p>
              </w:tc>
            </w:tr>
            <w:tr w14:paraId="1B5972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8" w:type="dxa"/>
                  <w:tcBorders>
                    <w:tl2br w:val="nil"/>
                    <w:tr2bl w:val="nil"/>
                  </w:tcBorders>
                  <w:shd w:val="clear" w:color="auto" w:fill="auto"/>
                  <w:vAlign w:val="center"/>
                </w:tcPr>
                <w:p w14:paraId="06149349">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空间布局约束</w:t>
                  </w:r>
                </w:p>
              </w:tc>
              <w:tc>
                <w:tcPr>
                  <w:tcW w:w="7516" w:type="dxa"/>
                  <w:tcBorders>
                    <w:tl2br w:val="nil"/>
                    <w:tr2bl w:val="nil"/>
                  </w:tcBorders>
                  <w:shd w:val="clear" w:color="auto" w:fill="auto"/>
                  <w:vAlign w:val="center"/>
                </w:tcPr>
                <w:p w14:paraId="5E63187B">
                  <w:pPr>
                    <w:pStyle w:val="9"/>
                    <w:numPr>
                      <w:ilvl w:val="0"/>
                      <w:numId w:val="17"/>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执行重点管控类（产业园区）生态环境总体准入清单和平原新城生态环境准入清单的空间布局约束准入要求。</w:t>
                  </w:r>
                </w:p>
                <w:p w14:paraId="1AAF1308">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2.执行《亦庄新城规划（国土空间规划）（2017年</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2035年）》及园区规划，立足开发区高端产业的发展基础，持续做强电子信息、生物医药、装备产业、汽车产业的总装集成、系统集成、总部经济等高端业态，做精自动化程度高、集约度高、附加值高、科技含量高、资金密集型的非制造环节。</w:t>
                  </w:r>
                </w:p>
              </w:tc>
              <w:tc>
                <w:tcPr>
                  <w:tcW w:w="4008" w:type="dxa"/>
                  <w:tcBorders>
                    <w:tl2br w:val="nil"/>
                    <w:tr2bl w:val="nil"/>
                  </w:tcBorders>
                  <w:shd w:val="clear" w:color="auto" w:fill="auto"/>
                  <w:vAlign w:val="center"/>
                </w:tcPr>
                <w:p w14:paraId="4979E668">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1.项目符合重点管控类（产业园区）生态环境总体准入清单和平原新城生态环境准入清单的空间布局约束准入要求。</w:t>
                  </w:r>
                </w:p>
                <w:p w14:paraId="64890F14">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2.本项目为附加值高、科技含量高、资金密集型的非制造</w:t>
                  </w:r>
                  <w:r>
                    <w:rPr>
                      <w:rFonts w:hint="eastAsia" w:cs="Times New Roman"/>
                      <w:color w:val="auto"/>
                      <w:sz w:val="21"/>
                      <w:szCs w:val="21"/>
                      <w:highlight w:val="none"/>
                      <w:lang w:val="en-US" w:eastAsia="zh-CN"/>
                    </w:rPr>
                    <w:t>检测</w:t>
                  </w:r>
                  <w:r>
                    <w:rPr>
                      <w:rFonts w:hint="default" w:ascii="Times New Roman" w:hAnsi="Times New Roman"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，符合《亦庄新城规划（国土空间规划）（2017</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2035年）》及其批复中相关要求。</w:t>
                  </w:r>
                </w:p>
              </w:tc>
              <w:tc>
                <w:tcPr>
                  <w:tcW w:w="677" w:type="dxa"/>
                  <w:tcBorders>
                    <w:tl2br w:val="nil"/>
                    <w:tr2bl w:val="nil"/>
                  </w:tcBorders>
                  <w:shd w:val="clear" w:color="auto" w:fill="auto"/>
                  <w:vAlign w:val="center"/>
                </w:tcPr>
                <w:p w14:paraId="7914504C">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14386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8" w:type="dxa"/>
                  <w:tcBorders>
                    <w:tl2br w:val="nil"/>
                    <w:tr2bl w:val="nil"/>
                  </w:tcBorders>
                  <w:shd w:val="clear" w:color="auto" w:fill="auto"/>
                  <w:vAlign w:val="center"/>
                </w:tcPr>
                <w:p w14:paraId="51806719">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污染物排放管控</w:t>
                  </w:r>
                </w:p>
              </w:tc>
              <w:tc>
                <w:tcPr>
                  <w:tcW w:w="7516" w:type="dxa"/>
                  <w:tcBorders>
                    <w:tl2br w:val="nil"/>
                    <w:tr2bl w:val="nil"/>
                  </w:tcBorders>
                  <w:shd w:val="clear" w:color="auto" w:fill="auto"/>
                  <w:vAlign w:val="center"/>
                </w:tcPr>
                <w:p w14:paraId="46001B39">
                  <w:pPr>
                    <w:pStyle w:val="9"/>
                    <w:numPr>
                      <w:ilvl w:val="0"/>
                      <w:numId w:val="18"/>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执行重点管控类（产业园区）生态环境总体准入清单和平原新城生态环境准入清单的污染物排放管控准入要求。</w:t>
                  </w:r>
                </w:p>
                <w:p w14:paraId="0D213E30">
                  <w:pPr>
                    <w:pStyle w:val="9"/>
                    <w:numPr>
                      <w:ilvl w:val="0"/>
                      <w:numId w:val="18"/>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重点行业清洁生产水平达到相应行业清洁生产一级标准或国际先进水平。</w:t>
                  </w:r>
                </w:p>
                <w:p w14:paraId="4F5B812B">
                  <w:pPr>
                    <w:pStyle w:val="9"/>
                    <w:numPr>
                      <w:ilvl w:val="0"/>
                      <w:numId w:val="18"/>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新建燃气锅炉采用超低氮燃烧技术，NOx排放浓度控制在30mg/m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内。在用燃气锅炉实施低氮燃烧技术改造或脱硝治理，NOx排放浓度控制在80mg/m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以内。电子设备制造、汽车制造、包装印刷等行业推进单一活性炭吸附、光氧化及低温等离子等VOCs治理工艺改造，确保企业VOCs综合去除效率提升至60%以上。</w:t>
                  </w:r>
                </w:p>
                <w:p w14:paraId="04771E46">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4.加强污水治理，污水处理率达到100%。</w:t>
                  </w:r>
                </w:p>
              </w:tc>
              <w:tc>
                <w:tcPr>
                  <w:tcW w:w="4008" w:type="dxa"/>
                  <w:tcBorders>
                    <w:tl2br w:val="nil"/>
                    <w:tr2bl w:val="nil"/>
                  </w:tcBorders>
                  <w:shd w:val="clear" w:color="auto" w:fill="auto"/>
                  <w:vAlign w:val="center"/>
                </w:tcPr>
                <w:p w14:paraId="68D11A20">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1.项目满足重点管控类（产业园区）生态环境总体准入清单和平原新城生态环境准入清单的污染物排放管控准入要求。</w:t>
                  </w:r>
                </w:p>
                <w:p w14:paraId="38E42E65">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2.本项目为</w:t>
                  </w:r>
                  <w:r>
                    <w:rPr>
                      <w:rFonts w:hint="eastAsia" w:cs="Times New Roman"/>
                      <w:color w:val="auto"/>
                      <w:sz w:val="21"/>
                      <w:szCs w:val="21"/>
                      <w:highlight w:val="none"/>
                      <w:lang w:val="en-US" w:eastAsia="zh-CN"/>
                    </w:rPr>
                    <w:t>检验检测</w:t>
                  </w:r>
                  <w:r>
                    <w:rPr>
                      <w:rFonts w:hint="default" w:ascii="Times New Roman" w:hAnsi="Times New Roman" w:eastAsia="宋体" w:cs="Times New Roman"/>
                      <w:color w:val="auto"/>
                      <w:sz w:val="21"/>
                      <w:szCs w:val="21"/>
                      <w:highlight w:val="none"/>
                    </w:rPr>
                    <w:t>项目，不属于重点行业。</w:t>
                  </w:r>
                </w:p>
                <w:p w14:paraId="24D49A55">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3.项目不涉及锅炉使用。项目不属于电子设备制造、汽车制造、包装印刷等行业。4.项目废水分类收集后排放，废水均能得到有效处理。</w:t>
                  </w:r>
                </w:p>
              </w:tc>
              <w:tc>
                <w:tcPr>
                  <w:tcW w:w="677" w:type="dxa"/>
                  <w:tcBorders>
                    <w:tl2br w:val="nil"/>
                    <w:tr2bl w:val="nil"/>
                  </w:tcBorders>
                  <w:shd w:val="clear" w:color="auto" w:fill="auto"/>
                  <w:vAlign w:val="center"/>
                </w:tcPr>
                <w:p w14:paraId="0B3166DB">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0DBC7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8" w:type="dxa"/>
                  <w:tcBorders>
                    <w:tl2br w:val="nil"/>
                    <w:tr2bl w:val="nil"/>
                  </w:tcBorders>
                  <w:shd w:val="clear" w:color="auto" w:fill="auto"/>
                  <w:vAlign w:val="center"/>
                </w:tcPr>
                <w:p w14:paraId="169DC6C4">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w:t>
                  </w:r>
                </w:p>
                <w:p w14:paraId="3DDF0B8C">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风险</w:t>
                  </w:r>
                </w:p>
                <w:p w14:paraId="30CABDA2">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防控</w:t>
                  </w:r>
                </w:p>
              </w:tc>
              <w:tc>
                <w:tcPr>
                  <w:tcW w:w="7516" w:type="dxa"/>
                  <w:tcBorders>
                    <w:tl2br w:val="nil"/>
                    <w:tr2bl w:val="nil"/>
                  </w:tcBorders>
                  <w:shd w:val="clear" w:color="auto" w:fill="auto"/>
                  <w:vAlign w:val="center"/>
                </w:tcPr>
                <w:p w14:paraId="6CD9C1D2">
                  <w:pPr>
                    <w:pStyle w:val="9"/>
                    <w:numPr>
                      <w:ilvl w:val="0"/>
                      <w:numId w:val="19"/>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执行重点管控类（产业园区）生态环境总体准入清单和平原新城生态环境准入清单的环境风险防范准入要求。</w:t>
                  </w:r>
                </w:p>
                <w:p w14:paraId="78ED8A8C">
                  <w:pPr>
                    <w:pStyle w:val="9"/>
                    <w:numPr>
                      <w:ilvl w:val="0"/>
                      <w:numId w:val="19"/>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居民区、学校、医疗和养老机构等敏感用地周边，优先规划土壤污染低风险用地。在土壤污染高风险用地周边，避免规划上述敏感用地，确需规划的，提前做好风险防控。督促土壤重点监管单位落实生产经营期间的排查、监测、报告等义务，严格落实设备设施拆除、用地用途变更等活动有关不动产登记及备案要求。</w:t>
                  </w:r>
                </w:p>
                <w:p w14:paraId="4BE92767">
                  <w:pPr>
                    <w:pStyle w:val="9"/>
                    <w:numPr>
                      <w:ilvl w:val="0"/>
                      <w:numId w:val="19"/>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新建、改建、扩建产生危险废物的建设项目，年度同一种类危险废物产生量超过5000吨的，应建设符合国家和本市有关标准的自行利用、处置设施，并纳入建设项目环境影响评价，与主体工程同时设计，同时施工，同时投入使用。</w:t>
                  </w:r>
                </w:p>
                <w:p w14:paraId="4A996EB6">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无废规划指标：除半导体和汽车的其他重点行业，单位产值危险废物产生量降至1.1千克/万元以下；半导体行业≤5千克/万元或半导体行业12英寸，掩膜层数35层以上产品的单位产品一般工业固废产生量≤20千克/片；汽车行业单位产值一般工业固废产生量≤5千克/万元；汽车行业生产单台车危险废物产生量≤15千克/台，并持续下降；半导体行业12英寸，掩膜层数35层以上产品的单位产品危险废物产生量≤20千克/片，并持续下降；研究与</w:t>
                  </w:r>
                  <w:r>
                    <w:rPr>
                      <w:rFonts w:hint="default" w:ascii="Times New Roman" w:hAnsi="Times New Roman" w:eastAsia="宋体" w:cs="Times New Roman"/>
                      <w:color w:val="auto"/>
                      <w:sz w:val="21"/>
                      <w:szCs w:val="21"/>
                      <w:highlight w:val="none"/>
                      <w:lang w:eastAsia="zh-CN"/>
                    </w:rPr>
                    <w:t>实验</w:t>
                  </w:r>
                  <w:r>
                    <w:rPr>
                      <w:rFonts w:hint="default" w:ascii="Times New Roman" w:hAnsi="Times New Roman" w:eastAsia="宋体" w:cs="Times New Roman"/>
                      <w:color w:val="auto"/>
                      <w:sz w:val="21"/>
                      <w:szCs w:val="21"/>
                      <w:highlight w:val="none"/>
                    </w:rPr>
                    <w:t>发展业企业单位产值危险废物产生量降至1.1千克/万元以下，重点产废单位清洁生产审核覆盖率100%；新增企业单位产值一般工业固废产生量＜5千克/万元，单位产值危险废物产生量＜1千克/万元。半导体行业废酸资源化利用率＞50%。</w:t>
                  </w:r>
                </w:p>
              </w:tc>
              <w:tc>
                <w:tcPr>
                  <w:tcW w:w="4008" w:type="dxa"/>
                  <w:tcBorders>
                    <w:tl2br w:val="nil"/>
                    <w:tr2bl w:val="nil"/>
                  </w:tcBorders>
                  <w:shd w:val="clear" w:color="auto" w:fill="auto"/>
                  <w:vAlign w:val="center"/>
                </w:tcPr>
                <w:p w14:paraId="7B392337">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1.项目满足重点管控类（产业园区）生态环境总体准入清单和平原新城生态环境准入清单的环境风险防范准入要求。</w:t>
                  </w:r>
                </w:p>
                <w:p w14:paraId="5A08F2C9">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2.本项目租用现有建筑物进行建设，不涉及新增占地。</w:t>
                  </w:r>
                </w:p>
                <w:p w14:paraId="2456E1F6">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3.本项目危险废物年产生量不到5000t/a，危险废物暂存于危废暂存间，定期委托有资质单位进行处置。</w:t>
                  </w:r>
                </w:p>
                <w:p w14:paraId="34276526">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4.项目符合</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无废规划指标中的要求。</w:t>
                  </w:r>
                </w:p>
              </w:tc>
              <w:tc>
                <w:tcPr>
                  <w:tcW w:w="677" w:type="dxa"/>
                  <w:tcBorders>
                    <w:tl2br w:val="nil"/>
                    <w:tr2bl w:val="nil"/>
                  </w:tcBorders>
                  <w:shd w:val="clear" w:color="auto" w:fill="auto"/>
                  <w:vAlign w:val="center"/>
                </w:tcPr>
                <w:p w14:paraId="666020EB">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2AFDF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8" w:type="dxa"/>
                  <w:tcBorders>
                    <w:tl2br w:val="nil"/>
                    <w:tr2bl w:val="nil"/>
                  </w:tcBorders>
                  <w:shd w:val="clear" w:color="auto" w:fill="auto"/>
                  <w:vAlign w:val="center"/>
                </w:tcPr>
                <w:p w14:paraId="5A7FEFE1">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资源</w:t>
                  </w:r>
                </w:p>
                <w:p w14:paraId="792267CC">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利用</w:t>
                  </w:r>
                </w:p>
                <w:p w14:paraId="37F4EDE1">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效率</w:t>
                  </w:r>
                </w:p>
              </w:tc>
              <w:tc>
                <w:tcPr>
                  <w:tcW w:w="7516" w:type="dxa"/>
                  <w:tcBorders>
                    <w:tl2br w:val="nil"/>
                    <w:tr2bl w:val="nil"/>
                  </w:tcBorders>
                  <w:shd w:val="clear" w:color="auto" w:fill="auto"/>
                  <w:vAlign w:val="center"/>
                </w:tcPr>
                <w:p w14:paraId="4A569273">
                  <w:pPr>
                    <w:pStyle w:val="9"/>
                    <w:numPr>
                      <w:ilvl w:val="0"/>
                      <w:numId w:val="20"/>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执行重点管控类（产业园区）生态环境总体准入清单和平原新城生态环境准入清单的资源利用效率准入要求。</w:t>
                  </w:r>
                </w:p>
                <w:p w14:paraId="763D2B14">
                  <w:pPr>
                    <w:pStyle w:val="9"/>
                    <w:numPr>
                      <w:ilvl w:val="0"/>
                      <w:numId w:val="20"/>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执行园区规划中相关资源利用管控要求，其中到2035年优质能源比重达到99％以上，新能源和可再生能源比重力争达到10％以上。创新能源利用和管理方式。</w:t>
                  </w:r>
                </w:p>
                <w:p w14:paraId="23AA8E49">
                  <w:pPr>
                    <w:pStyle w:val="9"/>
                    <w:numPr>
                      <w:ilvl w:val="0"/>
                      <w:numId w:val="20"/>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鼓励有条件企业建设内部再生水利用设施，满足不同用途和不同品质的再生水需求。加强废水深度处理和回用，年用水量1万m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以上的工业企业实现用水计划管理全覆盖。</w:t>
                  </w:r>
                </w:p>
                <w:p w14:paraId="61214F46">
                  <w:pPr>
                    <w:pStyle w:val="9"/>
                    <w:numPr>
                      <w:ilvl w:val="0"/>
                      <w:numId w:val="20"/>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鼓励经开区内工业企业购买使用绿电，推动由天然气、外调电为主的清洁能源结构向低碳能源结构转变。</w:t>
                  </w:r>
                </w:p>
                <w:p w14:paraId="55EB1894">
                  <w:pPr>
                    <w:pStyle w:val="9"/>
                    <w:numPr>
                      <w:ilvl w:val="0"/>
                      <w:numId w:val="20"/>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鼓励企业充分利用闲置厂房屋顶，或者办公楼屋顶，采用自发自用余电上网模式，安装分布式光伏设施；采用光伏建筑一体化技术，达到太阳能利用最大化。</w:t>
                  </w:r>
                </w:p>
                <w:p w14:paraId="371AD20A">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6.推进屋顶分布式光伏发电试点工作，试点区域内党政机关，学校、医院、村委会，工商业厂房及农户建筑屋顶总面积安装光伏发电比例分别不低于50%、40%、30%和20%。</w:t>
                  </w:r>
                </w:p>
              </w:tc>
              <w:tc>
                <w:tcPr>
                  <w:tcW w:w="4008" w:type="dxa"/>
                  <w:tcBorders>
                    <w:tl2br w:val="nil"/>
                    <w:tr2bl w:val="nil"/>
                  </w:tcBorders>
                  <w:shd w:val="clear" w:color="auto" w:fill="auto"/>
                  <w:vAlign w:val="center"/>
                </w:tcPr>
                <w:p w14:paraId="1AF88F2B">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1.项目满足重点管控类（产业园区）生态环境总体准入清单和平原新城生态环境准入清单的资源利用效率准入要求。</w:t>
                  </w:r>
                </w:p>
                <w:p w14:paraId="4C992DAD">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2.本项目所用能源为水资源和电能，不涉及其他能源消耗。</w:t>
                  </w:r>
                </w:p>
                <w:p w14:paraId="2B7A2382">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3.本项目新鲜用水不到1万m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p w14:paraId="07B10E04">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4.项目租用现有建筑物进行建设，用电依托市政电网。</w:t>
                  </w:r>
                </w:p>
                <w:p w14:paraId="2E73767D">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5.项目租用现有建筑物进行建设，用电依托市政电网。</w:t>
                  </w:r>
                </w:p>
                <w:p w14:paraId="1E955462">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6.项目租用现有建筑物进行建设，用电依托市政电网。</w:t>
                  </w:r>
                </w:p>
              </w:tc>
              <w:tc>
                <w:tcPr>
                  <w:tcW w:w="677" w:type="dxa"/>
                  <w:tcBorders>
                    <w:tl2br w:val="nil"/>
                    <w:tr2bl w:val="nil"/>
                  </w:tcBorders>
                  <w:shd w:val="clear" w:color="auto" w:fill="auto"/>
                  <w:vAlign w:val="center"/>
                </w:tcPr>
                <w:p w14:paraId="61D2E534">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6011684F">
            <w:pPr>
              <w:rPr>
                <w:rFonts w:hint="default" w:ascii="Times New Roman" w:hAnsi="Times New Roman" w:eastAsia="宋体" w:cs="Times New Roman"/>
                <w:b/>
                <w:bCs/>
                <w:color w:val="auto"/>
                <w:sz w:val="24"/>
                <w:highlight w:val="none"/>
              </w:rPr>
            </w:pPr>
          </w:p>
          <w:p w14:paraId="60EA09DC">
            <w:pPr>
              <w:pStyle w:val="9"/>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rPr>
              <w:t>综上所述，本项目符合</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三线一单</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的准入</w:t>
            </w:r>
            <w:r>
              <w:rPr>
                <w:rFonts w:hint="default" w:ascii="Times New Roman" w:hAnsi="Times New Roman" w:eastAsia="宋体" w:cs="Times New Roman"/>
                <w:color w:val="auto"/>
                <w:sz w:val="24"/>
                <w:highlight w:val="none"/>
                <w:lang w:val="en-US" w:eastAsia="zh-CN"/>
              </w:rPr>
              <w:t>要求</w:t>
            </w:r>
            <w:r>
              <w:rPr>
                <w:rFonts w:hint="default" w:ascii="Times New Roman" w:hAnsi="Times New Roman" w:eastAsia="宋体" w:cs="Times New Roman"/>
                <w:color w:val="auto"/>
                <w:sz w:val="24"/>
                <w:highlight w:val="none"/>
              </w:rPr>
              <w:t>。</w:t>
            </w:r>
          </w:p>
        </w:tc>
      </w:tr>
    </w:tbl>
    <w:p w14:paraId="5F074AD7">
      <w:pPr>
        <w:pStyle w:val="9"/>
        <w:rPr>
          <w:rFonts w:hint="default" w:ascii="Times New Roman" w:hAnsi="Times New Roman" w:eastAsia="宋体" w:cs="Times New Roman"/>
          <w:color w:val="auto"/>
          <w:highlight w:val="none"/>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14:paraId="35CEF0F3">
      <w:pPr>
        <w:pStyle w:val="20"/>
        <w:adjustRightInd w:val="0"/>
        <w:snapToGrid w:val="0"/>
        <w:spacing w:before="0" w:beforeAutospacing="0" w:after="0" w:afterAutospacing="0" w:line="14" w:lineRule="auto"/>
        <w:jc w:val="center"/>
        <w:rPr>
          <w:rFonts w:hint="default" w:ascii="Times New Roman" w:hAnsi="Times New Roman" w:eastAsia="宋体" w:cs="Times New Roman"/>
          <w:snapToGrid w:val="0"/>
          <w:color w:val="auto"/>
          <w:sz w:val="36"/>
          <w:szCs w:val="36"/>
          <w:highlight w:val="none"/>
        </w:rPr>
      </w:pPr>
    </w:p>
    <w:p w14:paraId="5EFE61C2">
      <w:pPr>
        <w:pStyle w:val="20"/>
        <w:jc w:val="center"/>
        <w:outlineLvl w:val="0"/>
        <w:rPr>
          <w:rFonts w:hint="default" w:ascii="Times New Roman" w:hAnsi="Times New Roman" w:eastAsia="宋体" w:cs="Times New Roman"/>
          <w:snapToGrid w:val="0"/>
          <w:color w:val="auto"/>
          <w:sz w:val="36"/>
          <w:szCs w:val="36"/>
          <w:highlight w:val="none"/>
        </w:rPr>
      </w:pPr>
      <w:r>
        <w:rPr>
          <w:rFonts w:hint="default" w:ascii="Times New Roman" w:hAnsi="Times New Roman" w:eastAsia="宋体" w:cs="Times New Roman"/>
          <w:snapToGrid w:val="0"/>
          <w:color w:val="auto"/>
          <w:sz w:val="36"/>
          <w:szCs w:val="36"/>
          <w:highlight w:val="none"/>
        </w:rPr>
        <w:t>二、建设项目工程分析</w:t>
      </w:r>
    </w:p>
    <w:tbl>
      <w:tblPr>
        <w:tblStyle w:val="23"/>
        <w:tblW w:w="90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8"/>
        <w:gridCol w:w="8189"/>
      </w:tblGrid>
      <w:tr w14:paraId="1DBCD0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68" w:hRule="atLeast"/>
          <w:jc w:val="center"/>
        </w:trPr>
        <w:tc>
          <w:tcPr>
            <w:tcW w:w="818" w:type="dxa"/>
            <w:vAlign w:val="center"/>
          </w:tcPr>
          <w:p w14:paraId="5FF93441">
            <w:pPr>
              <w:pStyle w:val="20"/>
              <w:adjustRightInd w:val="0"/>
              <w:snapToGrid w:val="0"/>
              <w:spacing w:before="0" w:beforeAutospacing="0" w:after="0" w:afterAutospacing="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建设内容</w:t>
            </w:r>
          </w:p>
        </w:tc>
        <w:tc>
          <w:tcPr>
            <w:tcW w:w="8189" w:type="dxa"/>
          </w:tcPr>
          <w:p w14:paraId="76568737">
            <w:pPr>
              <w:numPr>
                <w:ilvl w:val="0"/>
                <w:numId w:val="21"/>
              </w:numPr>
              <w:tabs>
                <w:tab w:val="left" w:pos="0"/>
              </w:tabs>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项目由来</w:t>
            </w:r>
          </w:p>
          <w:p w14:paraId="4849D97D">
            <w:pPr>
              <w:widowControl/>
              <w:spacing w:line="360" w:lineRule="auto"/>
              <w:ind w:firstLine="480" w:firstLineChars="200"/>
              <w:jc w:val="left"/>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北京天衡诚祥检测科技有限公司</w:t>
            </w:r>
            <w:r>
              <w:rPr>
                <w:rFonts w:hint="eastAsia" w:ascii="Times New Roman" w:hAnsi="Times New Roman" w:eastAsia="宋体" w:cs="Times New Roman"/>
                <w:color w:val="auto"/>
                <w:sz w:val="24"/>
                <w:highlight w:val="none"/>
                <w:lang w:val="en-US" w:eastAsia="zh-CN"/>
              </w:rPr>
              <w:t>成立于202</w:t>
            </w:r>
            <w:r>
              <w:rPr>
                <w:rFonts w:hint="eastAsia"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年</w:t>
            </w:r>
            <w:r>
              <w:rPr>
                <w:rFonts w:hint="eastAsia" w:cs="Times New Roman"/>
                <w:color w:val="auto"/>
                <w:sz w:val="24"/>
                <w:highlight w:val="none"/>
                <w:lang w:val="en-US" w:eastAsia="zh-CN"/>
              </w:rPr>
              <w:t>10</w:t>
            </w:r>
            <w:r>
              <w:rPr>
                <w:rFonts w:hint="eastAsia" w:ascii="Times New Roman" w:hAnsi="Times New Roman" w:eastAsia="宋体" w:cs="Times New Roman"/>
                <w:color w:val="auto"/>
                <w:sz w:val="24"/>
                <w:highlight w:val="none"/>
                <w:lang w:val="en-US" w:eastAsia="zh-CN"/>
              </w:rPr>
              <w:t>月</w:t>
            </w:r>
            <w:r>
              <w:rPr>
                <w:rFonts w:hint="eastAsia" w:cs="Times New Roman"/>
                <w:color w:val="auto"/>
                <w:sz w:val="24"/>
                <w:highlight w:val="none"/>
                <w:lang w:val="en-US" w:eastAsia="zh-CN"/>
              </w:rPr>
              <w:t>15</w:t>
            </w:r>
            <w:r>
              <w:rPr>
                <w:rFonts w:hint="eastAsia" w:ascii="Times New Roman" w:hAnsi="Times New Roman" w:eastAsia="宋体" w:cs="Times New Roman"/>
                <w:color w:val="auto"/>
                <w:sz w:val="24"/>
                <w:highlight w:val="none"/>
                <w:lang w:val="en-US" w:eastAsia="zh-CN"/>
              </w:rPr>
              <w:t>日，</w:t>
            </w:r>
            <w:r>
              <w:rPr>
                <w:rFonts w:hint="eastAsia" w:cs="Times New Roman"/>
                <w:color w:val="auto"/>
                <w:sz w:val="24"/>
                <w:highlight w:val="none"/>
                <w:lang w:val="en-US" w:eastAsia="zh-CN"/>
              </w:rPr>
              <w:t>注册地址：北京市北京经济技术开发区(通州)环科中路16号23幢1至4层-102，</w:t>
            </w:r>
            <w:r>
              <w:rPr>
                <w:rFonts w:hint="eastAsia" w:ascii="Times New Roman" w:hAnsi="Times New Roman" w:eastAsia="宋体" w:cs="Times New Roman"/>
                <w:color w:val="auto"/>
                <w:sz w:val="24"/>
                <w:highlight w:val="none"/>
                <w:lang w:val="en-US" w:eastAsia="zh-CN"/>
              </w:rPr>
              <w:t>主要从事技术服务、技术开发、技术咨询、环境保护监测</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计量技术服务</w:t>
            </w:r>
            <w:r>
              <w:rPr>
                <w:rFonts w:hint="eastAsia" w:cs="Times New Roman"/>
                <w:color w:val="auto"/>
                <w:sz w:val="24"/>
                <w:highlight w:val="none"/>
                <w:lang w:val="en-US" w:eastAsia="zh-CN"/>
              </w:rPr>
              <w:t>等业务</w:t>
            </w:r>
            <w:r>
              <w:rPr>
                <w:rFonts w:hint="eastAsia" w:ascii="Times New Roman" w:hAnsi="Times New Roman" w:eastAsia="宋体" w:cs="Times New Roman"/>
                <w:color w:val="auto"/>
                <w:sz w:val="24"/>
                <w:highlight w:val="none"/>
                <w:lang w:val="en-US" w:eastAsia="zh-CN"/>
              </w:rPr>
              <w:t>。</w:t>
            </w:r>
          </w:p>
          <w:p w14:paraId="16B7E8A5">
            <w:pPr>
              <w:widowControl/>
              <w:spacing w:line="360" w:lineRule="auto"/>
              <w:ind w:firstLine="480" w:firstLineChars="200"/>
              <w:jc w:val="left"/>
              <w:rPr>
                <w:rFonts w:hint="eastAsia" w:cs="Times New Roman"/>
                <w:color w:val="auto"/>
                <w:sz w:val="24"/>
                <w:highlight w:val="none"/>
                <w:lang w:val="en-US" w:eastAsia="zh-CN"/>
              </w:rPr>
            </w:pPr>
            <w:r>
              <w:rPr>
                <w:rFonts w:hint="eastAsia" w:cs="Times New Roman"/>
                <w:color w:val="auto"/>
                <w:sz w:val="24"/>
                <w:highlight w:val="none"/>
                <w:lang w:val="en-US" w:eastAsia="zh-CN"/>
              </w:rPr>
              <w:t>公</w:t>
            </w:r>
            <w:r>
              <w:rPr>
                <w:rFonts w:hint="eastAsia" w:ascii="Times New Roman" w:hAnsi="Times New Roman" w:eastAsia="宋体" w:cs="Times New Roman"/>
                <w:color w:val="auto"/>
                <w:sz w:val="24"/>
                <w:highlight w:val="none"/>
                <w:lang w:val="en-US" w:eastAsia="zh-CN"/>
              </w:rPr>
              <w:t>司新租赁北京经济技术开发区(通州)环科中路16号23幢1至4层，建设检测实验室项目，项目完成主要从事环境检测业务，年检测环境样品10000个</w:t>
            </w:r>
            <w:r>
              <w:rPr>
                <w:rFonts w:hint="eastAsia" w:cs="Times New Roman"/>
                <w:color w:val="auto"/>
                <w:sz w:val="24"/>
                <w:highlight w:val="none"/>
                <w:lang w:val="en-US" w:eastAsia="zh-CN"/>
              </w:rPr>
              <w:t>。</w:t>
            </w:r>
          </w:p>
          <w:p w14:paraId="37400B16">
            <w:pPr>
              <w:numPr>
                <w:ilvl w:val="0"/>
                <w:numId w:val="21"/>
              </w:numPr>
              <w:tabs>
                <w:tab w:val="left" w:pos="0"/>
              </w:tabs>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项目概况</w:t>
            </w:r>
          </w:p>
          <w:p w14:paraId="175CC02F">
            <w:pPr>
              <w:widowControl/>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1、项目名称</w:t>
            </w:r>
            <w:r>
              <w:rPr>
                <w:rFonts w:hint="default" w:ascii="Times New Roman" w:hAnsi="Times New Roman" w:eastAsia="宋体" w:cs="Times New Roman"/>
                <w:bCs/>
                <w:color w:val="auto"/>
                <w:sz w:val="24"/>
                <w:highlight w:val="none"/>
                <w:lang w:eastAsia="zh-CN"/>
              </w:rPr>
              <w:t>：</w:t>
            </w:r>
            <w:r>
              <w:rPr>
                <w:rFonts w:hint="eastAsia" w:hAnsi="宋体"/>
                <w:bCs/>
                <w:color w:val="auto"/>
                <w:kern w:val="0"/>
                <w:sz w:val="24"/>
                <w:highlight w:val="none"/>
                <w:lang w:eastAsia="zh-CN"/>
              </w:rPr>
              <w:t>检测实验室建设项目</w:t>
            </w:r>
            <w:r>
              <w:rPr>
                <w:rFonts w:hint="default" w:ascii="Times New Roman" w:hAnsi="Times New Roman" w:eastAsia="宋体" w:cs="Times New Roman"/>
                <w:bCs/>
                <w:color w:val="auto"/>
                <w:sz w:val="24"/>
                <w:highlight w:val="none"/>
              </w:rPr>
              <w:t>。</w:t>
            </w:r>
          </w:p>
          <w:p w14:paraId="26AC3150">
            <w:pPr>
              <w:widowControl/>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2、建设单位</w:t>
            </w:r>
            <w:r>
              <w:rPr>
                <w:rFonts w:hint="default" w:ascii="Times New Roman" w:hAnsi="Times New Roman" w:eastAsia="宋体" w:cs="Times New Roman"/>
                <w:bCs/>
                <w:color w:val="auto"/>
                <w:sz w:val="24"/>
                <w:highlight w:val="none"/>
                <w:lang w:eastAsia="zh-CN"/>
              </w:rPr>
              <w:t>：</w:t>
            </w:r>
            <w:r>
              <w:rPr>
                <w:rFonts w:hint="eastAsia" w:cs="Times New Roman"/>
                <w:color w:val="auto"/>
                <w:sz w:val="24"/>
                <w:highlight w:val="none"/>
                <w:lang w:val="en-US" w:eastAsia="zh-CN"/>
              </w:rPr>
              <w:t>北京天衡诚祥检测科技有限公司</w:t>
            </w:r>
            <w:r>
              <w:rPr>
                <w:rFonts w:hint="default" w:ascii="Times New Roman" w:hAnsi="Times New Roman" w:eastAsia="宋体" w:cs="Times New Roman"/>
                <w:bCs/>
                <w:color w:val="auto"/>
                <w:sz w:val="24"/>
                <w:highlight w:val="none"/>
              </w:rPr>
              <w:t>。</w:t>
            </w:r>
          </w:p>
          <w:p w14:paraId="36F643E9">
            <w:pPr>
              <w:widowControl/>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3、建设地点</w:t>
            </w:r>
            <w:r>
              <w:rPr>
                <w:rFonts w:hint="default" w:ascii="Times New Roman" w:hAnsi="Times New Roman" w:eastAsia="宋体" w:cs="Times New Roman"/>
                <w:bCs/>
                <w:color w:val="auto"/>
                <w:sz w:val="24"/>
                <w:highlight w:val="none"/>
                <w:lang w:eastAsia="zh-CN"/>
              </w:rPr>
              <w:t>：</w:t>
            </w:r>
            <w:r>
              <w:rPr>
                <w:rFonts w:hint="eastAsia" w:cs="Times New Roman"/>
                <w:color w:val="auto"/>
                <w:sz w:val="24"/>
                <w:highlight w:val="none"/>
                <w:lang w:val="en-US" w:eastAsia="zh-CN"/>
              </w:rPr>
              <w:t>北京经济技术开发区(通州)环科中路16号23幢1至4层</w:t>
            </w:r>
            <w:r>
              <w:rPr>
                <w:rFonts w:hint="default" w:ascii="Times New Roman" w:hAnsi="Times New Roman" w:eastAsia="宋体" w:cs="Times New Roman"/>
                <w:bCs/>
                <w:color w:val="auto"/>
                <w:sz w:val="24"/>
                <w:highlight w:val="none"/>
              </w:rPr>
              <w:t>。</w:t>
            </w:r>
          </w:p>
          <w:p w14:paraId="743DF986">
            <w:pPr>
              <w:widowControl/>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4、建筑面积：</w:t>
            </w:r>
            <w:r>
              <w:rPr>
                <w:rFonts w:hint="eastAsia" w:cs="Times New Roman"/>
                <w:color w:val="auto"/>
                <w:sz w:val="24"/>
                <w:highlight w:val="none"/>
                <w:lang w:val="en-US" w:eastAsia="zh-CN"/>
              </w:rPr>
              <w:t>2100m</w:t>
            </w:r>
            <w:r>
              <w:rPr>
                <w:rFonts w:hint="eastAsia"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w:t>
            </w:r>
          </w:p>
          <w:p w14:paraId="6CBC54A5">
            <w:pPr>
              <w:numPr>
                <w:ilvl w:val="0"/>
                <w:numId w:val="21"/>
              </w:numPr>
              <w:tabs>
                <w:tab w:val="left" w:pos="0"/>
              </w:tabs>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编制依据</w:t>
            </w:r>
          </w:p>
          <w:p w14:paraId="747B48F6">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据《〈建设项目环境影响评价分类管理名录〉北京市实施细化规定（2022 年本）》，</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四十五、研究和实验发展</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中</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98 专业实验室、研发（实验）基地</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，其中：</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P3、P4 生物安全实验室、转基因实验室</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应编制环境影响报告书，</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其他（不产生实验废气、废水、危险废物的除外）</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应编制环境影响报告表。本项目为</w:t>
            </w:r>
            <w:r>
              <w:rPr>
                <w:rFonts w:hint="eastAsia" w:cs="Times New Roman"/>
                <w:color w:val="auto"/>
                <w:sz w:val="24"/>
                <w:highlight w:val="none"/>
                <w:lang w:val="en-US" w:eastAsia="zh-CN"/>
              </w:rPr>
              <w:t>实验室</w:t>
            </w:r>
            <w:r>
              <w:rPr>
                <w:rFonts w:hint="default" w:ascii="Times New Roman" w:hAnsi="Times New Roman" w:eastAsia="宋体" w:cs="Times New Roman"/>
                <w:color w:val="auto"/>
                <w:sz w:val="24"/>
                <w:highlight w:val="none"/>
                <w:lang w:val="en-US" w:eastAsia="zh-CN"/>
              </w:rPr>
              <w:t>项目，不涉及中试及以上规模的研发实验，不涉及P3、P4生物安全实验室、转基因实验室，但实验过程会产生废气及危险废物，因此属于</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其他（不产生实验废气、废水、危险废物的除外）</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，应编制环境影响报告表。</w:t>
            </w:r>
          </w:p>
          <w:p w14:paraId="3597A069">
            <w:pPr>
              <w:numPr>
                <w:ilvl w:val="0"/>
                <w:numId w:val="21"/>
              </w:numPr>
              <w:tabs>
                <w:tab w:val="left" w:pos="0"/>
              </w:tabs>
              <w:adjustRightInd w:val="0"/>
              <w:snapToGrid w:val="0"/>
              <w:spacing w:line="360" w:lineRule="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建设内容</w:t>
            </w:r>
          </w:p>
          <w:p w14:paraId="04F8DA1B">
            <w:pPr>
              <w:adjustRightInd w:val="0"/>
              <w:snapToGrid w:val="0"/>
              <w:spacing w:line="360" w:lineRule="auto"/>
              <w:ind w:firstLine="360" w:firstLineChars="15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本项目建设内容详见下表。</w:t>
            </w:r>
          </w:p>
          <w:p w14:paraId="59D3FEC5">
            <w:pPr>
              <w:numPr>
                <w:ilvl w:val="0"/>
                <w:numId w:val="22"/>
              </w:numPr>
              <w:spacing w:line="36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项目建设内容一览表</w:t>
            </w:r>
          </w:p>
          <w:tbl>
            <w:tblPr>
              <w:tblStyle w:val="23"/>
              <w:tblW w:w="49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
            <w:tblGrid>
              <w:gridCol w:w="746"/>
              <w:gridCol w:w="1508"/>
              <w:gridCol w:w="4712"/>
              <w:gridCol w:w="848"/>
            </w:tblGrid>
            <w:tr w14:paraId="6A412D9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397" w:hRule="atLeast"/>
                <w:tblHeader/>
                <w:jc w:val="center"/>
              </w:trPr>
              <w:tc>
                <w:tcPr>
                  <w:tcW w:w="751" w:type="dxa"/>
                  <w:tcBorders>
                    <w:tl2br w:val="nil"/>
                    <w:tr2bl w:val="nil"/>
                  </w:tcBorders>
                  <w:shd w:val="clear" w:color="auto" w:fill="FFFFFF"/>
                  <w:noWrap w:val="0"/>
                  <w:vAlign w:val="center"/>
                </w:tcPr>
                <w:p w14:paraId="7C0B992C">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b/>
                      <w:bCs w:val="0"/>
                      <w:color w:val="auto"/>
                      <w:highlight w:val="none"/>
                    </w:rPr>
                  </w:pPr>
                  <w:r>
                    <w:rPr>
                      <w:b/>
                      <w:bCs w:val="0"/>
                      <w:color w:val="auto"/>
                      <w:highlight w:val="none"/>
                    </w:rPr>
                    <w:t>工程</w:t>
                  </w:r>
                </w:p>
                <w:p w14:paraId="426031A2">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b/>
                      <w:bCs w:val="0"/>
                      <w:color w:val="auto"/>
                      <w:highlight w:val="none"/>
                      <w:lang w:eastAsia="zh-CN"/>
                    </w:rPr>
                  </w:pPr>
                  <w:r>
                    <w:rPr>
                      <w:rFonts w:hint="eastAsia"/>
                      <w:b/>
                      <w:bCs w:val="0"/>
                      <w:color w:val="auto"/>
                      <w:highlight w:val="none"/>
                      <w:lang w:eastAsia="zh-CN"/>
                    </w:rPr>
                    <w:t>类别</w:t>
                  </w:r>
                </w:p>
              </w:tc>
              <w:tc>
                <w:tcPr>
                  <w:tcW w:w="1517" w:type="dxa"/>
                  <w:tcBorders>
                    <w:tl2br w:val="nil"/>
                    <w:tr2bl w:val="nil"/>
                  </w:tcBorders>
                  <w:shd w:val="clear" w:color="auto" w:fill="FFFFFF"/>
                  <w:noWrap w:val="0"/>
                  <w:vAlign w:val="center"/>
                </w:tcPr>
                <w:p w14:paraId="4DEC8444">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b/>
                      <w:bCs w:val="0"/>
                      <w:color w:val="auto"/>
                      <w:highlight w:val="none"/>
                    </w:rPr>
                  </w:pPr>
                  <w:r>
                    <w:rPr>
                      <w:b/>
                      <w:bCs w:val="0"/>
                      <w:color w:val="auto"/>
                      <w:highlight w:val="none"/>
                    </w:rPr>
                    <w:t>工程名称</w:t>
                  </w:r>
                </w:p>
              </w:tc>
              <w:tc>
                <w:tcPr>
                  <w:tcW w:w="4742" w:type="dxa"/>
                  <w:tcBorders>
                    <w:tl2br w:val="nil"/>
                    <w:tr2bl w:val="nil"/>
                  </w:tcBorders>
                  <w:shd w:val="clear" w:color="auto" w:fill="FFFFFF"/>
                  <w:noWrap w:val="0"/>
                  <w:vAlign w:val="center"/>
                </w:tcPr>
                <w:p w14:paraId="0C07BED3">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b/>
                      <w:bCs w:val="0"/>
                      <w:color w:val="auto"/>
                      <w:highlight w:val="none"/>
                    </w:rPr>
                  </w:pPr>
                  <w:r>
                    <w:rPr>
                      <w:b/>
                      <w:bCs w:val="0"/>
                      <w:color w:val="auto"/>
                      <w:highlight w:val="none"/>
                    </w:rPr>
                    <w:t>工程内容</w:t>
                  </w:r>
                  <w:r>
                    <w:rPr>
                      <w:rFonts w:hint="eastAsia"/>
                      <w:b/>
                      <w:bCs w:val="0"/>
                      <w:color w:val="auto"/>
                      <w:highlight w:val="none"/>
                      <w:lang w:eastAsia="zh-CN"/>
                    </w:rPr>
                    <w:t>及</w:t>
                  </w:r>
                  <w:r>
                    <w:rPr>
                      <w:b/>
                      <w:bCs w:val="0"/>
                      <w:color w:val="auto"/>
                      <w:highlight w:val="none"/>
                    </w:rPr>
                    <w:t>规模</w:t>
                  </w:r>
                </w:p>
              </w:tc>
              <w:tc>
                <w:tcPr>
                  <w:tcW w:w="853" w:type="dxa"/>
                  <w:tcBorders>
                    <w:tl2br w:val="nil"/>
                    <w:tr2bl w:val="nil"/>
                  </w:tcBorders>
                  <w:shd w:val="clear" w:color="auto" w:fill="FFFFFF"/>
                  <w:noWrap w:val="0"/>
                  <w:vAlign w:val="center"/>
                </w:tcPr>
                <w:p w14:paraId="48DFCD8B">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b/>
                      <w:bCs w:val="0"/>
                      <w:color w:val="auto"/>
                      <w:highlight w:val="none"/>
                      <w:lang w:val="en-US" w:eastAsia="zh-CN"/>
                    </w:rPr>
                  </w:pPr>
                  <w:r>
                    <w:rPr>
                      <w:rFonts w:hint="eastAsia"/>
                      <w:b/>
                      <w:bCs w:val="0"/>
                      <w:color w:val="auto"/>
                      <w:highlight w:val="none"/>
                      <w:lang w:val="en-US" w:eastAsia="zh-CN"/>
                    </w:rPr>
                    <w:t>依托</w:t>
                  </w:r>
                </w:p>
                <w:p w14:paraId="13FC523D">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b/>
                      <w:bCs w:val="0"/>
                      <w:color w:val="auto"/>
                      <w:highlight w:val="none"/>
                      <w:lang w:eastAsia="zh-CN"/>
                    </w:rPr>
                  </w:pPr>
                  <w:r>
                    <w:rPr>
                      <w:rFonts w:hint="eastAsia"/>
                      <w:b/>
                      <w:bCs w:val="0"/>
                      <w:color w:val="auto"/>
                      <w:highlight w:val="none"/>
                      <w:lang w:val="en-US" w:eastAsia="zh-CN"/>
                    </w:rPr>
                    <w:t>关系</w:t>
                  </w:r>
                </w:p>
              </w:tc>
            </w:tr>
            <w:tr w14:paraId="0DA9515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51" w:type="dxa"/>
                  <w:vMerge w:val="restart"/>
                  <w:tcBorders>
                    <w:tl2br w:val="nil"/>
                    <w:tr2bl w:val="nil"/>
                  </w:tcBorders>
                  <w:shd w:val="clear" w:color="auto" w:fill="FFFFFF"/>
                  <w:noWrap w:val="0"/>
                  <w:vAlign w:val="center"/>
                </w:tcPr>
                <w:p w14:paraId="1AC6F36A">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color w:val="auto"/>
                      <w:highlight w:val="none"/>
                      <w:lang w:val="en-US" w:eastAsia="zh-CN"/>
                    </w:rPr>
                  </w:pPr>
                  <w:r>
                    <w:rPr>
                      <w:rFonts w:hint="eastAsia"/>
                      <w:color w:val="auto"/>
                      <w:highlight w:val="none"/>
                      <w:lang w:val="en-US" w:eastAsia="zh-CN"/>
                    </w:rPr>
                    <w:t>主体</w:t>
                  </w:r>
                </w:p>
                <w:p w14:paraId="1FB66F30">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eastAsia="宋体"/>
                      <w:color w:val="auto"/>
                      <w:highlight w:val="none"/>
                      <w:lang w:val="en-US" w:eastAsia="zh-CN"/>
                    </w:rPr>
                  </w:pPr>
                  <w:r>
                    <w:rPr>
                      <w:rFonts w:hint="eastAsia"/>
                      <w:color w:val="auto"/>
                      <w:highlight w:val="none"/>
                      <w:lang w:val="en-US" w:eastAsia="zh-CN"/>
                    </w:rPr>
                    <w:t>工程</w:t>
                  </w:r>
                </w:p>
              </w:tc>
              <w:tc>
                <w:tcPr>
                  <w:tcW w:w="1517" w:type="dxa"/>
                  <w:tcBorders>
                    <w:tl2br w:val="nil"/>
                    <w:tr2bl w:val="nil"/>
                  </w:tcBorders>
                  <w:shd w:val="clear" w:color="auto" w:fill="FFFFFF"/>
                  <w:noWrap w:val="0"/>
                  <w:vAlign w:val="center"/>
                </w:tcPr>
                <w:p w14:paraId="0C2725F9">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highlight w:val="none"/>
                      <w:lang w:val="en-US" w:eastAsia="zh-CN"/>
                    </w:rPr>
                  </w:pPr>
                  <w:r>
                    <w:rPr>
                      <w:rFonts w:hint="eastAsia"/>
                      <w:color w:val="auto"/>
                      <w:highlight w:val="none"/>
                      <w:lang w:val="en-US" w:eastAsia="zh-CN"/>
                    </w:rPr>
                    <w:t>一层</w:t>
                  </w:r>
                </w:p>
              </w:tc>
              <w:tc>
                <w:tcPr>
                  <w:tcW w:w="4742" w:type="dxa"/>
                  <w:tcBorders>
                    <w:tl2br w:val="nil"/>
                    <w:tr2bl w:val="nil"/>
                  </w:tcBorders>
                  <w:shd w:val="clear" w:color="auto" w:fill="FFFFFF"/>
                  <w:noWrap w:val="0"/>
                  <w:vAlign w:val="center"/>
                </w:tcPr>
                <w:p w14:paraId="3ED61854">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color w:val="auto"/>
                      <w:highlight w:val="none"/>
                      <w:lang w:val="en-US" w:eastAsia="zh-CN"/>
                    </w:rPr>
                  </w:pPr>
                  <w:r>
                    <w:rPr>
                      <w:rFonts w:hint="eastAsia"/>
                      <w:color w:val="auto"/>
                      <w:highlight w:val="none"/>
                      <w:lang w:val="en-US" w:eastAsia="zh-CN"/>
                    </w:rPr>
                    <w:t>建设样品流转室（20.6m</w:t>
                  </w:r>
                  <w:r>
                    <w:rPr>
                      <w:rFonts w:hint="eastAsia"/>
                      <w:color w:val="auto"/>
                      <w:highlight w:val="none"/>
                      <w:vertAlign w:val="superscript"/>
                      <w:lang w:val="en-US" w:eastAsia="zh-CN"/>
                    </w:rPr>
                    <w:t>2</w:t>
                  </w:r>
                  <w:r>
                    <w:rPr>
                      <w:rFonts w:hint="eastAsia"/>
                      <w:color w:val="auto"/>
                      <w:highlight w:val="none"/>
                      <w:lang w:val="en-US" w:eastAsia="zh-CN"/>
                    </w:rPr>
                    <w:t>）、采样仪器室（20.6m</w:t>
                  </w:r>
                  <w:r>
                    <w:rPr>
                      <w:rFonts w:hint="eastAsia"/>
                      <w:color w:val="auto"/>
                      <w:highlight w:val="none"/>
                      <w:vertAlign w:val="superscript"/>
                      <w:lang w:val="en-US" w:eastAsia="zh-CN"/>
                    </w:rPr>
                    <w:t>2</w:t>
                  </w:r>
                  <w:r>
                    <w:rPr>
                      <w:rFonts w:hint="eastAsia"/>
                      <w:color w:val="auto"/>
                      <w:highlight w:val="none"/>
                      <w:lang w:val="en-US" w:eastAsia="zh-CN"/>
                    </w:rPr>
                    <w:t>）</w:t>
                  </w:r>
                </w:p>
              </w:tc>
              <w:tc>
                <w:tcPr>
                  <w:tcW w:w="853" w:type="dxa"/>
                  <w:tcBorders>
                    <w:tl2br w:val="nil"/>
                    <w:tr2bl w:val="nil"/>
                  </w:tcBorders>
                  <w:shd w:val="clear" w:color="auto" w:fill="FFFFFF"/>
                  <w:noWrap w:val="0"/>
                  <w:vAlign w:val="center"/>
                </w:tcPr>
                <w:p w14:paraId="55C46F26">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新建</w:t>
                  </w:r>
                </w:p>
              </w:tc>
            </w:tr>
            <w:tr w14:paraId="5D62258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51" w:type="dxa"/>
                  <w:vMerge w:val="continue"/>
                  <w:tcBorders>
                    <w:tl2br w:val="nil"/>
                    <w:tr2bl w:val="nil"/>
                  </w:tcBorders>
                  <w:shd w:val="clear" w:color="auto" w:fill="FFFFFF"/>
                  <w:noWrap w:val="0"/>
                  <w:vAlign w:val="center"/>
                </w:tcPr>
                <w:p w14:paraId="2CE45BB3">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color w:val="auto"/>
                      <w:highlight w:val="none"/>
                      <w:lang w:val="en-US" w:eastAsia="zh-CN"/>
                    </w:rPr>
                  </w:pPr>
                </w:p>
              </w:tc>
              <w:tc>
                <w:tcPr>
                  <w:tcW w:w="1517" w:type="dxa"/>
                  <w:tcBorders>
                    <w:tl2br w:val="nil"/>
                    <w:tr2bl w:val="nil"/>
                  </w:tcBorders>
                  <w:shd w:val="clear" w:color="auto" w:fill="FFFFFF"/>
                  <w:noWrap w:val="0"/>
                  <w:vAlign w:val="center"/>
                </w:tcPr>
                <w:p w14:paraId="737CDA8B">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highlight w:val="none"/>
                      <w:lang w:val="en-US" w:eastAsia="zh-CN"/>
                    </w:rPr>
                  </w:pPr>
                  <w:r>
                    <w:rPr>
                      <w:rFonts w:hint="eastAsia"/>
                      <w:color w:val="auto"/>
                      <w:highlight w:val="none"/>
                      <w:lang w:val="en-US" w:eastAsia="zh-CN"/>
                    </w:rPr>
                    <w:t>二层</w:t>
                  </w:r>
                </w:p>
              </w:tc>
              <w:tc>
                <w:tcPr>
                  <w:tcW w:w="4742" w:type="dxa"/>
                  <w:tcBorders>
                    <w:tl2br w:val="nil"/>
                    <w:tr2bl w:val="nil"/>
                  </w:tcBorders>
                  <w:shd w:val="clear" w:color="auto" w:fill="FFFFFF"/>
                  <w:noWrap w:val="0"/>
                  <w:vAlign w:val="center"/>
                </w:tcPr>
                <w:p w14:paraId="37E142FC">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color w:val="auto"/>
                      <w:highlight w:val="none"/>
                      <w:lang w:val="en-US" w:eastAsia="zh-CN"/>
                    </w:rPr>
                  </w:pPr>
                  <w:r>
                    <w:rPr>
                      <w:rFonts w:hint="eastAsia"/>
                      <w:color w:val="auto"/>
                      <w:highlight w:val="none"/>
                      <w:lang w:val="en-US" w:eastAsia="zh-CN"/>
                    </w:rPr>
                    <w:t>现场采样仪器室（11.3m</w:t>
                  </w:r>
                  <w:r>
                    <w:rPr>
                      <w:rFonts w:hint="eastAsia"/>
                      <w:color w:val="auto"/>
                      <w:highlight w:val="none"/>
                      <w:vertAlign w:val="superscript"/>
                      <w:lang w:val="en-US" w:eastAsia="zh-CN"/>
                    </w:rPr>
                    <w:t>2</w:t>
                  </w:r>
                  <w:r>
                    <w:rPr>
                      <w:rFonts w:hint="eastAsia"/>
                      <w:color w:val="auto"/>
                      <w:highlight w:val="none"/>
                      <w:lang w:val="en-US" w:eastAsia="zh-CN"/>
                    </w:rPr>
                    <w:t>）、理化分析室（25m</w:t>
                  </w:r>
                  <w:r>
                    <w:rPr>
                      <w:rFonts w:hint="eastAsia"/>
                      <w:color w:val="auto"/>
                      <w:highlight w:val="none"/>
                      <w:vertAlign w:val="superscript"/>
                      <w:lang w:val="en-US" w:eastAsia="zh-CN"/>
                    </w:rPr>
                    <w:t>2</w:t>
                  </w:r>
                  <w:r>
                    <w:rPr>
                      <w:rFonts w:hint="eastAsia"/>
                      <w:color w:val="auto"/>
                      <w:highlight w:val="none"/>
                      <w:lang w:val="en-US" w:eastAsia="zh-CN"/>
                    </w:rPr>
                    <w:t>）、有机分析室（20m</w:t>
                  </w:r>
                  <w:r>
                    <w:rPr>
                      <w:rFonts w:hint="eastAsia"/>
                      <w:color w:val="auto"/>
                      <w:highlight w:val="none"/>
                      <w:vertAlign w:val="superscript"/>
                      <w:lang w:val="en-US" w:eastAsia="zh-CN"/>
                    </w:rPr>
                    <w:t>2</w:t>
                  </w:r>
                  <w:r>
                    <w:rPr>
                      <w:rFonts w:hint="eastAsia"/>
                      <w:color w:val="auto"/>
                      <w:highlight w:val="none"/>
                      <w:lang w:val="en-US" w:eastAsia="zh-CN"/>
                    </w:rPr>
                    <w:t>）、离子色谱室（5.3m</w:t>
                  </w:r>
                  <w:r>
                    <w:rPr>
                      <w:rFonts w:hint="eastAsia"/>
                      <w:color w:val="auto"/>
                      <w:highlight w:val="none"/>
                      <w:vertAlign w:val="superscript"/>
                      <w:lang w:val="en-US" w:eastAsia="zh-CN"/>
                    </w:rPr>
                    <w:t>2</w:t>
                  </w:r>
                  <w:r>
                    <w:rPr>
                      <w:rFonts w:hint="eastAsia"/>
                      <w:color w:val="auto"/>
                      <w:highlight w:val="none"/>
                      <w:lang w:val="en-US" w:eastAsia="zh-CN"/>
                    </w:rPr>
                    <w:t>）</w:t>
                  </w:r>
                </w:p>
              </w:tc>
              <w:tc>
                <w:tcPr>
                  <w:tcW w:w="853" w:type="dxa"/>
                  <w:tcBorders>
                    <w:tl2br w:val="nil"/>
                    <w:tr2bl w:val="nil"/>
                  </w:tcBorders>
                  <w:shd w:val="clear" w:color="auto" w:fill="FFFFFF"/>
                  <w:noWrap w:val="0"/>
                  <w:vAlign w:val="center"/>
                </w:tcPr>
                <w:p w14:paraId="75C9B447">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val="en-US" w:eastAsia="zh-CN"/>
                    </w:rPr>
                  </w:pPr>
                  <w:r>
                    <w:rPr>
                      <w:rFonts w:hint="eastAsia" w:eastAsia="宋体"/>
                      <w:color w:val="auto"/>
                      <w:highlight w:val="none"/>
                      <w:lang w:val="en-US" w:eastAsia="zh-CN"/>
                    </w:rPr>
                    <w:t>新建</w:t>
                  </w:r>
                </w:p>
              </w:tc>
            </w:tr>
            <w:tr w14:paraId="085B03A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51" w:type="dxa"/>
                  <w:vMerge w:val="continue"/>
                  <w:tcBorders>
                    <w:tl2br w:val="nil"/>
                    <w:tr2bl w:val="nil"/>
                  </w:tcBorders>
                  <w:shd w:val="clear" w:color="auto" w:fill="FFFFFF"/>
                  <w:noWrap w:val="0"/>
                  <w:vAlign w:val="center"/>
                </w:tcPr>
                <w:p w14:paraId="27973CF6">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color w:val="auto"/>
                      <w:highlight w:val="none"/>
                      <w:lang w:val="en-US" w:eastAsia="zh-CN"/>
                    </w:rPr>
                  </w:pPr>
                </w:p>
              </w:tc>
              <w:tc>
                <w:tcPr>
                  <w:tcW w:w="1517" w:type="dxa"/>
                  <w:tcBorders>
                    <w:tl2br w:val="nil"/>
                    <w:tr2bl w:val="nil"/>
                  </w:tcBorders>
                  <w:shd w:val="clear" w:color="auto" w:fill="FFFFFF"/>
                  <w:noWrap w:val="0"/>
                  <w:vAlign w:val="center"/>
                </w:tcPr>
                <w:p w14:paraId="2CE930CC">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highlight w:val="none"/>
                      <w:lang w:val="en-US" w:eastAsia="zh-CN"/>
                    </w:rPr>
                  </w:pPr>
                  <w:r>
                    <w:rPr>
                      <w:rFonts w:hint="eastAsia"/>
                      <w:color w:val="auto"/>
                      <w:highlight w:val="none"/>
                      <w:lang w:val="en-US" w:eastAsia="zh-CN"/>
                    </w:rPr>
                    <w:t>三层</w:t>
                  </w:r>
                </w:p>
              </w:tc>
              <w:tc>
                <w:tcPr>
                  <w:tcW w:w="4742" w:type="dxa"/>
                  <w:tcBorders>
                    <w:tl2br w:val="nil"/>
                    <w:tr2bl w:val="nil"/>
                  </w:tcBorders>
                  <w:shd w:val="clear" w:color="auto" w:fill="FFFFFF"/>
                  <w:noWrap w:val="0"/>
                  <w:vAlign w:val="center"/>
                </w:tcPr>
                <w:p w14:paraId="5576D60B">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color w:val="auto"/>
                      <w:highlight w:val="none"/>
                      <w:lang w:val="en-US" w:eastAsia="zh-CN"/>
                    </w:rPr>
                  </w:pPr>
                  <w:r>
                    <w:rPr>
                      <w:rFonts w:hint="eastAsia"/>
                      <w:color w:val="auto"/>
                      <w:highlight w:val="none"/>
                      <w:lang w:val="en-US" w:eastAsia="zh-CN"/>
                    </w:rPr>
                    <w:t>试剂室（5.2m</w:t>
                  </w:r>
                  <w:r>
                    <w:rPr>
                      <w:rFonts w:hint="eastAsia"/>
                      <w:color w:val="auto"/>
                      <w:highlight w:val="none"/>
                      <w:vertAlign w:val="superscript"/>
                      <w:lang w:val="en-US" w:eastAsia="zh-CN"/>
                    </w:rPr>
                    <w:t>2</w:t>
                  </w:r>
                  <w:r>
                    <w:rPr>
                      <w:rFonts w:hint="eastAsia"/>
                      <w:color w:val="auto"/>
                      <w:highlight w:val="none"/>
                      <w:lang w:val="en-US" w:eastAsia="zh-CN"/>
                    </w:rPr>
                    <w:t>）、易制毒室（5.2m</w:t>
                  </w:r>
                  <w:r>
                    <w:rPr>
                      <w:rFonts w:hint="eastAsia"/>
                      <w:color w:val="auto"/>
                      <w:highlight w:val="none"/>
                      <w:vertAlign w:val="superscript"/>
                      <w:lang w:val="en-US" w:eastAsia="zh-CN"/>
                    </w:rPr>
                    <w:t>2</w:t>
                  </w:r>
                  <w:r>
                    <w:rPr>
                      <w:rFonts w:hint="eastAsia"/>
                      <w:color w:val="auto"/>
                      <w:highlight w:val="none"/>
                      <w:lang w:val="en-US" w:eastAsia="zh-CN"/>
                    </w:rPr>
                    <w:t>）、微生物室（56.1m</w:t>
                  </w:r>
                  <w:r>
                    <w:rPr>
                      <w:rFonts w:hint="eastAsia"/>
                      <w:color w:val="auto"/>
                      <w:highlight w:val="none"/>
                      <w:vertAlign w:val="superscript"/>
                      <w:lang w:val="en-US" w:eastAsia="zh-CN"/>
                    </w:rPr>
                    <w:t>2</w:t>
                  </w:r>
                  <w:r>
                    <w:rPr>
                      <w:rFonts w:hint="eastAsia"/>
                      <w:color w:val="auto"/>
                      <w:highlight w:val="none"/>
                      <w:lang w:val="en-US" w:eastAsia="zh-CN"/>
                    </w:rPr>
                    <w:t>）、制土间（42.6m</w:t>
                  </w:r>
                  <w:r>
                    <w:rPr>
                      <w:rFonts w:hint="eastAsia"/>
                      <w:color w:val="auto"/>
                      <w:highlight w:val="none"/>
                      <w:vertAlign w:val="superscript"/>
                      <w:lang w:val="en-US" w:eastAsia="zh-CN"/>
                    </w:rPr>
                    <w:t>2</w:t>
                  </w:r>
                  <w:r>
                    <w:rPr>
                      <w:rFonts w:hint="eastAsia"/>
                      <w:color w:val="auto"/>
                      <w:highlight w:val="none"/>
                      <w:lang w:val="en-US" w:eastAsia="zh-CN"/>
                    </w:rPr>
                    <w:t>）、报告室（38.2m</w:t>
                  </w:r>
                  <w:r>
                    <w:rPr>
                      <w:rFonts w:hint="eastAsia"/>
                      <w:color w:val="auto"/>
                      <w:highlight w:val="none"/>
                      <w:vertAlign w:val="superscript"/>
                      <w:lang w:val="en-US" w:eastAsia="zh-CN"/>
                    </w:rPr>
                    <w:t>2</w:t>
                  </w:r>
                  <w:r>
                    <w:rPr>
                      <w:rFonts w:hint="eastAsia"/>
                      <w:color w:val="auto"/>
                      <w:highlight w:val="none"/>
                      <w:lang w:val="en-US" w:eastAsia="zh-CN"/>
                    </w:rPr>
                    <w:t>）、挥发前处理室（11.3m</w:t>
                  </w:r>
                  <w:r>
                    <w:rPr>
                      <w:rFonts w:hint="eastAsia"/>
                      <w:color w:val="auto"/>
                      <w:highlight w:val="none"/>
                      <w:vertAlign w:val="superscript"/>
                      <w:lang w:val="en-US" w:eastAsia="zh-CN"/>
                    </w:rPr>
                    <w:t>2</w:t>
                  </w:r>
                  <w:r>
                    <w:rPr>
                      <w:rFonts w:hint="eastAsia"/>
                      <w:color w:val="auto"/>
                      <w:highlight w:val="none"/>
                      <w:lang w:val="en-US" w:eastAsia="zh-CN"/>
                    </w:rPr>
                    <w:t>）、标物间（5.3m</w:t>
                  </w:r>
                  <w:r>
                    <w:rPr>
                      <w:rFonts w:hint="eastAsia"/>
                      <w:color w:val="auto"/>
                      <w:highlight w:val="none"/>
                      <w:vertAlign w:val="superscript"/>
                      <w:lang w:val="en-US" w:eastAsia="zh-CN"/>
                    </w:rPr>
                    <w:t>2</w:t>
                  </w:r>
                  <w:r>
                    <w:rPr>
                      <w:rFonts w:hint="eastAsia"/>
                      <w:color w:val="auto"/>
                      <w:highlight w:val="none"/>
                      <w:lang w:val="en-US" w:eastAsia="zh-CN"/>
                    </w:rPr>
                    <w:t>）、有机分析室（10.4m</w:t>
                  </w:r>
                  <w:r>
                    <w:rPr>
                      <w:rFonts w:hint="eastAsia"/>
                      <w:color w:val="auto"/>
                      <w:highlight w:val="none"/>
                      <w:vertAlign w:val="superscript"/>
                      <w:lang w:val="en-US" w:eastAsia="zh-CN"/>
                    </w:rPr>
                    <w:t>2</w:t>
                  </w:r>
                  <w:r>
                    <w:rPr>
                      <w:rFonts w:hint="eastAsia"/>
                      <w:color w:val="auto"/>
                      <w:highlight w:val="none"/>
                      <w:lang w:val="en-US" w:eastAsia="zh-CN"/>
                    </w:rPr>
                    <w:t>）、半挥发有机分析室（75m</w:t>
                  </w:r>
                  <w:r>
                    <w:rPr>
                      <w:rFonts w:hint="eastAsia"/>
                      <w:color w:val="auto"/>
                      <w:highlight w:val="none"/>
                      <w:vertAlign w:val="superscript"/>
                      <w:lang w:val="en-US" w:eastAsia="zh-CN"/>
                    </w:rPr>
                    <w:t>2</w:t>
                  </w:r>
                  <w:r>
                    <w:rPr>
                      <w:rFonts w:hint="eastAsia"/>
                      <w:color w:val="auto"/>
                      <w:highlight w:val="none"/>
                      <w:lang w:val="en-US" w:eastAsia="zh-CN"/>
                    </w:rPr>
                    <w:t>）、无机分析室（40.5m</w:t>
                  </w:r>
                  <w:r>
                    <w:rPr>
                      <w:rFonts w:hint="eastAsia"/>
                      <w:color w:val="auto"/>
                      <w:highlight w:val="none"/>
                      <w:vertAlign w:val="superscript"/>
                      <w:lang w:val="en-US" w:eastAsia="zh-CN"/>
                    </w:rPr>
                    <w:t>2</w:t>
                  </w:r>
                  <w:r>
                    <w:rPr>
                      <w:rFonts w:hint="eastAsia"/>
                      <w:color w:val="auto"/>
                      <w:highlight w:val="none"/>
                      <w:lang w:val="en-US" w:eastAsia="zh-CN"/>
                    </w:rPr>
                    <w:t>）、无机前处理室（31.1m</w:t>
                  </w:r>
                  <w:r>
                    <w:rPr>
                      <w:rFonts w:hint="eastAsia"/>
                      <w:color w:val="auto"/>
                      <w:highlight w:val="none"/>
                      <w:vertAlign w:val="superscript"/>
                      <w:lang w:val="en-US" w:eastAsia="zh-CN"/>
                    </w:rPr>
                    <w:t>2</w:t>
                  </w:r>
                  <w:r>
                    <w:rPr>
                      <w:rFonts w:hint="eastAsia"/>
                      <w:color w:val="auto"/>
                      <w:highlight w:val="none"/>
                      <w:lang w:val="en-US" w:eastAsia="zh-CN"/>
                    </w:rPr>
                    <w:t>）</w:t>
                  </w:r>
                </w:p>
              </w:tc>
              <w:tc>
                <w:tcPr>
                  <w:tcW w:w="853" w:type="dxa"/>
                  <w:tcBorders>
                    <w:tl2br w:val="nil"/>
                    <w:tr2bl w:val="nil"/>
                  </w:tcBorders>
                  <w:shd w:val="clear" w:color="auto" w:fill="FFFFFF"/>
                  <w:noWrap w:val="0"/>
                  <w:vAlign w:val="center"/>
                </w:tcPr>
                <w:p w14:paraId="5437CD99">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val="en-US" w:eastAsia="zh-CN"/>
                    </w:rPr>
                  </w:pPr>
                  <w:r>
                    <w:rPr>
                      <w:rFonts w:hint="eastAsia" w:eastAsia="宋体"/>
                      <w:color w:val="auto"/>
                      <w:highlight w:val="none"/>
                      <w:lang w:val="en-US" w:eastAsia="zh-CN"/>
                    </w:rPr>
                    <w:t>新建</w:t>
                  </w:r>
                </w:p>
              </w:tc>
            </w:tr>
            <w:tr w14:paraId="364E13F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51" w:type="dxa"/>
                  <w:vMerge w:val="continue"/>
                  <w:tcBorders>
                    <w:tl2br w:val="nil"/>
                    <w:tr2bl w:val="nil"/>
                  </w:tcBorders>
                  <w:shd w:val="clear" w:color="auto" w:fill="FFFFFF"/>
                  <w:noWrap w:val="0"/>
                  <w:vAlign w:val="center"/>
                </w:tcPr>
                <w:p w14:paraId="1823B7C3">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color w:val="auto"/>
                      <w:highlight w:val="none"/>
                    </w:rPr>
                  </w:pPr>
                </w:p>
              </w:tc>
              <w:tc>
                <w:tcPr>
                  <w:tcW w:w="1517" w:type="dxa"/>
                  <w:tcBorders>
                    <w:tl2br w:val="nil"/>
                    <w:tr2bl w:val="nil"/>
                  </w:tcBorders>
                  <w:shd w:val="clear" w:color="auto" w:fill="FFFFFF"/>
                  <w:noWrap w:val="0"/>
                  <w:vAlign w:val="center"/>
                </w:tcPr>
                <w:p w14:paraId="78B69C6B">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highlight w:val="none"/>
                      <w:lang w:val="en-US" w:eastAsia="zh-CN"/>
                    </w:rPr>
                  </w:pPr>
                  <w:r>
                    <w:rPr>
                      <w:rFonts w:hint="eastAsia"/>
                      <w:color w:val="auto"/>
                      <w:highlight w:val="none"/>
                      <w:lang w:val="en-US" w:eastAsia="zh-CN"/>
                    </w:rPr>
                    <w:t>四层</w:t>
                  </w:r>
                </w:p>
              </w:tc>
              <w:tc>
                <w:tcPr>
                  <w:tcW w:w="4742" w:type="dxa"/>
                  <w:tcBorders>
                    <w:tl2br w:val="nil"/>
                    <w:tr2bl w:val="nil"/>
                  </w:tcBorders>
                  <w:shd w:val="clear" w:color="auto" w:fill="FFFFFF"/>
                  <w:noWrap w:val="0"/>
                  <w:vAlign w:val="center"/>
                </w:tcPr>
                <w:p w14:paraId="3FD24351">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color w:val="auto"/>
                      <w:highlight w:val="none"/>
                      <w:lang w:val="en-US" w:eastAsia="zh-CN"/>
                    </w:rPr>
                  </w:pPr>
                  <w:r>
                    <w:rPr>
                      <w:rFonts w:hint="eastAsia"/>
                      <w:color w:val="auto"/>
                      <w:highlight w:val="none"/>
                      <w:lang w:val="en-US" w:eastAsia="zh-CN"/>
                    </w:rPr>
                    <w:t>高温室（11.4m</w:t>
                  </w:r>
                  <w:r>
                    <w:rPr>
                      <w:rFonts w:hint="eastAsia"/>
                      <w:color w:val="auto"/>
                      <w:highlight w:val="none"/>
                      <w:vertAlign w:val="superscript"/>
                      <w:lang w:val="en-US" w:eastAsia="zh-CN"/>
                    </w:rPr>
                    <w:t>2</w:t>
                  </w:r>
                  <w:r>
                    <w:rPr>
                      <w:rFonts w:hint="eastAsia"/>
                      <w:color w:val="auto"/>
                      <w:highlight w:val="none"/>
                      <w:lang w:val="en-US" w:eastAsia="zh-CN"/>
                    </w:rPr>
                    <w:t>）、理化分析室（89.3m</w:t>
                  </w:r>
                  <w:r>
                    <w:rPr>
                      <w:rFonts w:hint="eastAsia"/>
                      <w:color w:val="auto"/>
                      <w:highlight w:val="none"/>
                      <w:vertAlign w:val="superscript"/>
                      <w:lang w:val="en-US" w:eastAsia="zh-CN"/>
                    </w:rPr>
                    <w:t>2</w:t>
                  </w:r>
                  <w:r>
                    <w:rPr>
                      <w:rFonts w:hint="eastAsia"/>
                      <w:color w:val="auto"/>
                      <w:highlight w:val="none"/>
                      <w:lang w:val="en-US" w:eastAsia="zh-CN"/>
                    </w:rPr>
                    <w:t>）、天平室（15m</w:t>
                  </w:r>
                  <w:r>
                    <w:rPr>
                      <w:rFonts w:hint="eastAsia"/>
                      <w:color w:val="auto"/>
                      <w:highlight w:val="none"/>
                      <w:vertAlign w:val="superscript"/>
                      <w:lang w:val="en-US" w:eastAsia="zh-CN"/>
                    </w:rPr>
                    <w:t>2</w:t>
                  </w:r>
                  <w:r>
                    <w:rPr>
                      <w:rFonts w:hint="eastAsia"/>
                      <w:color w:val="auto"/>
                      <w:highlight w:val="none"/>
                      <w:lang w:val="en-US" w:eastAsia="zh-CN"/>
                    </w:rPr>
                    <w:t>）、油品分析室（4m</w:t>
                  </w:r>
                  <w:r>
                    <w:rPr>
                      <w:rFonts w:hint="eastAsia"/>
                      <w:color w:val="auto"/>
                      <w:highlight w:val="none"/>
                      <w:vertAlign w:val="superscript"/>
                      <w:lang w:val="en-US" w:eastAsia="zh-CN"/>
                    </w:rPr>
                    <w:t>2</w:t>
                  </w:r>
                  <w:r>
                    <w:rPr>
                      <w:rFonts w:hint="eastAsia"/>
                      <w:color w:val="auto"/>
                      <w:highlight w:val="none"/>
                      <w:lang w:val="en-US" w:eastAsia="zh-CN"/>
                    </w:rPr>
                    <w:t>）、总有机碳室（4m</w:t>
                  </w:r>
                  <w:r>
                    <w:rPr>
                      <w:rFonts w:hint="eastAsia"/>
                      <w:color w:val="auto"/>
                      <w:highlight w:val="none"/>
                      <w:vertAlign w:val="superscript"/>
                      <w:lang w:val="en-US" w:eastAsia="zh-CN"/>
                    </w:rPr>
                    <w:t>2</w:t>
                  </w:r>
                  <w:r>
                    <w:rPr>
                      <w:rFonts w:hint="eastAsia"/>
                      <w:color w:val="auto"/>
                      <w:highlight w:val="none"/>
                      <w:lang w:val="en-US" w:eastAsia="zh-CN"/>
                    </w:rPr>
                    <w:t>）、离子色谱室（4m</w:t>
                  </w:r>
                  <w:r>
                    <w:rPr>
                      <w:rFonts w:hint="eastAsia"/>
                      <w:color w:val="auto"/>
                      <w:highlight w:val="none"/>
                      <w:vertAlign w:val="superscript"/>
                      <w:lang w:val="en-US" w:eastAsia="zh-CN"/>
                    </w:rPr>
                    <w:t>2</w:t>
                  </w:r>
                  <w:r>
                    <w:rPr>
                      <w:rFonts w:hint="eastAsia"/>
                      <w:color w:val="auto"/>
                      <w:highlight w:val="none"/>
                      <w:lang w:val="en-US" w:eastAsia="zh-CN"/>
                    </w:rPr>
                    <w:t>）、气瓶室（14m</w:t>
                  </w:r>
                  <w:r>
                    <w:rPr>
                      <w:rFonts w:hint="eastAsia"/>
                      <w:color w:val="auto"/>
                      <w:highlight w:val="none"/>
                      <w:vertAlign w:val="superscript"/>
                      <w:lang w:val="en-US" w:eastAsia="zh-CN"/>
                    </w:rPr>
                    <w:t>2</w:t>
                  </w:r>
                  <w:r>
                    <w:rPr>
                      <w:rFonts w:hint="eastAsia"/>
                      <w:color w:val="auto"/>
                      <w:highlight w:val="none"/>
                      <w:lang w:val="en-US" w:eastAsia="zh-CN"/>
                    </w:rPr>
                    <w:t>）、半挥发分析室（53.1m</w:t>
                  </w:r>
                  <w:r>
                    <w:rPr>
                      <w:rFonts w:hint="eastAsia"/>
                      <w:color w:val="auto"/>
                      <w:highlight w:val="none"/>
                      <w:vertAlign w:val="superscript"/>
                      <w:lang w:val="en-US" w:eastAsia="zh-CN"/>
                    </w:rPr>
                    <w:t>2</w:t>
                  </w:r>
                  <w:r>
                    <w:rPr>
                      <w:rFonts w:hint="eastAsia"/>
                      <w:color w:val="auto"/>
                      <w:highlight w:val="none"/>
                      <w:lang w:val="en-US" w:eastAsia="zh-CN"/>
                    </w:rPr>
                    <w:t>）、半挥发前处理室（28m</w:t>
                  </w:r>
                  <w:r>
                    <w:rPr>
                      <w:rFonts w:hint="eastAsia"/>
                      <w:color w:val="auto"/>
                      <w:highlight w:val="none"/>
                      <w:vertAlign w:val="superscript"/>
                      <w:lang w:val="en-US" w:eastAsia="zh-CN"/>
                    </w:rPr>
                    <w:t>2</w:t>
                  </w:r>
                  <w:r>
                    <w:rPr>
                      <w:rFonts w:hint="eastAsia"/>
                      <w:color w:val="auto"/>
                      <w:highlight w:val="none"/>
                      <w:lang w:val="en-US" w:eastAsia="zh-CN"/>
                    </w:rPr>
                    <w:t>）</w:t>
                  </w:r>
                </w:p>
              </w:tc>
              <w:tc>
                <w:tcPr>
                  <w:tcW w:w="853" w:type="dxa"/>
                  <w:tcBorders>
                    <w:tl2br w:val="nil"/>
                    <w:tr2bl w:val="nil"/>
                  </w:tcBorders>
                  <w:shd w:val="clear" w:color="auto" w:fill="FFFFFF"/>
                  <w:noWrap w:val="0"/>
                  <w:vAlign w:val="center"/>
                </w:tcPr>
                <w:p w14:paraId="17E667CB">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val="en-US" w:eastAsia="zh-CN"/>
                    </w:rPr>
                  </w:pPr>
                  <w:r>
                    <w:rPr>
                      <w:rFonts w:hint="eastAsia"/>
                      <w:color w:val="auto"/>
                      <w:highlight w:val="none"/>
                      <w:lang w:val="en-US" w:eastAsia="zh-CN"/>
                    </w:rPr>
                    <w:t>新建</w:t>
                  </w:r>
                </w:p>
              </w:tc>
            </w:tr>
            <w:tr w14:paraId="5943778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51" w:type="dxa"/>
                  <w:vMerge w:val="restart"/>
                  <w:tcBorders>
                    <w:tl2br w:val="nil"/>
                    <w:tr2bl w:val="nil"/>
                  </w:tcBorders>
                  <w:shd w:val="clear" w:color="auto" w:fill="FFFFFF"/>
                  <w:noWrap w:val="0"/>
                  <w:vAlign w:val="center"/>
                </w:tcPr>
                <w:p w14:paraId="46CD570D">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公用</w:t>
                  </w:r>
                </w:p>
                <w:p w14:paraId="3E46F4F4">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工程</w:t>
                  </w:r>
                </w:p>
              </w:tc>
              <w:tc>
                <w:tcPr>
                  <w:tcW w:w="1517" w:type="dxa"/>
                  <w:tcBorders>
                    <w:tl2br w:val="nil"/>
                    <w:tr2bl w:val="nil"/>
                  </w:tcBorders>
                  <w:shd w:val="clear" w:color="auto" w:fill="FFFFFF"/>
                  <w:noWrap w:val="0"/>
                  <w:vAlign w:val="center"/>
                </w:tcPr>
                <w:p w14:paraId="49DCCB04">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给水系统</w:t>
                  </w:r>
                </w:p>
              </w:tc>
              <w:tc>
                <w:tcPr>
                  <w:tcW w:w="4742" w:type="dxa"/>
                  <w:tcBorders>
                    <w:tl2br w:val="nil"/>
                    <w:tr2bl w:val="nil"/>
                  </w:tcBorders>
                  <w:shd w:val="clear" w:color="auto" w:fill="FFFFFF"/>
                  <w:noWrap w:val="0"/>
                  <w:vAlign w:val="center"/>
                </w:tcPr>
                <w:p w14:paraId="24B323E7">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color w:val="auto"/>
                      <w:highlight w:val="none"/>
                      <w:lang w:val="en-US" w:eastAsia="zh-CN"/>
                    </w:rPr>
                  </w:pPr>
                  <w:r>
                    <w:rPr>
                      <w:rFonts w:hint="eastAsia"/>
                      <w:color w:val="auto"/>
                      <w:highlight w:val="none"/>
                      <w:lang w:val="en-US" w:eastAsia="zh-CN"/>
                    </w:rPr>
                    <w:t>依托市政给水系统。</w:t>
                  </w:r>
                </w:p>
              </w:tc>
              <w:tc>
                <w:tcPr>
                  <w:tcW w:w="853" w:type="dxa"/>
                  <w:tcBorders>
                    <w:tl2br w:val="nil"/>
                    <w:tr2bl w:val="nil"/>
                  </w:tcBorders>
                  <w:shd w:val="clear" w:color="auto" w:fill="FFFFFF"/>
                  <w:noWrap w:val="0"/>
                  <w:vAlign w:val="center"/>
                </w:tcPr>
                <w:p w14:paraId="1A91C6CF">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val="en-US" w:eastAsia="zh-CN"/>
                    </w:rPr>
                  </w:pPr>
                  <w:r>
                    <w:rPr>
                      <w:rFonts w:hint="eastAsia"/>
                      <w:color w:val="auto"/>
                      <w:highlight w:val="none"/>
                      <w:lang w:val="en-US" w:eastAsia="zh-CN"/>
                    </w:rPr>
                    <w:t>依托</w:t>
                  </w:r>
                </w:p>
              </w:tc>
            </w:tr>
            <w:tr w14:paraId="33D88DD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51" w:type="dxa"/>
                  <w:vMerge w:val="continue"/>
                  <w:tcBorders>
                    <w:tl2br w:val="nil"/>
                    <w:tr2bl w:val="nil"/>
                  </w:tcBorders>
                  <w:shd w:val="clear" w:color="auto" w:fill="FFFFFF"/>
                  <w:noWrap w:val="0"/>
                  <w:vAlign w:val="center"/>
                </w:tcPr>
                <w:p w14:paraId="38A61C80">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p>
              </w:tc>
              <w:tc>
                <w:tcPr>
                  <w:tcW w:w="1517" w:type="dxa"/>
                  <w:tcBorders>
                    <w:tl2br w:val="nil"/>
                    <w:tr2bl w:val="nil"/>
                  </w:tcBorders>
                  <w:shd w:val="clear" w:color="auto" w:fill="FFFFFF"/>
                  <w:noWrap w:val="0"/>
                  <w:vAlign w:val="center"/>
                </w:tcPr>
                <w:p w14:paraId="7E67A716">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排水系统</w:t>
                  </w:r>
                </w:p>
              </w:tc>
              <w:tc>
                <w:tcPr>
                  <w:tcW w:w="4742" w:type="dxa"/>
                  <w:tcBorders>
                    <w:tl2br w:val="nil"/>
                    <w:tr2bl w:val="nil"/>
                  </w:tcBorders>
                  <w:shd w:val="clear" w:color="auto" w:fill="FFFFFF"/>
                  <w:noWrap w:val="0"/>
                  <w:vAlign w:val="center"/>
                </w:tcPr>
                <w:p w14:paraId="4F3A2841">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color w:val="auto"/>
                      <w:highlight w:val="none"/>
                    </w:rPr>
                  </w:pPr>
                  <w:r>
                    <w:rPr>
                      <w:rFonts w:hint="eastAsia"/>
                      <w:color w:val="auto"/>
                      <w:highlight w:val="none"/>
                      <w:lang w:val="en-US" w:eastAsia="zh-CN"/>
                    </w:rPr>
                    <w:t>容器前遍清洗废水收集作危废处置，容器第三遍及以后清洗废水与生活污水一起排入园区化粪池，经市政管网进北京亦庄环境科技集团有限公司东区污水处理厂进一步处理。</w:t>
                  </w:r>
                </w:p>
              </w:tc>
              <w:tc>
                <w:tcPr>
                  <w:tcW w:w="853" w:type="dxa"/>
                  <w:tcBorders>
                    <w:tl2br w:val="nil"/>
                    <w:tr2bl w:val="nil"/>
                  </w:tcBorders>
                  <w:shd w:val="clear" w:color="auto" w:fill="FFFFFF"/>
                  <w:noWrap w:val="0"/>
                  <w:vAlign w:val="center"/>
                </w:tcPr>
                <w:p w14:paraId="3A05F2B0">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val="en-US" w:eastAsia="zh-CN"/>
                    </w:rPr>
                  </w:pPr>
                  <w:r>
                    <w:rPr>
                      <w:rFonts w:hint="eastAsia"/>
                      <w:color w:val="auto"/>
                      <w:highlight w:val="none"/>
                      <w:lang w:val="en-US" w:eastAsia="zh-CN"/>
                    </w:rPr>
                    <w:t>依托</w:t>
                  </w:r>
                </w:p>
              </w:tc>
            </w:tr>
            <w:tr w14:paraId="1CBE24C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51" w:type="dxa"/>
                  <w:vMerge w:val="continue"/>
                  <w:tcBorders>
                    <w:tl2br w:val="nil"/>
                    <w:tr2bl w:val="nil"/>
                  </w:tcBorders>
                  <w:shd w:val="clear" w:color="auto" w:fill="FFFFFF"/>
                  <w:noWrap w:val="0"/>
                  <w:vAlign w:val="center"/>
                </w:tcPr>
                <w:p w14:paraId="606D2283">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p>
              </w:tc>
              <w:tc>
                <w:tcPr>
                  <w:tcW w:w="1517" w:type="dxa"/>
                  <w:tcBorders>
                    <w:tl2br w:val="nil"/>
                    <w:tr2bl w:val="nil"/>
                  </w:tcBorders>
                  <w:shd w:val="clear" w:color="auto" w:fill="FFFFFF"/>
                  <w:noWrap w:val="0"/>
                  <w:vAlign w:val="center"/>
                </w:tcPr>
                <w:p w14:paraId="7F71FBB8">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供电系统</w:t>
                  </w:r>
                </w:p>
              </w:tc>
              <w:tc>
                <w:tcPr>
                  <w:tcW w:w="4742" w:type="dxa"/>
                  <w:tcBorders>
                    <w:tl2br w:val="nil"/>
                    <w:tr2bl w:val="nil"/>
                  </w:tcBorders>
                  <w:shd w:val="clear" w:color="auto" w:fill="FFFFFF"/>
                  <w:noWrap w:val="0"/>
                  <w:vAlign w:val="center"/>
                </w:tcPr>
                <w:p w14:paraId="376C1250">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color w:val="auto"/>
                      <w:highlight w:val="none"/>
                    </w:rPr>
                  </w:pPr>
                  <w:r>
                    <w:rPr>
                      <w:rFonts w:hint="eastAsia"/>
                      <w:color w:val="auto"/>
                      <w:highlight w:val="none"/>
                      <w:lang w:val="en-US" w:eastAsia="zh-CN"/>
                    </w:rPr>
                    <w:t>依托市政</w:t>
                  </w:r>
                  <w:r>
                    <w:rPr>
                      <w:rFonts w:hint="eastAsia"/>
                      <w:color w:val="auto"/>
                      <w:highlight w:val="none"/>
                    </w:rPr>
                    <w:t>电力系统。</w:t>
                  </w:r>
                </w:p>
              </w:tc>
              <w:tc>
                <w:tcPr>
                  <w:tcW w:w="853" w:type="dxa"/>
                  <w:tcBorders>
                    <w:tl2br w:val="nil"/>
                    <w:tr2bl w:val="nil"/>
                  </w:tcBorders>
                  <w:shd w:val="clear" w:color="auto" w:fill="FFFFFF"/>
                  <w:noWrap w:val="0"/>
                  <w:vAlign w:val="center"/>
                </w:tcPr>
                <w:p w14:paraId="12164304">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val="en-US" w:eastAsia="zh-CN"/>
                    </w:rPr>
                  </w:pPr>
                  <w:r>
                    <w:rPr>
                      <w:rFonts w:hint="eastAsia"/>
                      <w:color w:val="auto"/>
                      <w:highlight w:val="none"/>
                      <w:lang w:val="en-US" w:eastAsia="zh-CN"/>
                    </w:rPr>
                    <w:t>依托</w:t>
                  </w:r>
                </w:p>
              </w:tc>
            </w:tr>
            <w:tr w14:paraId="5C74989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51" w:type="dxa"/>
                  <w:vMerge w:val="continue"/>
                  <w:tcBorders>
                    <w:tl2br w:val="nil"/>
                    <w:tr2bl w:val="nil"/>
                  </w:tcBorders>
                  <w:shd w:val="clear" w:color="auto" w:fill="FFFFFF"/>
                  <w:noWrap w:val="0"/>
                  <w:vAlign w:val="center"/>
                </w:tcPr>
                <w:p w14:paraId="576FA056">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p>
              </w:tc>
              <w:tc>
                <w:tcPr>
                  <w:tcW w:w="1517" w:type="dxa"/>
                  <w:tcBorders>
                    <w:tl2br w:val="nil"/>
                    <w:tr2bl w:val="nil"/>
                  </w:tcBorders>
                  <w:shd w:val="clear" w:color="auto" w:fill="FFFFFF"/>
                  <w:noWrap w:val="0"/>
                  <w:vAlign w:val="center"/>
                </w:tcPr>
                <w:p w14:paraId="4D20A761">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采暖供冷</w:t>
                  </w:r>
                </w:p>
              </w:tc>
              <w:tc>
                <w:tcPr>
                  <w:tcW w:w="4742" w:type="dxa"/>
                  <w:tcBorders>
                    <w:tl2br w:val="nil"/>
                    <w:tr2bl w:val="nil"/>
                  </w:tcBorders>
                  <w:shd w:val="clear" w:color="auto" w:fill="FFFFFF"/>
                  <w:noWrap w:val="0"/>
                  <w:vAlign w:val="center"/>
                </w:tcPr>
                <w:p w14:paraId="3684FA50">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eastAsia="zh-CN"/>
                    </w:rPr>
                    <w:t>供暖、制冷</w:t>
                  </w:r>
                  <w:r>
                    <w:rPr>
                      <w:rFonts w:hint="eastAsia"/>
                      <w:color w:val="auto"/>
                      <w:highlight w:val="none"/>
                      <w:lang w:val="en-US" w:eastAsia="zh-CN"/>
                    </w:rPr>
                    <w:t>使用空调</w:t>
                  </w:r>
                  <w:r>
                    <w:rPr>
                      <w:rFonts w:hint="eastAsia"/>
                      <w:color w:val="auto"/>
                      <w:highlight w:val="none"/>
                      <w:lang w:eastAsia="zh-CN"/>
                    </w:rPr>
                    <w:t>。</w:t>
                  </w:r>
                </w:p>
              </w:tc>
              <w:tc>
                <w:tcPr>
                  <w:tcW w:w="853" w:type="dxa"/>
                  <w:tcBorders>
                    <w:tl2br w:val="nil"/>
                    <w:tr2bl w:val="nil"/>
                  </w:tcBorders>
                  <w:shd w:val="clear" w:color="auto" w:fill="FFFFFF"/>
                  <w:noWrap w:val="0"/>
                  <w:vAlign w:val="center"/>
                </w:tcPr>
                <w:p w14:paraId="07D8F4B6">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新建</w:t>
                  </w:r>
                </w:p>
              </w:tc>
            </w:tr>
            <w:tr w14:paraId="631E013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51" w:type="dxa"/>
                  <w:vMerge w:val="restart"/>
                  <w:tcBorders>
                    <w:tl2br w:val="nil"/>
                    <w:tr2bl w:val="nil"/>
                  </w:tcBorders>
                  <w:shd w:val="clear" w:color="auto" w:fill="FFFFFF"/>
                  <w:noWrap w:val="0"/>
                  <w:vAlign w:val="center"/>
                </w:tcPr>
                <w:p w14:paraId="37A55718">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环保</w:t>
                  </w:r>
                </w:p>
                <w:p w14:paraId="5C327126">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工程</w:t>
                  </w:r>
                </w:p>
              </w:tc>
              <w:tc>
                <w:tcPr>
                  <w:tcW w:w="1517" w:type="dxa"/>
                  <w:tcBorders>
                    <w:tl2br w:val="nil"/>
                    <w:tr2bl w:val="nil"/>
                  </w:tcBorders>
                  <w:shd w:val="clear" w:color="auto" w:fill="FFFFFF"/>
                  <w:noWrap w:val="0"/>
                  <w:vAlign w:val="center"/>
                </w:tcPr>
                <w:p w14:paraId="5038DE3D">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废气治理</w:t>
                  </w:r>
                </w:p>
              </w:tc>
              <w:tc>
                <w:tcPr>
                  <w:tcW w:w="4742" w:type="dxa"/>
                  <w:tcBorders>
                    <w:tl2br w:val="nil"/>
                    <w:tr2bl w:val="nil"/>
                  </w:tcBorders>
                  <w:shd w:val="clear" w:color="auto" w:fill="FFFFFF"/>
                  <w:noWrap w:val="0"/>
                  <w:vAlign w:val="center"/>
                </w:tcPr>
                <w:p w14:paraId="3C5ECD4F">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both"/>
                    <w:textAlignment w:val="auto"/>
                    <w:rPr>
                      <w:rFonts w:hint="default"/>
                      <w:color w:val="auto"/>
                      <w:highlight w:val="none"/>
                      <w:lang w:val="en-US" w:eastAsia="zh-CN"/>
                    </w:rPr>
                  </w:pPr>
                  <w:r>
                    <w:rPr>
                      <w:rFonts w:hint="eastAsia"/>
                      <w:color w:val="auto"/>
                      <w:highlight w:val="none"/>
                      <w:lang w:val="en-US" w:eastAsia="zh-CN"/>
                    </w:rPr>
                    <w:t>本项目研发实验不涉及挥发性原辅料，室内地面使用新洁尔灭消毒，工作台面使用酒精消毒，酒精产生的挥发性有机物无组织排放。</w:t>
                  </w:r>
                </w:p>
              </w:tc>
              <w:tc>
                <w:tcPr>
                  <w:tcW w:w="853" w:type="dxa"/>
                  <w:tcBorders>
                    <w:tl2br w:val="nil"/>
                    <w:tr2bl w:val="nil"/>
                  </w:tcBorders>
                  <w:shd w:val="clear" w:color="auto" w:fill="FFFFFF"/>
                  <w:noWrap w:val="0"/>
                  <w:vAlign w:val="center"/>
                </w:tcPr>
                <w:p w14:paraId="07AC82C3">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val="en-US" w:eastAsia="zh-CN"/>
                    </w:rPr>
                  </w:pPr>
                  <w:r>
                    <w:rPr>
                      <w:rFonts w:hint="eastAsia"/>
                      <w:color w:val="auto"/>
                      <w:highlight w:val="none"/>
                      <w:lang w:val="en-US" w:eastAsia="zh-CN"/>
                    </w:rPr>
                    <w:t>新建</w:t>
                  </w:r>
                </w:p>
              </w:tc>
            </w:tr>
            <w:tr w14:paraId="3324307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51" w:type="dxa"/>
                  <w:vMerge w:val="continue"/>
                  <w:tcBorders>
                    <w:tl2br w:val="nil"/>
                    <w:tr2bl w:val="nil"/>
                  </w:tcBorders>
                  <w:shd w:val="clear" w:color="auto" w:fill="FFFFFF"/>
                  <w:noWrap w:val="0"/>
                  <w:vAlign w:val="center"/>
                </w:tcPr>
                <w:p w14:paraId="14FA7EBF">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p>
              </w:tc>
              <w:tc>
                <w:tcPr>
                  <w:tcW w:w="1517" w:type="dxa"/>
                  <w:tcBorders>
                    <w:tl2br w:val="nil"/>
                    <w:tr2bl w:val="nil"/>
                  </w:tcBorders>
                  <w:shd w:val="clear" w:color="auto" w:fill="FFFFFF"/>
                  <w:noWrap w:val="0"/>
                  <w:vAlign w:val="center"/>
                </w:tcPr>
                <w:p w14:paraId="64C3C08E">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废水治理</w:t>
                  </w:r>
                </w:p>
              </w:tc>
              <w:tc>
                <w:tcPr>
                  <w:tcW w:w="4742" w:type="dxa"/>
                  <w:tcBorders>
                    <w:tl2br w:val="nil"/>
                    <w:tr2bl w:val="nil"/>
                  </w:tcBorders>
                  <w:shd w:val="clear" w:color="auto" w:fill="FFFFFF"/>
                  <w:noWrap w:val="0"/>
                  <w:vAlign w:val="center"/>
                </w:tcPr>
                <w:p w14:paraId="3694DE6F">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both"/>
                    <w:textAlignment w:val="auto"/>
                    <w:rPr>
                      <w:rFonts w:hint="default" w:eastAsia="宋体"/>
                      <w:color w:val="auto"/>
                      <w:highlight w:val="none"/>
                      <w:lang w:val="en-US" w:eastAsia="zh-CN"/>
                    </w:rPr>
                  </w:pPr>
                  <w:r>
                    <w:rPr>
                      <w:rFonts w:hint="eastAsia" w:eastAsia="宋体"/>
                      <w:color w:val="auto"/>
                      <w:highlight w:val="none"/>
                      <w:lang w:val="en-US" w:eastAsia="zh-CN"/>
                    </w:rPr>
                    <w:t>容器前两遍清洗废水收集作危废处置，容器第三遍及以后清洗废水、纯水制备废水、高压蒸汽灭菌废水、地面清洗废水与生活污水一起排入园区化粪池，经市政管网进北京亦庄环境科技集团有限公司东区污水处理厂进一步处理。</w:t>
                  </w:r>
                </w:p>
              </w:tc>
              <w:tc>
                <w:tcPr>
                  <w:tcW w:w="853" w:type="dxa"/>
                  <w:tcBorders>
                    <w:tl2br w:val="nil"/>
                    <w:tr2bl w:val="nil"/>
                  </w:tcBorders>
                  <w:shd w:val="clear" w:color="auto" w:fill="FFFFFF"/>
                  <w:noWrap w:val="0"/>
                  <w:vAlign w:val="center"/>
                </w:tcPr>
                <w:p w14:paraId="0FDE0054">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新建</w:t>
                  </w:r>
                </w:p>
              </w:tc>
            </w:tr>
            <w:tr w14:paraId="6FDBC15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51" w:type="dxa"/>
                  <w:vMerge w:val="continue"/>
                  <w:tcBorders>
                    <w:tl2br w:val="nil"/>
                    <w:tr2bl w:val="nil"/>
                  </w:tcBorders>
                  <w:shd w:val="clear" w:color="auto" w:fill="FFFFFF"/>
                  <w:noWrap w:val="0"/>
                  <w:vAlign w:val="center"/>
                </w:tcPr>
                <w:p w14:paraId="5F70DE24">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p>
              </w:tc>
              <w:tc>
                <w:tcPr>
                  <w:tcW w:w="1517" w:type="dxa"/>
                  <w:tcBorders>
                    <w:tl2br w:val="nil"/>
                    <w:tr2bl w:val="nil"/>
                  </w:tcBorders>
                  <w:shd w:val="clear" w:color="auto" w:fill="FFFFFF"/>
                  <w:noWrap w:val="0"/>
                  <w:vAlign w:val="center"/>
                </w:tcPr>
                <w:p w14:paraId="7FF48E7D">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固废处置</w:t>
                  </w:r>
                </w:p>
              </w:tc>
              <w:tc>
                <w:tcPr>
                  <w:tcW w:w="4742" w:type="dxa"/>
                  <w:tcBorders>
                    <w:tl2br w:val="nil"/>
                    <w:tr2bl w:val="nil"/>
                  </w:tcBorders>
                  <w:shd w:val="clear" w:color="auto" w:fill="FFFFFF"/>
                  <w:noWrap w:val="0"/>
                  <w:vAlign w:val="center"/>
                </w:tcPr>
                <w:p w14:paraId="51BDC383">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both"/>
                    <w:textAlignment w:val="auto"/>
                    <w:rPr>
                      <w:rFonts w:hint="default" w:eastAsia="宋体"/>
                      <w:color w:val="auto"/>
                      <w:highlight w:val="none"/>
                      <w:lang w:val="en-US" w:eastAsia="zh-CN"/>
                    </w:rPr>
                  </w:pPr>
                  <w:r>
                    <w:rPr>
                      <w:rFonts w:hint="eastAsia" w:eastAsia="宋体"/>
                      <w:color w:val="auto"/>
                      <w:highlight w:val="none"/>
                      <w:lang w:val="en-US" w:eastAsia="zh-CN"/>
                    </w:rPr>
                    <w:t>建设一般工业固体废物暂存间，暂存属于一般工业固体废物的废包装物，定期委托物资回收单位回收；建设危险废物暂存间，分类收集贮存危险废物，定期委托有资质的单位收集处置；设置生活垃圾分类收集桶，委托当地环卫部门每日清运。</w:t>
                  </w:r>
                </w:p>
              </w:tc>
              <w:tc>
                <w:tcPr>
                  <w:tcW w:w="853" w:type="dxa"/>
                  <w:tcBorders>
                    <w:tl2br w:val="nil"/>
                    <w:tr2bl w:val="nil"/>
                  </w:tcBorders>
                  <w:shd w:val="clear" w:color="auto" w:fill="FFFFFF"/>
                  <w:noWrap w:val="0"/>
                  <w:vAlign w:val="center"/>
                </w:tcPr>
                <w:p w14:paraId="38843D5F">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新建</w:t>
                  </w:r>
                </w:p>
              </w:tc>
            </w:tr>
            <w:tr w14:paraId="10015BB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51" w:type="dxa"/>
                  <w:vMerge w:val="continue"/>
                  <w:tcBorders>
                    <w:tl2br w:val="nil"/>
                    <w:tr2bl w:val="nil"/>
                  </w:tcBorders>
                  <w:shd w:val="clear" w:color="auto" w:fill="FFFFFF"/>
                  <w:noWrap w:val="0"/>
                  <w:vAlign w:val="center"/>
                </w:tcPr>
                <w:p w14:paraId="65EA5681">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color w:val="auto"/>
                      <w:highlight w:val="none"/>
                    </w:rPr>
                  </w:pPr>
                </w:p>
              </w:tc>
              <w:tc>
                <w:tcPr>
                  <w:tcW w:w="1517" w:type="dxa"/>
                  <w:tcBorders>
                    <w:tl2br w:val="nil"/>
                    <w:tr2bl w:val="nil"/>
                  </w:tcBorders>
                  <w:shd w:val="clear" w:color="auto" w:fill="FFFFFF"/>
                  <w:noWrap w:val="0"/>
                  <w:vAlign w:val="center"/>
                </w:tcPr>
                <w:p w14:paraId="3A9ABC9C">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color w:val="auto"/>
                      <w:highlight w:val="none"/>
                    </w:rPr>
                  </w:pPr>
                  <w:r>
                    <w:rPr>
                      <w:rFonts w:hint="eastAsia"/>
                      <w:color w:val="auto"/>
                      <w:highlight w:val="none"/>
                    </w:rPr>
                    <w:t>环境风险防范措施</w:t>
                  </w:r>
                </w:p>
              </w:tc>
              <w:tc>
                <w:tcPr>
                  <w:tcW w:w="4742" w:type="dxa"/>
                  <w:tcBorders>
                    <w:tl2br w:val="nil"/>
                    <w:tr2bl w:val="nil"/>
                  </w:tcBorders>
                  <w:shd w:val="clear" w:color="auto" w:fill="FFFFFF"/>
                  <w:noWrap w:val="0"/>
                  <w:vAlign w:val="center"/>
                </w:tcPr>
                <w:p w14:paraId="692A2188">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both"/>
                    <w:textAlignment w:val="auto"/>
                    <w:rPr>
                      <w:rFonts w:hint="eastAsia"/>
                      <w:color w:val="auto"/>
                      <w:highlight w:val="none"/>
                      <w:lang w:eastAsia="zh-CN"/>
                    </w:rPr>
                  </w:pPr>
                  <w:r>
                    <w:rPr>
                      <w:rFonts w:hint="eastAsia"/>
                      <w:color w:val="auto"/>
                      <w:highlight w:val="none"/>
                      <w:lang w:val="en-US" w:eastAsia="zh-CN"/>
                    </w:rPr>
                    <w:t>建设</w:t>
                  </w:r>
                  <w:r>
                    <w:rPr>
                      <w:rFonts w:hint="eastAsia"/>
                      <w:color w:val="auto"/>
                      <w:highlight w:val="none"/>
                    </w:rPr>
                    <w:t>阴凉、通风、干燥</w:t>
                  </w:r>
                  <w:r>
                    <w:rPr>
                      <w:rFonts w:hint="eastAsia"/>
                      <w:color w:val="auto"/>
                      <w:highlight w:val="none"/>
                      <w:lang w:val="en-US" w:eastAsia="zh-CN"/>
                    </w:rPr>
                    <w:t>的化学品贮存设施</w:t>
                  </w:r>
                  <w:r>
                    <w:rPr>
                      <w:rFonts w:hint="eastAsia"/>
                      <w:color w:val="auto"/>
                      <w:highlight w:val="none"/>
                    </w:rPr>
                    <w:t>，且远离火种、热源；</w:t>
                  </w:r>
                  <w:r>
                    <w:rPr>
                      <w:rFonts w:hint="eastAsia"/>
                      <w:color w:val="auto"/>
                      <w:highlight w:val="none"/>
                      <w:lang w:val="en-US" w:eastAsia="zh-CN"/>
                    </w:rPr>
                    <w:t>建设规范的危险废物暂存间，做好防渗、防溢流措施；设置满足要求的风险物资</w:t>
                  </w:r>
                  <w:r>
                    <w:rPr>
                      <w:rFonts w:hint="eastAsia"/>
                      <w:color w:val="auto"/>
                      <w:highlight w:val="none"/>
                    </w:rPr>
                    <w:t>。</w:t>
                  </w:r>
                </w:p>
              </w:tc>
              <w:tc>
                <w:tcPr>
                  <w:tcW w:w="853" w:type="dxa"/>
                  <w:tcBorders>
                    <w:tl2br w:val="nil"/>
                    <w:tr2bl w:val="nil"/>
                  </w:tcBorders>
                  <w:shd w:val="clear" w:color="auto" w:fill="FFFFFF"/>
                  <w:noWrap w:val="0"/>
                  <w:vAlign w:val="center"/>
                </w:tcPr>
                <w:p w14:paraId="3BF40A4A">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新建</w:t>
                  </w:r>
                </w:p>
              </w:tc>
            </w:tr>
            <w:tr w14:paraId="4AE8ED0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51" w:type="dxa"/>
                  <w:vMerge w:val="restart"/>
                  <w:tcBorders>
                    <w:tl2br w:val="nil"/>
                    <w:tr2bl w:val="nil"/>
                  </w:tcBorders>
                  <w:shd w:val="clear" w:color="auto" w:fill="FFFFFF"/>
                  <w:noWrap w:val="0"/>
                  <w:vAlign w:val="center"/>
                </w:tcPr>
                <w:p w14:paraId="60F17FD7">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color w:val="auto"/>
                      <w:highlight w:val="none"/>
                    </w:rPr>
                  </w:pPr>
                  <w:r>
                    <w:rPr>
                      <w:rFonts w:hint="eastAsia"/>
                      <w:color w:val="auto"/>
                      <w:highlight w:val="none"/>
                    </w:rPr>
                    <w:t>储运</w:t>
                  </w:r>
                </w:p>
                <w:p w14:paraId="5A4473AD">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color w:val="auto"/>
                      <w:highlight w:val="none"/>
                    </w:rPr>
                  </w:pPr>
                  <w:r>
                    <w:rPr>
                      <w:rFonts w:hint="eastAsia"/>
                      <w:color w:val="auto"/>
                      <w:highlight w:val="none"/>
                    </w:rPr>
                    <w:t>工程</w:t>
                  </w:r>
                </w:p>
              </w:tc>
              <w:tc>
                <w:tcPr>
                  <w:tcW w:w="1517" w:type="dxa"/>
                  <w:tcBorders>
                    <w:tl2br w:val="nil"/>
                    <w:tr2bl w:val="nil"/>
                  </w:tcBorders>
                  <w:shd w:val="clear" w:color="auto" w:fill="FFFFFF"/>
                  <w:noWrap w:val="0"/>
                  <w:vAlign w:val="center"/>
                </w:tcPr>
                <w:p w14:paraId="70B4E159">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val="en-US" w:eastAsia="zh-CN"/>
                    </w:rPr>
                  </w:pPr>
                  <w:r>
                    <w:rPr>
                      <w:rFonts w:hint="eastAsia"/>
                      <w:color w:val="auto"/>
                      <w:highlight w:val="none"/>
                      <w:lang w:val="en-US" w:eastAsia="zh-CN"/>
                    </w:rPr>
                    <w:t>危险废物</w:t>
                  </w:r>
                </w:p>
                <w:p w14:paraId="498529EE">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color w:val="auto"/>
                      <w:highlight w:val="none"/>
                      <w:lang w:val="en-US" w:eastAsia="zh-CN"/>
                    </w:rPr>
                    <w:t>暂存间</w:t>
                  </w:r>
                </w:p>
              </w:tc>
              <w:tc>
                <w:tcPr>
                  <w:tcW w:w="4742" w:type="dxa"/>
                  <w:tcBorders>
                    <w:tl2br w:val="nil"/>
                    <w:tr2bl w:val="nil"/>
                  </w:tcBorders>
                  <w:shd w:val="clear" w:color="auto" w:fill="FFFFFF"/>
                  <w:noWrap w:val="0"/>
                  <w:vAlign w:val="center"/>
                </w:tcPr>
                <w:p w14:paraId="7913894C">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heme="minorBidi"/>
                      <w:color w:val="auto"/>
                      <w:kern w:val="2"/>
                      <w:sz w:val="21"/>
                      <w:szCs w:val="24"/>
                      <w:highlight w:val="none"/>
                      <w:lang w:val="en-US" w:eastAsia="zh-CN" w:bidi="ar-SA"/>
                    </w:rPr>
                  </w:pPr>
                  <w:r>
                    <w:rPr>
                      <w:rFonts w:hint="eastAsia"/>
                      <w:color w:val="auto"/>
                      <w:highlight w:val="none"/>
                      <w:lang w:val="en-US" w:eastAsia="zh-CN"/>
                    </w:rPr>
                    <w:t>面积3m</w:t>
                  </w:r>
                  <w:r>
                    <w:rPr>
                      <w:rFonts w:hint="eastAsia"/>
                      <w:color w:val="auto"/>
                      <w:highlight w:val="none"/>
                      <w:vertAlign w:val="superscript"/>
                      <w:lang w:val="en-US" w:eastAsia="zh-CN"/>
                    </w:rPr>
                    <w:t>2</w:t>
                  </w:r>
                  <w:r>
                    <w:rPr>
                      <w:rFonts w:hint="eastAsia"/>
                      <w:color w:val="auto"/>
                      <w:highlight w:val="none"/>
                      <w:lang w:val="en-US" w:eastAsia="zh-CN"/>
                    </w:rPr>
                    <w:t>，位于三层东侧。</w:t>
                  </w:r>
                </w:p>
              </w:tc>
              <w:tc>
                <w:tcPr>
                  <w:tcW w:w="853" w:type="dxa"/>
                  <w:tcBorders>
                    <w:tl2br w:val="nil"/>
                    <w:tr2bl w:val="nil"/>
                  </w:tcBorders>
                  <w:shd w:val="clear" w:color="auto" w:fill="FFFFFF"/>
                  <w:noWrap w:val="0"/>
                  <w:vAlign w:val="center"/>
                </w:tcPr>
                <w:p w14:paraId="5097EB6B">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color w:val="auto"/>
                      <w:highlight w:val="none"/>
                      <w:lang w:val="en-US" w:eastAsia="zh-CN"/>
                    </w:rPr>
                    <w:t>新建</w:t>
                  </w:r>
                </w:p>
              </w:tc>
            </w:tr>
            <w:tr w14:paraId="52A1900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51" w:type="dxa"/>
                  <w:vMerge w:val="continue"/>
                  <w:tcBorders>
                    <w:tl2br w:val="nil"/>
                    <w:tr2bl w:val="nil"/>
                  </w:tcBorders>
                  <w:shd w:val="clear" w:color="auto" w:fill="FFFFFF"/>
                  <w:noWrap w:val="0"/>
                  <w:vAlign w:val="center"/>
                </w:tcPr>
                <w:p w14:paraId="0FFC0F26">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color w:val="auto"/>
                      <w:highlight w:val="none"/>
                    </w:rPr>
                  </w:pPr>
                </w:p>
              </w:tc>
              <w:tc>
                <w:tcPr>
                  <w:tcW w:w="1517" w:type="dxa"/>
                  <w:tcBorders>
                    <w:tl2br w:val="nil"/>
                    <w:tr2bl w:val="nil"/>
                  </w:tcBorders>
                  <w:shd w:val="clear" w:color="auto" w:fill="FFFFFF"/>
                  <w:noWrap w:val="0"/>
                  <w:vAlign w:val="center"/>
                </w:tcPr>
                <w:p w14:paraId="62933EBF">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heme="minorBidi"/>
                      <w:color w:val="auto"/>
                      <w:kern w:val="2"/>
                      <w:sz w:val="21"/>
                      <w:szCs w:val="24"/>
                      <w:highlight w:val="none"/>
                      <w:lang w:val="en-US" w:eastAsia="zh-CN" w:bidi="ar-SA"/>
                    </w:rPr>
                  </w:pPr>
                  <w:r>
                    <w:rPr>
                      <w:rFonts w:hint="eastAsia"/>
                      <w:color w:val="auto"/>
                      <w:highlight w:val="none"/>
                      <w:lang w:val="en-US" w:eastAsia="zh-CN"/>
                    </w:rPr>
                    <w:t>一般工业固体废物暂存间</w:t>
                  </w:r>
                </w:p>
              </w:tc>
              <w:tc>
                <w:tcPr>
                  <w:tcW w:w="4742" w:type="dxa"/>
                  <w:tcBorders>
                    <w:tl2br w:val="nil"/>
                    <w:tr2bl w:val="nil"/>
                  </w:tcBorders>
                  <w:shd w:val="clear" w:color="auto" w:fill="FFFFFF"/>
                  <w:noWrap w:val="0"/>
                  <w:vAlign w:val="center"/>
                </w:tcPr>
                <w:p w14:paraId="78B9B6C7">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color w:val="auto"/>
                      <w:highlight w:val="none"/>
                      <w:lang w:val="en-US" w:eastAsia="zh-CN"/>
                    </w:rPr>
                    <w:t>面积3m</w:t>
                  </w:r>
                  <w:r>
                    <w:rPr>
                      <w:rFonts w:hint="eastAsia"/>
                      <w:color w:val="auto"/>
                      <w:highlight w:val="none"/>
                      <w:vertAlign w:val="superscript"/>
                      <w:lang w:val="en-US" w:eastAsia="zh-CN"/>
                    </w:rPr>
                    <w:t>2</w:t>
                  </w:r>
                  <w:r>
                    <w:rPr>
                      <w:rFonts w:hint="eastAsia"/>
                      <w:color w:val="auto"/>
                      <w:highlight w:val="none"/>
                      <w:lang w:val="en-US" w:eastAsia="zh-CN"/>
                    </w:rPr>
                    <w:t>，位于三层东侧。</w:t>
                  </w:r>
                </w:p>
              </w:tc>
              <w:tc>
                <w:tcPr>
                  <w:tcW w:w="853" w:type="dxa"/>
                  <w:tcBorders>
                    <w:tl2br w:val="nil"/>
                    <w:tr2bl w:val="nil"/>
                  </w:tcBorders>
                  <w:shd w:val="clear" w:color="auto" w:fill="FFFFFF"/>
                  <w:noWrap w:val="0"/>
                  <w:vAlign w:val="center"/>
                </w:tcPr>
                <w:p w14:paraId="7E0E6AB5">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color w:val="auto"/>
                      <w:highlight w:val="none"/>
                      <w:lang w:val="en-US" w:eastAsia="zh-CN"/>
                    </w:rPr>
                    <w:t>新建</w:t>
                  </w:r>
                </w:p>
              </w:tc>
            </w:tr>
            <w:tr w14:paraId="575CADF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51" w:type="dxa"/>
                  <w:tcBorders>
                    <w:tl2br w:val="nil"/>
                    <w:tr2bl w:val="nil"/>
                  </w:tcBorders>
                  <w:shd w:val="clear" w:color="auto" w:fill="FFFFFF"/>
                  <w:noWrap w:val="0"/>
                  <w:vAlign w:val="center"/>
                </w:tcPr>
                <w:p w14:paraId="64A177A2">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rPr>
                  </w:pPr>
                  <w:r>
                    <w:rPr>
                      <w:rFonts w:hint="eastAsia"/>
                      <w:color w:val="auto"/>
                      <w:highlight w:val="none"/>
                    </w:rPr>
                    <w:t>配套</w:t>
                  </w:r>
                </w:p>
                <w:p w14:paraId="6C33E584">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color w:val="auto"/>
                      <w:highlight w:val="none"/>
                    </w:rPr>
                  </w:pPr>
                  <w:r>
                    <w:rPr>
                      <w:rFonts w:hint="eastAsia"/>
                      <w:color w:val="auto"/>
                      <w:highlight w:val="none"/>
                    </w:rPr>
                    <w:t>工程</w:t>
                  </w:r>
                </w:p>
              </w:tc>
              <w:tc>
                <w:tcPr>
                  <w:tcW w:w="1517" w:type="dxa"/>
                  <w:tcBorders>
                    <w:tl2br w:val="nil"/>
                    <w:tr2bl w:val="nil"/>
                  </w:tcBorders>
                  <w:shd w:val="clear" w:color="auto" w:fill="FFFFFF"/>
                  <w:noWrap w:val="0"/>
                  <w:vAlign w:val="center"/>
                </w:tcPr>
                <w:p w14:paraId="2EBEE57D">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eastAsia="zh-CN"/>
                    </w:rPr>
                    <w:t>办公</w:t>
                  </w:r>
                  <w:r>
                    <w:rPr>
                      <w:rFonts w:hint="eastAsia"/>
                      <w:color w:val="auto"/>
                      <w:highlight w:val="none"/>
                      <w:lang w:val="en-US" w:eastAsia="zh-CN"/>
                    </w:rPr>
                    <w:t>区</w:t>
                  </w:r>
                </w:p>
              </w:tc>
              <w:tc>
                <w:tcPr>
                  <w:tcW w:w="4742" w:type="dxa"/>
                  <w:tcBorders>
                    <w:tl2br w:val="nil"/>
                    <w:tr2bl w:val="nil"/>
                  </w:tcBorders>
                  <w:shd w:val="clear" w:color="auto" w:fill="FFFFFF"/>
                  <w:noWrap w:val="0"/>
                  <w:vAlign w:val="center"/>
                </w:tcPr>
                <w:p w14:paraId="3D206CE8">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color w:val="auto"/>
                      <w:highlight w:val="none"/>
                      <w:lang w:val="en-US" w:eastAsia="zh-CN"/>
                    </w:rPr>
                  </w:pPr>
                  <w:r>
                    <w:rPr>
                      <w:rFonts w:hint="eastAsia"/>
                      <w:color w:val="auto"/>
                      <w:highlight w:val="none"/>
                      <w:lang w:val="en-US" w:eastAsia="zh-CN"/>
                    </w:rPr>
                    <w:t>一层建设：业务室（84.8m</w:t>
                  </w:r>
                  <w:r>
                    <w:rPr>
                      <w:rFonts w:hint="eastAsia"/>
                      <w:color w:val="auto"/>
                      <w:highlight w:val="none"/>
                      <w:vertAlign w:val="superscript"/>
                      <w:lang w:val="en-US" w:eastAsia="zh-CN"/>
                    </w:rPr>
                    <w:t>2</w:t>
                  </w:r>
                  <w:r>
                    <w:rPr>
                      <w:rFonts w:hint="eastAsia"/>
                      <w:color w:val="auto"/>
                      <w:highlight w:val="none"/>
                      <w:lang w:val="en-US" w:eastAsia="zh-CN"/>
                    </w:rPr>
                    <w:t>）、接待室室（20m</w:t>
                  </w:r>
                  <w:r>
                    <w:rPr>
                      <w:rFonts w:hint="eastAsia"/>
                      <w:color w:val="auto"/>
                      <w:highlight w:val="none"/>
                      <w:vertAlign w:val="superscript"/>
                      <w:lang w:val="en-US" w:eastAsia="zh-CN"/>
                    </w:rPr>
                    <w:t>2</w:t>
                  </w:r>
                  <w:r>
                    <w:rPr>
                      <w:rFonts w:hint="eastAsia"/>
                      <w:color w:val="auto"/>
                      <w:highlight w:val="none"/>
                      <w:lang w:val="en-US" w:eastAsia="zh-CN"/>
                    </w:rPr>
                    <w:t>）、会议室（60m</w:t>
                  </w:r>
                  <w:r>
                    <w:rPr>
                      <w:rFonts w:hint="eastAsia"/>
                      <w:color w:val="auto"/>
                      <w:highlight w:val="none"/>
                      <w:vertAlign w:val="superscript"/>
                      <w:lang w:val="en-US" w:eastAsia="zh-CN"/>
                    </w:rPr>
                    <w:t>2</w:t>
                  </w:r>
                  <w:r>
                    <w:rPr>
                      <w:rFonts w:hint="eastAsia"/>
                      <w:color w:val="auto"/>
                      <w:highlight w:val="none"/>
                      <w:lang w:val="en-US" w:eastAsia="zh-CN"/>
                    </w:rPr>
                    <w:t>）、办公室（79.8m</w:t>
                  </w:r>
                  <w:r>
                    <w:rPr>
                      <w:rFonts w:hint="eastAsia"/>
                      <w:color w:val="auto"/>
                      <w:highlight w:val="none"/>
                      <w:vertAlign w:val="superscript"/>
                      <w:lang w:val="en-US" w:eastAsia="zh-CN"/>
                    </w:rPr>
                    <w:t>2</w:t>
                  </w:r>
                  <w:r>
                    <w:rPr>
                      <w:rFonts w:hint="eastAsia"/>
                      <w:color w:val="auto"/>
                      <w:highlight w:val="none"/>
                      <w:lang w:val="en-US" w:eastAsia="zh-CN"/>
                    </w:rPr>
                    <w:t>）</w:t>
                  </w:r>
                </w:p>
                <w:p w14:paraId="5F1A5BB5">
                  <w:pPr>
                    <w:rPr>
                      <w:rFonts w:hint="eastAsia"/>
                      <w:color w:val="auto"/>
                      <w:highlight w:val="none"/>
                      <w:lang w:val="en-US" w:eastAsia="zh-CN"/>
                    </w:rPr>
                  </w:pPr>
                  <w:r>
                    <w:rPr>
                      <w:rFonts w:hint="eastAsia"/>
                      <w:color w:val="auto"/>
                      <w:highlight w:val="none"/>
                      <w:lang w:val="en-US" w:eastAsia="zh-CN"/>
                    </w:rPr>
                    <w:t>二层建设：办公室（276m</w:t>
                  </w:r>
                  <w:r>
                    <w:rPr>
                      <w:rFonts w:hint="eastAsia"/>
                      <w:color w:val="auto"/>
                      <w:highlight w:val="none"/>
                      <w:vertAlign w:val="superscript"/>
                      <w:lang w:val="en-US" w:eastAsia="zh-CN"/>
                    </w:rPr>
                    <w:t>2</w:t>
                  </w:r>
                  <w:r>
                    <w:rPr>
                      <w:rFonts w:hint="eastAsia"/>
                      <w:color w:val="auto"/>
                      <w:highlight w:val="none"/>
                      <w:lang w:val="en-US" w:eastAsia="zh-CN"/>
                    </w:rPr>
                    <w:t>）</w:t>
                  </w:r>
                </w:p>
                <w:p w14:paraId="148437FB">
                  <w:pPr>
                    <w:rPr>
                      <w:rFonts w:hint="eastAsia"/>
                      <w:color w:val="auto"/>
                      <w:highlight w:val="none"/>
                      <w:lang w:val="en-US" w:eastAsia="zh-CN"/>
                    </w:rPr>
                  </w:pPr>
                  <w:r>
                    <w:rPr>
                      <w:rFonts w:hint="eastAsia"/>
                      <w:color w:val="auto"/>
                      <w:highlight w:val="none"/>
                      <w:lang w:val="en-US" w:eastAsia="zh-CN"/>
                    </w:rPr>
                    <w:t>三层建设：办公室（73.8m</w:t>
                  </w:r>
                  <w:r>
                    <w:rPr>
                      <w:rFonts w:hint="eastAsia"/>
                      <w:color w:val="auto"/>
                      <w:highlight w:val="none"/>
                      <w:vertAlign w:val="superscript"/>
                      <w:lang w:val="en-US" w:eastAsia="zh-CN"/>
                    </w:rPr>
                    <w:t>2</w:t>
                  </w:r>
                  <w:r>
                    <w:rPr>
                      <w:rFonts w:hint="eastAsia"/>
                      <w:color w:val="auto"/>
                      <w:highlight w:val="none"/>
                      <w:lang w:val="en-US" w:eastAsia="zh-CN"/>
                    </w:rPr>
                    <w:t>）</w:t>
                  </w:r>
                </w:p>
              </w:tc>
              <w:tc>
                <w:tcPr>
                  <w:tcW w:w="853" w:type="dxa"/>
                  <w:tcBorders>
                    <w:tl2br w:val="nil"/>
                    <w:tr2bl w:val="nil"/>
                  </w:tcBorders>
                  <w:shd w:val="clear" w:color="auto" w:fill="FFFFFF"/>
                  <w:noWrap w:val="0"/>
                  <w:vAlign w:val="center"/>
                </w:tcPr>
                <w:p w14:paraId="08E74602">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val="en-US" w:eastAsia="zh-CN"/>
                    </w:rPr>
                  </w:pPr>
                  <w:r>
                    <w:rPr>
                      <w:rFonts w:hint="eastAsia"/>
                      <w:color w:val="auto"/>
                      <w:highlight w:val="none"/>
                      <w:lang w:val="en-US" w:eastAsia="zh-CN"/>
                    </w:rPr>
                    <w:t>新建</w:t>
                  </w:r>
                </w:p>
              </w:tc>
            </w:tr>
          </w:tbl>
          <w:p w14:paraId="2A50925C">
            <w:pPr>
              <w:adjustRightInd w:val="0"/>
              <w:snapToGrid w:val="0"/>
              <w:rPr>
                <w:rFonts w:hint="default" w:ascii="Times New Roman" w:hAnsi="Times New Roman" w:eastAsia="宋体" w:cs="Times New Roman"/>
                <w:bCs/>
                <w:color w:val="auto"/>
                <w:sz w:val="24"/>
                <w:highlight w:val="none"/>
              </w:rPr>
            </w:pPr>
          </w:p>
          <w:p w14:paraId="18BF4E1A">
            <w:pPr>
              <w:numPr>
                <w:ilvl w:val="0"/>
                <w:numId w:val="21"/>
              </w:numPr>
              <w:tabs>
                <w:tab w:val="left" w:pos="0"/>
              </w:tabs>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项目规模</w:t>
            </w:r>
          </w:p>
          <w:p w14:paraId="7E24070B">
            <w:pPr>
              <w:adjustRightInd w:val="0"/>
              <w:snapToGrid w:val="0"/>
              <w:spacing w:line="360" w:lineRule="auto"/>
              <w:ind w:firstLine="360" w:firstLineChars="15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项目建成后从事环境检测，年检测环境样品10000个</w:t>
            </w:r>
            <w:r>
              <w:rPr>
                <w:rFonts w:hint="default" w:ascii="Times New Roman" w:hAnsi="Times New Roman" w:eastAsia="宋体" w:cs="Times New Roman"/>
                <w:color w:val="auto"/>
                <w:sz w:val="24"/>
                <w:highlight w:val="none"/>
                <w:lang w:val="en-US" w:eastAsia="zh-CN"/>
              </w:rPr>
              <w:t>。</w:t>
            </w:r>
          </w:p>
          <w:p w14:paraId="472F3BC3">
            <w:pPr>
              <w:numPr>
                <w:ilvl w:val="0"/>
                <w:numId w:val="21"/>
              </w:numPr>
              <w:tabs>
                <w:tab w:val="left" w:pos="0"/>
              </w:tabs>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主要</w:t>
            </w:r>
            <w:r>
              <w:rPr>
                <w:rFonts w:hint="eastAsia" w:cs="Times New Roman"/>
                <w:b/>
                <w:bCs/>
                <w:color w:val="auto"/>
                <w:sz w:val="24"/>
                <w:highlight w:val="none"/>
                <w:lang w:val="en-US" w:eastAsia="zh-CN"/>
              </w:rPr>
              <w:t>设备</w:t>
            </w:r>
          </w:p>
          <w:p w14:paraId="7A1490F6">
            <w:pPr>
              <w:spacing w:line="360" w:lineRule="auto"/>
              <w:ind w:firstLine="480" w:firstLineChars="200"/>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color w:val="auto"/>
                <w:sz w:val="24"/>
                <w:highlight w:val="none"/>
              </w:rPr>
              <w:t>本项目建成后主要设备变化一览表见下表。</w:t>
            </w:r>
          </w:p>
          <w:p w14:paraId="020A2781">
            <w:pPr>
              <w:numPr>
                <w:ilvl w:val="0"/>
                <w:numId w:val="22"/>
              </w:numPr>
              <w:spacing w:line="36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color w:val="auto"/>
                <w:kern w:val="0"/>
                <w:sz w:val="24"/>
                <w:highlight w:val="none"/>
              </w:rPr>
              <w:t>项目</w:t>
            </w:r>
            <w:r>
              <w:rPr>
                <w:rFonts w:hint="eastAsia" w:cs="Times New Roman"/>
                <w:b/>
                <w:color w:val="auto"/>
                <w:kern w:val="0"/>
                <w:sz w:val="24"/>
                <w:highlight w:val="none"/>
                <w:lang w:val="en-US" w:eastAsia="zh-CN"/>
              </w:rPr>
              <w:t>建成后</w:t>
            </w:r>
            <w:r>
              <w:rPr>
                <w:rFonts w:hint="default" w:ascii="Times New Roman" w:hAnsi="Times New Roman" w:eastAsia="宋体" w:cs="Times New Roman"/>
                <w:b/>
                <w:color w:val="auto"/>
                <w:kern w:val="0"/>
                <w:sz w:val="24"/>
                <w:highlight w:val="none"/>
              </w:rPr>
              <w:t>主要</w:t>
            </w:r>
            <w:r>
              <w:rPr>
                <w:rFonts w:hint="eastAsia" w:cs="Times New Roman"/>
                <w:b/>
                <w:color w:val="auto"/>
                <w:kern w:val="0"/>
                <w:sz w:val="24"/>
                <w:highlight w:val="none"/>
                <w:lang w:val="en-US" w:eastAsia="zh-CN"/>
              </w:rPr>
              <w:t>设备及变化</w:t>
            </w:r>
            <w:r>
              <w:rPr>
                <w:rFonts w:hint="default" w:ascii="Times New Roman" w:hAnsi="Times New Roman" w:eastAsia="宋体" w:cs="Times New Roman"/>
                <w:b/>
                <w:color w:val="auto"/>
                <w:kern w:val="0"/>
                <w:sz w:val="24"/>
                <w:highlight w:val="none"/>
              </w:rPr>
              <w:t>一览表</w:t>
            </w:r>
          </w:p>
          <w:tbl>
            <w:tblPr>
              <w:tblStyle w:val="24"/>
              <w:tblW w:w="49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864"/>
              <w:gridCol w:w="2363"/>
              <w:gridCol w:w="1822"/>
            </w:tblGrid>
            <w:tr w14:paraId="6E7EE9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3A89CB73">
                  <w:pPr>
                    <w:numPr>
                      <w:ilvl w:val="0"/>
                      <w:numId w:val="0"/>
                    </w:numPr>
                    <w:spacing w:line="240" w:lineRule="auto"/>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序号</w:t>
                  </w:r>
                </w:p>
              </w:tc>
              <w:tc>
                <w:tcPr>
                  <w:tcW w:w="2411" w:type="dxa"/>
                  <w:tcBorders>
                    <w:tl2br w:val="nil"/>
                    <w:tr2bl w:val="nil"/>
                  </w:tcBorders>
                  <w:vAlign w:val="center"/>
                </w:tcPr>
                <w:p w14:paraId="4E358E5A">
                  <w:pPr>
                    <w:numPr>
                      <w:ilvl w:val="0"/>
                      <w:numId w:val="0"/>
                    </w:num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设备名称</w:t>
                  </w:r>
                </w:p>
              </w:tc>
              <w:tc>
                <w:tcPr>
                  <w:tcW w:w="1989" w:type="dxa"/>
                  <w:tcBorders>
                    <w:tl2br w:val="nil"/>
                    <w:tr2bl w:val="nil"/>
                  </w:tcBorders>
                  <w:vAlign w:val="center"/>
                </w:tcPr>
                <w:p w14:paraId="663E6BCA">
                  <w:pPr>
                    <w:numPr>
                      <w:ilvl w:val="0"/>
                      <w:numId w:val="0"/>
                    </w:num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型号</w:t>
                  </w:r>
                </w:p>
              </w:tc>
              <w:tc>
                <w:tcPr>
                  <w:tcW w:w="1534" w:type="dxa"/>
                  <w:tcBorders>
                    <w:tl2br w:val="nil"/>
                    <w:tr2bl w:val="nil"/>
                  </w:tcBorders>
                  <w:shd w:val="clear" w:color="auto" w:fill="auto"/>
                  <w:vAlign w:val="center"/>
                </w:tcPr>
                <w:p w14:paraId="5B5EEF21">
                  <w:pPr>
                    <w:numPr>
                      <w:ilvl w:val="0"/>
                      <w:numId w:val="0"/>
                    </w:numPr>
                    <w:spacing w:line="240" w:lineRule="auto"/>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sz w:val="21"/>
                      <w:szCs w:val="21"/>
                      <w:highlight w:val="none"/>
                      <w:vertAlign w:val="baseline"/>
                      <w:lang w:val="en-US" w:eastAsia="zh-CN"/>
                    </w:rPr>
                    <w:t>数量（台/套）</w:t>
                  </w:r>
                </w:p>
              </w:tc>
            </w:tr>
            <w:tr w14:paraId="7A6CAA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346F0689">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739CBD3E">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液相色谱质谱联用仪</w:t>
                  </w:r>
                </w:p>
              </w:tc>
              <w:tc>
                <w:tcPr>
                  <w:tcW w:w="1989" w:type="dxa"/>
                  <w:tcBorders>
                    <w:tl2br w:val="nil"/>
                    <w:tr2bl w:val="nil"/>
                  </w:tcBorders>
                  <w:shd w:val="clear" w:color="auto" w:fill="auto"/>
                  <w:vAlign w:val="center"/>
                </w:tcPr>
                <w:p w14:paraId="11166434">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GC-2010pIus/GCMS-QP2010U1tra</w:t>
                  </w:r>
                </w:p>
              </w:tc>
              <w:tc>
                <w:tcPr>
                  <w:tcW w:w="1534" w:type="dxa"/>
                  <w:tcBorders>
                    <w:tl2br w:val="nil"/>
                    <w:tr2bl w:val="nil"/>
                  </w:tcBorders>
                  <w:vAlign w:val="center"/>
                </w:tcPr>
                <w:p w14:paraId="7F4D76D3">
                  <w:pPr>
                    <w:numPr>
                      <w:ilvl w:val="0"/>
                      <w:numId w:val="0"/>
                    </w:num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1</w:t>
                  </w:r>
                </w:p>
              </w:tc>
            </w:tr>
            <w:tr w14:paraId="659C35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4" w:type="dxa"/>
                  <w:tcBorders>
                    <w:tl2br w:val="nil"/>
                    <w:tr2bl w:val="nil"/>
                  </w:tcBorders>
                  <w:vAlign w:val="center"/>
                </w:tcPr>
                <w:p w14:paraId="193D25B6">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170DFAF5">
                  <w:pPr>
                    <w:snapToGrid w:val="0"/>
                    <w:spacing w:line="240" w:lineRule="auto"/>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液相色谱质谱联用仪</w:t>
                  </w:r>
                </w:p>
              </w:tc>
              <w:tc>
                <w:tcPr>
                  <w:tcW w:w="1989" w:type="dxa"/>
                  <w:tcBorders>
                    <w:tl2br w:val="nil"/>
                    <w:tr2bl w:val="nil"/>
                  </w:tcBorders>
                  <w:shd w:val="clear" w:color="auto" w:fill="auto"/>
                  <w:vAlign w:val="center"/>
                </w:tcPr>
                <w:p w14:paraId="0DDA7AB4">
                  <w:pPr>
                    <w:snapToGrid w:val="0"/>
                    <w:spacing w:line="240" w:lineRule="auto"/>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GCMS-QP2010S</w:t>
                  </w:r>
                </w:p>
              </w:tc>
              <w:tc>
                <w:tcPr>
                  <w:tcW w:w="1534" w:type="dxa"/>
                  <w:tcBorders>
                    <w:tl2br w:val="nil"/>
                    <w:tr2bl w:val="nil"/>
                  </w:tcBorders>
                  <w:vAlign w:val="center"/>
                </w:tcPr>
                <w:p w14:paraId="02F1F4D6">
                  <w:pPr>
                    <w:numPr>
                      <w:ilvl w:val="0"/>
                      <w:numId w:val="0"/>
                    </w:numPr>
                    <w:spacing w:line="24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1</w:t>
                  </w:r>
                </w:p>
              </w:tc>
            </w:tr>
            <w:tr w14:paraId="22F3AA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4" w:type="dxa"/>
                  <w:tcBorders>
                    <w:tl2br w:val="nil"/>
                    <w:tr2bl w:val="nil"/>
                  </w:tcBorders>
                  <w:vAlign w:val="center"/>
                </w:tcPr>
                <w:p w14:paraId="2DDF3DA6">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1E8A7157">
                  <w:pPr>
                    <w:snapToGrid w:val="0"/>
                    <w:spacing w:line="240" w:lineRule="auto"/>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液相色谱质谱联用仪</w:t>
                  </w:r>
                </w:p>
              </w:tc>
              <w:tc>
                <w:tcPr>
                  <w:tcW w:w="1989" w:type="dxa"/>
                  <w:tcBorders>
                    <w:tl2br w:val="nil"/>
                    <w:tr2bl w:val="nil"/>
                  </w:tcBorders>
                  <w:shd w:val="clear" w:color="auto" w:fill="auto"/>
                  <w:vAlign w:val="center"/>
                </w:tcPr>
                <w:p w14:paraId="294C2A05">
                  <w:pPr>
                    <w:snapToGrid w:val="0"/>
                    <w:spacing w:line="240" w:lineRule="auto"/>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G3171A</w:t>
                  </w:r>
                </w:p>
              </w:tc>
              <w:tc>
                <w:tcPr>
                  <w:tcW w:w="1534" w:type="dxa"/>
                  <w:tcBorders>
                    <w:tl2br w:val="nil"/>
                    <w:tr2bl w:val="nil"/>
                  </w:tcBorders>
                  <w:vAlign w:val="center"/>
                </w:tcPr>
                <w:p w14:paraId="2A775646">
                  <w:pPr>
                    <w:numPr>
                      <w:ilvl w:val="0"/>
                      <w:numId w:val="0"/>
                    </w:numPr>
                    <w:spacing w:line="24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1</w:t>
                  </w:r>
                </w:p>
              </w:tc>
            </w:tr>
            <w:tr w14:paraId="68FEBD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731657AE">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1CD0617B">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气相色谱仪</w:t>
                  </w:r>
                </w:p>
              </w:tc>
              <w:tc>
                <w:tcPr>
                  <w:tcW w:w="1989" w:type="dxa"/>
                  <w:tcBorders>
                    <w:tl2br w:val="nil"/>
                    <w:tr2bl w:val="nil"/>
                  </w:tcBorders>
                  <w:shd w:val="clear" w:color="auto" w:fill="auto"/>
                  <w:vAlign w:val="center"/>
                </w:tcPr>
                <w:p w14:paraId="5D880FD4">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GC8600</w:t>
                  </w:r>
                </w:p>
              </w:tc>
              <w:tc>
                <w:tcPr>
                  <w:tcW w:w="1534" w:type="dxa"/>
                  <w:tcBorders>
                    <w:tl2br w:val="nil"/>
                    <w:tr2bl w:val="nil"/>
                  </w:tcBorders>
                  <w:shd w:val="clear" w:color="auto" w:fill="auto"/>
                  <w:vAlign w:val="center"/>
                </w:tcPr>
                <w:p w14:paraId="487337B4">
                  <w:pPr>
                    <w:spacing w:before="71" w:line="222"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
                      <w:sz w:val="21"/>
                      <w:szCs w:val="21"/>
                      <w:highlight w:val="none"/>
                      <w:lang w:val="en-US" w:eastAsia="zh-CN"/>
                    </w:rPr>
                    <w:t>7</w:t>
                  </w:r>
                </w:p>
              </w:tc>
            </w:tr>
            <w:tr w14:paraId="0DECAE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41ED5B04">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1B61A8D6">
                  <w:pPr>
                    <w:snapToGrid w:val="0"/>
                    <w:spacing w:line="240" w:lineRule="auto"/>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气相色谱仪</w:t>
                  </w:r>
                </w:p>
              </w:tc>
              <w:tc>
                <w:tcPr>
                  <w:tcW w:w="1989" w:type="dxa"/>
                  <w:tcBorders>
                    <w:tl2br w:val="nil"/>
                    <w:tr2bl w:val="nil"/>
                  </w:tcBorders>
                  <w:shd w:val="clear" w:color="auto" w:fill="auto"/>
                  <w:vAlign w:val="center"/>
                </w:tcPr>
                <w:p w14:paraId="5ED8A7BD">
                  <w:pPr>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SP3400</w:t>
                  </w:r>
                </w:p>
              </w:tc>
              <w:tc>
                <w:tcPr>
                  <w:tcW w:w="1534" w:type="dxa"/>
                  <w:tcBorders>
                    <w:tl2br w:val="nil"/>
                    <w:tr2bl w:val="nil"/>
                  </w:tcBorders>
                  <w:shd w:val="clear" w:color="auto" w:fill="auto"/>
                  <w:vAlign w:val="center"/>
                </w:tcPr>
                <w:p w14:paraId="0A725134">
                  <w:pPr>
                    <w:spacing w:before="71" w:line="222" w:lineRule="auto"/>
                    <w:jc w:val="center"/>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eastAsia="宋体" w:cs="Times New Roman"/>
                      <w:color w:val="auto"/>
                      <w:spacing w:val="-1"/>
                      <w:sz w:val="21"/>
                      <w:szCs w:val="21"/>
                      <w:highlight w:val="none"/>
                      <w:lang w:val="en-US" w:eastAsia="zh-CN"/>
                    </w:rPr>
                    <w:t>3</w:t>
                  </w:r>
                </w:p>
              </w:tc>
            </w:tr>
            <w:tr w14:paraId="4F5B87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43ED3FAC">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6FE30FFA">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气相色谱仪</w:t>
                  </w:r>
                </w:p>
              </w:tc>
              <w:tc>
                <w:tcPr>
                  <w:tcW w:w="1989" w:type="dxa"/>
                  <w:tcBorders>
                    <w:tl2br w:val="nil"/>
                    <w:tr2bl w:val="nil"/>
                  </w:tcBorders>
                  <w:shd w:val="clear" w:color="auto" w:fill="auto"/>
                  <w:vAlign w:val="center"/>
                </w:tcPr>
                <w:p w14:paraId="0E98A64E">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SP3420A</w:t>
                  </w:r>
                </w:p>
              </w:tc>
              <w:tc>
                <w:tcPr>
                  <w:tcW w:w="1534" w:type="dxa"/>
                  <w:tcBorders>
                    <w:tl2br w:val="nil"/>
                    <w:tr2bl w:val="nil"/>
                  </w:tcBorders>
                  <w:shd w:val="clear" w:color="auto" w:fill="auto"/>
                  <w:vAlign w:val="center"/>
                </w:tcPr>
                <w:p w14:paraId="7471ACB9">
                  <w:pPr>
                    <w:spacing w:before="71" w:line="222" w:lineRule="auto"/>
                    <w:jc w:val="center"/>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cs="Times New Roman"/>
                      <w:color w:val="auto"/>
                      <w:spacing w:val="-1"/>
                      <w:sz w:val="21"/>
                      <w:szCs w:val="21"/>
                      <w:highlight w:val="none"/>
                      <w:lang w:val="en-US" w:eastAsia="zh-CN"/>
                    </w:rPr>
                    <w:t>3</w:t>
                  </w:r>
                </w:p>
              </w:tc>
            </w:tr>
            <w:tr w14:paraId="01EA15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3AA8CC56">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4E1B4E37">
                  <w:pPr>
                    <w:snapToGrid w:val="0"/>
                    <w:spacing w:line="240" w:lineRule="auto"/>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气相色谱仪</w:t>
                  </w:r>
                </w:p>
              </w:tc>
              <w:tc>
                <w:tcPr>
                  <w:tcW w:w="1989" w:type="dxa"/>
                  <w:tcBorders>
                    <w:tl2br w:val="nil"/>
                    <w:tr2bl w:val="nil"/>
                  </w:tcBorders>
                  <w:shd w:val="clear" w:color="auto" w:fill="auto"/>
                  <w:vAlign w:val="center"/>
                </w:tcPr>
                <w:p w14:paraId="2E66F25C">
                  <w:pPr>
                    <w:snapToGrid w:val="0"/>
                    <w:spacing w:line="240" w:lineRule="auto"/>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6890N</w:t>
                  </w:r>
                </w:p>
              </w:tc>
              <w:tc>
                <w:tcPr>
                  <w:tcW w:w="1534" w:type="dxa"/>
                  <w:tcBorders>
                    <w:tl2br w:val="nil"/>
                    <w:tr2bl w:val="nil"/>
                  </w:tcBorders>
                  <w:shd w:val="clear" w:color="auto" w:fill="auto"/>
                  <w:vAlign w:val="center"/>
                </w:tcPr>
                <w:p w14:paraId="16E993ED">
                  <w:pPr>
                    <w:spacing w:before="71" w:line="222" w:lineRule="auto"/>
                    <w:jc w:val="center"/>
                    <w:rPr>
                      <w:rFonts w:hint="default" w:ascii="Times New Roman" w:hAnsi="Times New Roman" w:cs="Times New Roman"/>
                      <w:color w:val="auto"/>
                      <w:spacing w:val="-1"/>
                      <w:sz w:val="21"/>
                      <w:szCs w:val="21"/>
                      <w:highlight w:val="none"/>
                      <w:lang w:val="en-US" w:eastAsia="zh-CN"/>
                    </w:rPr>
                  </w:pPr>
                  <w:r>
                    <w:rPr>
                      <w:rFonts w:hint="default" w:ascii="Times New Roman" w:hAnsi="Times New Roman" w:cs="Times New Roman"/>
                      <w:color w:val="auto"/>
                      <w:spacing w:val="-1"/>
                      <w:sz w:val="21"/>
                      <w:szCs w:val="21"/>
                      <w:highlight w:val="none"/>
                      <w:lang w:val="en-US" w:eastAsia="zh-CN"/>
                    </w:rPr>
                    <w:t>1</w:t>
                  </w:r>
                </w:p>
              </w:tc>
            </w:tr>
            <w:tr w14:paraId="5ACFC2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56679989">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43E181A8">
                  <w:pPr>
                    <w:snapToGrid w:val="0"/>
                    <w:spacing w:line="240" w:lineRule="auto"/>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气相色谱仪</w:t>
                  </w:r>
                </w:p>
              </w:tc>
              <w:tc>
                <w:tcPr>
                  <w:tcW w:w="1989" w:type="dxa"/>
                  <w:tcBorders>
                    <w:tl2br w:val="nil"/>
                    <w:tr2bl w:val="nil"/>
                  </w:tcBorders>
                  <w:shd w:val="clear" w:color="auto" w:fill="auto"/>
                  <w:vAlign w:val="center"/>
                </w:tcPr>
                <w:p w14:paraId="0F7E270F">
                  <w:pPr>
                    <w:snapToGrid w:val="0"/>
                    <w:spacing w:line="240" w:lineRule="auto"/>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Trace1300</w:t>
                  </w:r>
                </w:p>
              </w:tc>
              <w:tc>
                <w:tcPr>
                  <w:tcW w:w="1534" w:type="dxa"/>
                  <w:tcBorders>
                    <w:tl2br w:val="nil"/>
                    <w:tr2bl w:val="nil"/>
                  </w:tcBorders>
                  <w:shd w:val="clear" w:color="auto" w:fill="auto"/>
                  <w:vAlign w:val="center"/>
                </w:tcPr>
                <w:p w14:paraId="19FBBAC2">
                  <w:pPr>
                    <w:spacing w:before="71" w:line="222" w:lineRule="auto"/>
                    <w:jc w:val="center"/>
                    <w:rPr>
                      <w:rFonts w:hint="default" w:ascii="Times New Roman" w:hAnsi="Times New Roman" w:cs="Times New Roman"/>
                      <w:color w:val="auto"/>
                      <w:spacing w:val="-1"/>
                      <w:sz w:val="21"/>
                      <w:szCs w:val="21"/>
                      <w:highlight w:val="none"/>
                      <w:lang w:val="en-US" w:eastAsia="zh-CN"/>
                    </w:rPr>
                  </w:pPr>
                  <w:r>
                    <w:rPr>
                      <w:rFonts w:hint="default" w:ascii="Times New Roman" w:hAnsi="Times New Roman" w:cs="Times New Roman"/>
                      <w:color w:val="auto"/>
                      <w:spacing w:val="-1"/>
                      <w:sz w:val="21"/>
                      <w:szCs w:val="21"/>
                      <w:highlight w:val="none"/>
                      <w:lang w:val="en-US" w:eastAsia="zh-CN"/>
                    </w:rPr>
                    <w:t>2</w:t>
                  </w:r>
                </w:p>
              </w:tc>
            </w:tr>
            <w:tr w14:paraId="17DE3B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4" w:type="dxa"/>
                  <w:tcBorders>
                    <w:tl2br w:val="nil"/>
                    <w:tr2bl w:val="nil"/>
                  </w:tcBorders>
                  <w:vAlign w:val="center"/>
                </w:tcPr>
                <w:p w14:paraId="140A7BC0">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60710F1D">
                  <w:pPr>
                    <w:snapToGrid w:val="0"/>
                    <w:spacing w:line="240" w:lineRule="auto"/>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电感耦合等离子体发射光谱仪</w:t>
                  </w:r>
                </w:p>
              </w:tc>
              <w:tc>
                <w:tcPr>
                  <w:tcW w:w="1989" w:type="dxa"/>
                  <w:tcBorders>
                    <w:tl2br w:val="nil"/>
                    <w:tr2bl w:val="nil"/>
                  </w:tcBorders>
                  <w:shd w:val="clear" w:color="auto" w:fill="auto"/>
                  <w:vAlign w:val="center"/>
                </w:tcPr>
                <w:p w14:paraId="15691F0C">
                  <w:pPr>
                    <w:snapToGrid w:val="0"/>
                    <w:spacing w:line="240" w:lineRule="auto"/>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ICP-5000</w:t>
                  </w:r>
                </w:p>
              </w:tc>
              <w:tc>
                <w:tcPr>
                  <w:tcW w:w="1534" w:type="dxa"/>
                  <w:tcBorders>
                    <w:tl2br w:val="nil"/>
                    <w:tr2bl w:val="nil"/>
                  </w:tcBorders>
                  <w:shd w:val="clear" w:color="auto" w:fill="auto"/>
                  <w:vAlign w:val="center"/>
                </w:tcPr>
                <w:p w14:paraId="5C7F55D8">
                  <w:pPr>
                    <w:spacing w:before="71" w:line="222" w:lineRule="auto"/>
                    <w:jc w:val="center"/>
                    <w:rPr>
                      <w:rFonts w:hint="default" w:ascii="Times New Roman" w:hAnsi="Times New Roman" w:cs="Times New Roman"/>
                      <w:color w:val="auto"/>
                      <w:spacing w:val="-1"/>
                      <w:sz w:val="21"/>
                      <w:szCs w:val="21"/>
                      <w:highlight w:val="none"/>
                      <w:lang w:val="en-US" w:eastAsia="zh-CN"/>
                    </w:rPr>
                  </w:pPr>
                  <w:r>
                    <w:rPr>
                      <w:rFonts w:hint="default" w:ascii="Times New Roman" w:hAnsi="Times New Roman" w:cs="Times New Roman"/>
                      <w:color w:val="auto"/>
                      <w:spacing w:val="-1"/>
                      <w:sz w:val="21"/>
                      <w:szCs w:val="21"/>
                      <w:highlight w:val="none"/>
                      <w:lang w:val="en-US" w:eastAsia="zh-CN"/>
                    </w:rPr>
                    <w:t>1</w:t>
                  </w:r>
                </w:p>
              </w:tc>
            </w:tr>
            <w:tr w14:paraId="291ED6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6603C7DC">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68CC6564">
                  <w:pPr>
                    <w:snapToGrid w:val="0"/>
                    <w:spacing w:line="240" w:lineRule="auto"/>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自动烟尘烟气测试仪</w:t>
                  </w:r>
                </w:p>
              </w:tc>
              <w:tc>
                <w:tcPr>
                  <w:tcW w:w="1989" w:type="dxa"/>
                  <w:tcBorders>
                    <w:tl2br w:val="nil"/>
                    <w:tr2bl w:val="nil"/>
                  </w:tcBorders>
                  <w:shd w:val="clear" w:color="auto" w:fill="auto"/>
                  <w:vAlign w:val="center"/>
                </w:tcPr>
                <w:p w14:paraId="5A303667">
                  <w:pPr>
                    <w:snapToGrid w:val="0"/>
                    <w:spacing w:line="240" w:lineRule="auto"/>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 xml:space="preserve">GH-60E型 </w:t>
                  </w:r>
                </w:p>
              </w:tc>
              <w:tc>
                <w:tcPr>
                  <w:tcW w:w="1534" w:type="dxa"/>
                  <w:tcBorders>
                    <w:tl2br w:val="nil"/>
                    <w:tr2bl w:val="nil"/>
                  </w:tcBorders>
                  <w:shd w:val="clear" w:color="auto" w:fill="auto"/>
                  <w:vAlign w:val="center"/>
                </w:tcPr>
                <w:p w14:paraId="58DC0E68">
                  <w:pPr>
                    <w:spacing w:before="71" w:line="222" w:lineRule="auto"/>
                    <w:jc w:val="center"/>
                    <w:rPr>
                      <w:rFonts w:hint="default" w:ascii="Times New Roman" w:hAnsi="Times New Roman" w:cs="Times New Roman"/>
                      <w:color w:val="auto"/>
                      <w:spacing w:val="-1"/>
                      <w:sz w:val="21"/>
                      <w:szCs w:val="21"/>
                      <w:highlight w:val="none"/>
                      <w:lang w:val="en-US" w:eastAsia="zh-CN"/>
                    </w:rPr>
                  </w:pPr>
                  <w:r>
                    <w:rPr>
                      <w:rFonts w:hint="default" w:ascii="Times New Roman" w:hAnsi="Times New Roman" w:cs="Times New Roman"/>
                      <w:color w:val="auto"/>
                      <w:spacing w:val="-1"/>
                      <w:sz w:val="21"/>
                      <w:szCs w:val="21"/>
                      <w:highlight w:val="none"/>
                      <w:lang w:val="en-US" w:eastAsia="zh-CN"/>
                    </w:rPr>
                    <w:t>3</w:t>
                  </w:r>
                </w:p>
              </w:tc>
            </w:tr>
            <w:tr w14:paraId="05AD9C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40FF76C4">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7360C238">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低本底多道γ能谱仪</w:t>
                  </w:r>
                </w:p>
              </w:tc>
              <w:tc>
                <w:tcPr>
                  <w:tcW w:w="1989" w:type="dxa"/>
                  <w:tcBorders>
                    <w:tl2br w:val="nil"/>
                    <w:tr2bl w:val="nil"/>
                  </w:tcBorders>
                  <w:shd w:val="clear" w:color="auto" w:fill="auto"/>
                  <w:vAlign w:val="center"/>
                </w:tcPr>
                <w:p w14:paraId="5B06C72F">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ZDD3902</w:t>
                  </w:r>
                </w:p>
              </w:tc>
              <w:tc>
                <w:tcPr>
                  <w:tcW w:w="1534" w:type="dxa"/>
                  <w:tcBorders>
                    <w:tl2br w:val="nil"/>
                    <w:tr2bl w:val="nil"/>
                  </w:tcBorders>
                  <w:shd w:val="clear" w:color="auto" w:fill="auto"/>
                  <w:vAlign w:val="center"/>
                </w:tcPr>
                <w:p w14:paraId="0CE5ED9C">
                  <w:pPr>
                    <w:spacing w:before="71" w:line="222" w:lineRule="auto"/>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Times New Roman" w:cs="Times New Roman"/>
                      <w:color w:val="auto"/>
                      <w:kern w:val="2"/>
                      <w:sz w:val="21"/>
                      <w:szCs w:val="21"/>
                      <w:highlight w:val="none"/>
                      <w:lang w:val="en-US" w:eastAsia="zh-CN" w:bidi="ar-SA"/>
                    </w:rPr>
                    <w:t>1</w:t>
                  </w:r>
                </w:p>
              </w:tc>
            </w:tr>
            <w:tr w14:paraId="2075AF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0B8F7468">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2DD2E3F1">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便携式红外线气体分析器(CO2)</w:t>
                  </w:r>
                </w:p>
              </w:tc>
              <w:tc>
                <w:tcPr>
                  <w:tcW w:w="1989" w:type="dxa"/>
                  <w:tcBorders>
                    <w:tl2br w:val="nil"/>
                    <w:tr2bl w:val="nil"/>
                  </w:tcBorders>
                  <w:shd w:val="clear" w:color="auto" w:fill="auto"/>
                  <w:vAlign w:val="center"/>
                </w:tcPr>
                <w:p w14:paraId="01EE54AD">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GXH-3010E</w:t>
                  </w:r>
                </w:p>
              </w:tc>
              <w:tc>
                <w:tcPr>
                  <w:tcW w:w="1534" w:type="dxa"/>
                  <w:tcBorders>
                    <w:tl2br w:val="nil"/>
                    <w:tr2bl w:val="nil"/>
                  </w:tcBorders>
                  <w:shd w:val="clear" w:color="auto" w:fill="auto"/>
                  <w:vAlign w:val="center"/>
                </w:tcPr>
                <w:p w14:paraId="171ED36E">
                  <w:pPr>
                    <w:spacing w:before="71" w:line="222" w:lineRule="auto"/>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Times New Roman" w:cs="Times New Roman"/>
                      <w:color w:val="auto"/>
                      <w:kern w:val="2"/>
                      <w:sz w:val="21"/>
                      <w:szCs w:val="21"/>
                      <w:highlight w:val="none"/>
                      <w:lang w:val="en-US" w:eastAsia="zh-CN" w:bidi="ar-SA"/>
                    </w:rPr>
                    <w:t>1</w:t>
                  </w:r>
                </w:p>
              </w:tc>
            </w:tr>
            <w:tr w14:paraId="69342B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6E7DF90F">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35365B9A">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便携式红外线气体分析器（CO)</w:t>
                  </w:r>
                </w:p>
              </w:tc>
              <w:tc>
                <w:tcPr>
                  <w:tcW w:w="1989" w:type="dxa"/>
                  <w:tcBorders>
                    <w:tl2br w:val="nil"/>
                    <w:tr2bl w:val="nil"/>
                  </w:tcBorders>
                  <w:shd w:val="clear" w:color="auto" w:fill="auto"/>
                  <w:vAlign w:val="center"/>
                </w:tcPr>
                <w:p w14:paraId="5944BD2F">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GXH-3011A</w:t>
                  </w:r>
                </w:p>
              </w:tc>
              <w:tc>
                <w:tcPr>
                  <w:tcW w:w="1534" w:type="dxa"/>
                  <w:tcBorders>
                    <w:tl2br w:val="nil"/>
                    <w:tr2bl w:val="nil"/>
                  </w:tcBorders>
                  <w:shd w:val="clear" w:color="auto" w:fill="auto"/>
                  <w:vAlign w:val="center"/>
                </w:tcPr>
                <w:p w14:paraId="2B4675E8">
                  <w:pPr>
                    <w:spacing w:before="71" w:line="222" w:lineRule="auto"/>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Times New Roman" w:cs="Times New Roman"/>
                      <w:color w:val="auto"/>
                      <w:kern w:val="2"/>
                      <w:sz w:val="21"/>
                      <w:szCs w:val="21"/>
                      <w:highlight w:val="none"/>
                      <w:lang w:val="en-US" w:eastAsia="zh-CN" w:bidi="ar-SA"/>
                    </w:rPr>
                    <w:t>1</w:t>
                  </w:r>
                </w:p>
              </w:tc>
            </w:tr>
            <w:tr w14:paraId="520CED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24CD93C6">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2B1BED62">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电感耦合等离子体质谱仪</w:t>
                  </w:r>
                </w:p>
              </w:tc>
              <w:tc>
                <w:tcPr>
                  <w:tcW w:w="1989" w:type="dxa"/>
                  <w:tcBorders>
                    <w:tl2br w:val="nil"/>
                    <w:tr2bl w:val="nil"/>
                  </w:tcBorders>
                  <w:shd w:val="clear" w:color="auto" w:fill="auto"/>
                  <w:vAlign w:val="center"/>
                </w:tcPr>
                <w:p w14:paraId="66B9DAFA">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SUPEC 7000</w:t>
                  </w:r>
                </w:p>
              </w:tc>
              <w:tc>
                <w:tcPr>
                  <w:tcW w:w="1534" w:type="dxa"/>
                  <w:tcBorders>
                    <w:tl2br w:val="nil"/>
                    <w:tr2bl w:val="nil"/>
                  </w:tcBorders>
                  <w:shd w:val="clear" w:color="auto" w:fill="auto"/>
                  <w:vAlign w:val="center"/>
                </w:tcPr>
                <w:p w14:paraId="1C2DF8C3">
                  <w:pPr>
                    <w:spacing w:before="71" w:line="222"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r>
            <w:tr w14:paraId="0BC3DF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6A32189B">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187FC49F">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高效液相色谱仪</w:t>
                  </w:r>
                </w:p>
              </w:tc>
              <w:tc>
                <w:tcPr>
                  <w:tcW w:w="1989" w:type="dxa"/>
                  <w:tcBorders>
                    <w:tl2br w:val="nil"/>
                    <w:tr2bl w:val="nil"/>
                  </w:tcBorders>
                  <w:shd w:val="clear" w:color="auto" w:fill="auto"/>
                  <w:vAlign w:val="center"/>
                </w:tcPr>
                <w:p w14:paraId="74A1070C">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2695-2489-2475</w:t>
                  </w:r>
                </w:p>
              </w:tc>
              <w:tc>
                <w:tcPr>
                  <w:tcW w:w="1534" w:type="dxa"/>
                  <w:tcBorders>
                    <w:tl2br w:val="nil"/>
                    <w:tr2bl w:val="nil"/>
                  </w:tcBorders>
                  <w:shd w:val="clear" w:color="auto" w:fill="auto"/>
                  <w:vAlign w:val="center"/>
                </w:tcPr>
                <w:p w14:paraId="3E243B5C">
                  <w:pPr>
                    <w:spacing w:before="71" w:line="222" w:lineRule="auto"/>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Times New Roman" w:cs="Times New Roman"/>
                      <w:color w:val="auto"/>
                      <w:kern w:val="2"/>
                      <w:sz w:val="21"/>
                      <w:szCs w:val="21"/>
                      <w:highlight w:val="none"/>
                      <w:lang w:val="en-US" w:eastAsia="zh-CN" w:bidi="ar-SA"/>
                    </w:rPr>
                    <w:t>1</w:t>
                  </w:r>
                </w:p>
              </w:tc>
            </w:tr>
            <w:tr w14:paraId="0AC6B7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28F6F5BB">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7D63730A">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便携式pH计</w:t>
                  </w:r>
                </w:p>
              </w:tc>
              <w:tc>
                <w:tcPr>
                  <w:tcW w:w="1989" w:type="dxa"/>
                  <w:tcBorders>
                    <w:tl2br w:val="nil"/>
                    <w:tr2bl w:val="nil"/>
                  </w:tcBorders>
                  <w:shd w:val="clear" w:color="auto" w:fill="auto"/>
                  <w:vAlign w:val="center"/>
                </w:tcPr>
                <w:p w14:paraId="33361C0E">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PHBJ-260F</w:t>
                  </w:r>
                </w:p>
              </w:tc>
              <w:tc>
                <w:tcPr>
                  <w:tcW w:w="1534" w:type="dxa"/>
                  <w:tcBorders>
                    <w:tl2br w:val="nil"/>
                    <w:tr2bl w:val="nil"/>
                  </w:tcBorders>
                  <w:shd w:val="clear" w:color="auto" w:fill="auto"/>
                  <w:vAlign w:val="center"/>
                </w:tcPr>
                <w:p w14:paraId="4EBADF84">
                  <w:pPr>
                    <w:spacing w:before="71" w:line="222" w:lineRule="auto"/>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Times New Roman" w:cs="Times New Roman"/>
                      <w:color w:val="auto"/>
                      <w:kern w:val="2"/>
                      <w:sz w:val="21"/>
                      <w:szCs w:val="21"/>
                      <w:highlight w:val="none"/>
                      <w:lang w:val="en-US" w:eastAsia="zh-CN" w:bidi="ar-SA"/>
                    </w:rPr>
                    <w:t>1</w:t>
                  </w:r>
                </w:p>
              </w:tc>
            </w:tr>
            <w:tr w14:paraId="3AEBF2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172F29BA">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289C0442">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实验室pH计</w:t>
                  </w:r>
                </w:p>
              </w:tc>
              <w:tc>
                <w:tcPr>
                  <w:tcW w:w="1989" w:type="dxa"/>
                  <w:tcBorders>
                    <w:tl2br w:val="nil"/>
                    <w:tr2bl w:val="nil"/>
                  </w:tcBorders>
                  <w:shd w:val="clear" w:color="auto" w:fill="auto"/>
                  <w:vAlign w:val="center"/>
                </w:tcPr>
                <w:p w14:paraId="222C3B8E">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PHSJ-4F型</w:t>
                  </w:r>
                </w:p>
              </w:tc>
              <w:tc>
                <w:tcPr>
                  <w:tcW w:w="1534" w:type="dxa"/>
                  <w:tcBorders>
                    <w:tl2br w:val="nil"/>
                    <w:tr2bl w:val="nil"/>
                  </w:tcBorders>
                  <w:shd w:val="clear" w:color="auto" w:fill="auto"/>
                  <w:vAlign w:val="center"/>
                </w:tcPr>
                <w:p w14:paraId="2A898E90">
                  <w:pPr>
                    <w:spacing w:before="71" w:line="222" w:lineRule="auto"/>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Times New Roman" w:cs="Times New Roman"/>
                      <w:color w:val="auto"/>
                      <w:kern w:val="2"/>
                      <w:sz w:val="21"/>
                      <w:szCs w:val="21"/>
                      <w:highlight w:val="none"/>
                      <w:lang w:val="en-US" w:eastAsia="zh-CN" w:bidi="ar-SA"/>
                    </w:rPr>
                    <w:t>2</w:t>
                  </w:r>
                </w:p>
              </w:tc>
            </w:tr>
            <w:tr w14:paraId="5BAC03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49D38065">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67306820">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便携式pH计</w:t>
                  </w:r>
                </w:p>
              </w:tc>
              <w:tc>
                <w:tcPr>
                  <w:tcW w:w="1989" w:type="dxa"/>
                  <w:tcBorders>
                    <w:tl2br w:val="nil"/>
                    <w:tr2bl w:val="nil"/>
                  </w:tcBorders>
                  <w:shd w:val="clear" w:color="auto" w:fill="auto"/>
                  <w:vAlign w:val="center"/>
                </w:tcPr>
                <w:p w14:paraId="40AD5887">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PHBJ-260F</w:t>
                  </w:r>
                </w:p>
              </w:tc>
              <w:tc>
                <w:tcPr>
                  <w:tcW w:w="1534" w:type="dxa"/>
                  <w:tcBorders>
                    <w:tl2br w:val="nil"/>
                    <w:tr2bl w:val="nil"/>
                  </w:tcBorders>
                  <w:shd w:val="clear" w:color="auto" w:fill="auto"/>
                  <w:vAlign w:val="center"/>
                </w:tcPr>
                <w:p w14:paraId="59FFA33D">
                  <w:pPr>
                    <w:spacing w:before="71" w:line="222" w:lineRule="auto"/>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Times New Roman" w:cs="Times New Roman"/>
                      <w:color w:val="auto"/>
                      <w:kern w:val="2"/>
                      <w:sz w:val="21"/>
                      <w:szCs w:val="21"/>
                      <w:highlight w:val="none"/>
                      <w:lang w:val="en-US" w:eastAsia="zh-CN" w:bidi="ar-SA"/>
                    </w:rPr>
                    <w:t>3</w:t>
                  </w:r>
                </w:p>
              </w:tc>
            </w:tr>
            <w:tr w14:paraId="57C622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41D15F6E">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071745B1">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电子天平</w:t>
                  </w:r>
                </w:p>
              </w:tc>
              <w:tc>
                <w:tcPr>
                  <w:tcW w:w="1989" w:type="dxa"/>
                  <w:tcBorders>
                    <w:tl2br w:val="nil"/>
                    <w:tr2bl w:val="nil"/>
                  </w:tcBorders>
                  <w:shd w:val="clear" w:color="auto" w:fill="auto"/>
                  <w:vAlign w:val="center"/>
                </w:tcPr>
                <w:p w14:paraId="4D85BEF2">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JA21002</w:t>
                  </w:r>
                </w:p>
              </w:tc>
              <w:tc>
                <w:tcPr>
                  <w:tcW w:w="1534" w:type="dxa"/>
                  <w:tcBorders>
                    <w:tl2br w:val="nil"/>
                    <w:tr2bl w:val="nil"/>
                  </w:tcBorders>
                  <w:shd w:val="clear" w:color="auto" w:fill="auto"/>
                  <w:vAlign w:val="center"/>
                </w:tcPr>
                <w:p w14:paraId="344D3B68">
                  <w:pPr>
                    <w:spacing w:before="71" w:line="222" w:lineRule="auto"/>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Times New Roman" w:cs="Times New Roman"/>
                      <w:color w:val="auto"/>
                      <w:kern w:val="2"/>
                      <w:sz w:val="21"/>
                      <w:szCs w:val="21"/>
                      <w:highlight w:val="none"/>
                      <w:lang w:val="en-US" w:eastAsia="zh-CN" w:bidi="ar-SA"/>
                    </w:rPr>
                    <w:t>1</w:t>
                  </w:r>
                </w:p>
              </w:tc>
            </w:tr>
            <w:tr w14:paraId="432474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72EDFFBE">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136BA0A8">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电子天平</w:t>
                  </w:r>
                </w:p>
              </w:tc>
              <w:tc>
                <w:tcPr>
                  <w:tcW w:w="1989" w:type="dxa"/>
                  <w:tcBorders>
                    <w:tl2br w:val="nil"/>
                    <w:tr2bl w:val="nil"/>
                  </w:tcBorders>
                  <w:shd w:val="clear" w:color="auto" w:fill="auto"/>
                  <w:vAlign w:val="center"/>
                </w:tcPr>
                <w:p w14:paraId="112355EA">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MP5002</w:t>
                  </w:r>
                </w:p>
              </w:tc>
              <w:tc>
                <w:tcPr>
                  <w:tcW w:w="1534" w:type="dxa"/>
                  <w:tcBorders>
                    <w:tl2br w:val="nil"/>
                    <w:tr2bl w:val="nil"/>
                  </w:tcBorders>
                  <w:shd w:val="clear" w:color="auto" w:fill="auto"/>
                  <w:vAlign w:val="center"/>
                </w:tcPr>
                <w:p w14:paraId="4CF7C986">
                  <w:pPr>
                    <w:spacing w:before="71" w:line="222" w:lineRule="auto"/>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Times New Roman" w:cs="Times New Roman"/>
                      <w:color w:val="auto"/>
                      <w:kern w:val="2"/>
                      <w:sz w:val="21"/>
                      <w:szCs w:val="21"/>
                      <w:highlight w:val="none"/>
                      <w:lang w:val="en-US" w:eastAsia="zh-CN" w:bidi="ar-SA"/>
                    </w:rPr>
                    <w:t>1</w:t>
                  </w:r>
                </w:p>
              </w:tc>
            </w:tr>
            <w:tr w14:paraId="325B7A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63E002DB">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00009E63">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电子天平</w:t>
                  </w:r>
                </w:p>
              </w:tc>
              <w:tc>
                <w:tcPr>
                  <w:tcW w:w="1989" w:type="dxa"/>
                  <w:tcBorders>
                    <w:tl2br w:val="nil"/>
                    <w:tr2bl w:val="nil"/>
                  </w:tcBorders>
                  <w:shd w:val="clear" w:color="auto" w:fill="auto"/>
                  <w:vAlign w:val="center"/>
                </w:tcPr>
                <w:p w14:paraId="45E71F76">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YH-M3002</w:t>
                  </w:r>
                </w:p>
              </w:tc>
              <w:tc>
                <w:tcPr>
                  <w:tcW w:w="1534" w:type="dxa"/>
                  <w:tcBorders>
                    <w:tl2br w:val="nil"/>
                    <w:tr2bl w:val="nil"/>
                  </w:tcBorders>
                  <w:shd w:val="clear" w:color="auto" w:fill="auto"/>
                  <w:vAlign w:val="center"/>
                </w:tcPr>
                <w:p w14:paraId="3FE22701">
                  <w:pPr>
                    <w:spacing w:before="71" w:line="222" w:lineRule="auto"/>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Times New Roman" w:cs="Times New Roman"/>
                      <w:color w:val="auto"/>
                      <w:kern w:val="2"/>
                      <w:sz w:val="21"/>
                      <w:szCs w:val="21"/>
                      <w:highlight w:val="none"/>
                      <w:lang w:val="en-US" w:eastAsia="zh-CN" w:bidi="ar-SA"/>
                    </w:rPr>
                    <w:t>1</w:t>
                  </w:r>
                </w:p>
              </w:tc>
            </w:tr>
            <w:tr w14:paraId="7C732A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2E6AA508">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09887C62">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原子吸收光谱仪</w:t>
                  </w:r>
                </w:p>
              </w:tc>
              <w:tc>
                <w:tcPr>
                  <w:tcW w:w="1989" w:type="dxa"/>
                  <w:tcBorders>
                    <w:tl2br w:val="nil"/>
                    <w:tr2bl w:val="nil"/>
                  </w:tcBorders>
                  <w:shd w:val="clear" w:color="auto" w:fill="auto"/>
                  <w:vAlign w:val="center"/>
                </w:tcPr>
                <w:p w14:paraId="54E05081">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TAS-990AFG</w:t>
                  </w:r>
                </w:p>
              </w:tc>
              <w:tc>
                <w:tcPr>
                  <w:tcW w:w="1534" w:type="dxa"/>
                  <w:tcBorders>
                    <w:tl2br w:val="nil"/>
                    <w:tr2bl w:val="nil"/>
                  </w:tcBorders>
                  <w:shd w:val="clear" w:color="auto" w:fill="auto"/>
                  <w:vAlign w:val="center"/>
                </w:tcPr>
                <w:p w14:paraId="113501D7">
                  <w:pPr>
                    <w:spacing w:before="71" w:line="222"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r>
            <w:tr w14:paraId="3227B5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38272435">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67E93DA2">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恒温恒湿培养箱</w:t>
                  </w:r>
                </w:p>
              </w:tc>
              <w:tc>
                <w:tcPr>
                  <w:tcW w:w="1989" w:type="dxa"/>
                  <w:tcBorders>
                    <w:tl2br w:val="nil"/>
                    <w:tr2bl w:val="nil"/>
                  </w:tcBorders>
                  <w:shd w:val="clear" w:color="auto" w:fill="auto"/>
                  <w:vAlign w:val="center"/>
                </w:tcPr>
                <w:p w14:paraId="2435D60B">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LRH-250-SE</w:t>
                  </w:r>
                </w:p>
              </w:tc>
              <w:tc>
                <w:tcPr>
                  <w:tcW w:w="1534" w:type="dxa"/>
                  <w:tcBorders>
                    <w:tl2br w:val="nil"/>
                    <w:tr2bl w:val="nil"/>
                  </w:tcBorders>
                  <w:shd w:val="clear" w:color="auto" w:fill="auto"/>
                  <w:vAlign w:val="center"/>
                </w:tcPr>
                <w:p w14:paraId="1EA31B3A">
                  <w:pPr>
                    <w:spacing w:before="71" w:line="222"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r>
            <w:tr w14:paraId="5C8F9F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31424AEA">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5D95F762">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CIC系列离子色谱仪</w:t>
                  </w:r>
                </w:p>
              </w:tc>
              <w:tc>
                <w:tcPr>
                  <w:tcW w:w="1989" w:type="dxa"/>
                  <w:tcBorders>
                    <w:tl2br w:val="nil"/>
                    <w:tr2bl w:val="nil"/>
                  </w:tcBorders>
                  <w:shd w:val="clear" w:color="auto" w:fill="auto"/>
                  <w:vAlign w:val="center"/>
                </w:tcPr>
                <w:p w14:paraId="233C1DE0">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CIC-100</w:t>
                  </w:r>
                </w:p>
              </w:tc>
              <w:tc>
                <w:tcPr>
                  <w:tcW w:w="1534" w:type="dxa"/>
                  <w:tcBorders>
                    <w:tl2br w:val="nil"/>
                    <w:tr2bl w:val="nil"/>
                  </w:tcBorders>
                  <w:shd w:val="clear" w:color="auto" w:fill="auto"/>
                  <w:vAlign w:val="center"/>
                </w:tcPr>
                <w:p w14:paraId="0174EEEA">
                  <w:pPr>
                    <w:spacing w:before="73" w:line="222"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r>
            <w:tr w14:paraId="12D58F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1EBC3B14">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1D9E4511">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总有机碳（TOC）分析仪</w:t>
                  </w:r>
                </w:p>
              </w:tc>
              <w:tc>
                <w:tcPr>
                  <w:tcW w:w="1989" w:type="dxa"/>
                  <w:tcBorders>
                    <w:tl2br w:val="nil"/>
                    <w:tr2bl w:val="nil"/>
                  </w:tcBorders>
                  <w:shd w:val="clear" w:color="auto" w:fill="auto"/>
                  <w:vAlign w:val="center"/>
                </w:tcPr>
                <w:p w14:paraId="2F703AE0">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HTY-CT1000B</w:t>
                  </w:r>
                </w:p>
              </w:tc>
              <w:tc>
                <w:tcPr>
                  <w:tcW w:w="1534" w:type="dxa"/>
                  <w:tcBorders>
                    <w:tl2br w:val="nil"/>
                    <w:tr2bl w:val="nil"/>
                  </w:tcBorders>
                  <w:shd w:val="clear" w:color="auto" w:fill="auto"/>
                  <w:vAlign w:val="center"/>
                </w:tcPr>
                <w:p w14:paraId="2AA18B7C">
                  <w:pPr>
                    <w:spacing w:before="72" w:line="222"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r>
            <w:tr w14:paraId="1063B7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62D50AE2">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05AD29B4">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便携式浊度计</w:t>
                  </w:r>
                </w:p>
              </w:tc>
              <w:tc>
                <w:tcPr>
                  <w:tcW w:w="1989" w:type="dxa"/>
                  <w:tcBorders>
                    <w:tl2br w:val="nil"/>
                    <w:tr2bl w:val="nil"/>
                  </w:tcBorders>
                  <w:shd w:val="clear" w:color="auto" w:fill="auto"/>
                  <w:vAlign w:val="center"/>
                </w:tcPr>
                <w:p w14:paraId="00E7EFC2">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WZB-171</w:t>
                  </w:r>
                </w:p>
              </w:tc>
              <w:tc>
                <w:tcPr>
                  <w:tcW w:w="1534" w:type="dxa"/>
                  <w:tcBorders>
                    <w:tl2br w:val="nil"/>
                    <w:tr2bl w:val="nil"/>
                  </w:tcBorders>
                  <w:shd w:val="clear" w:color="auto" w:fill="auto"/>
                  <w:vAlign w:val="center"/>
                </w:tcPr>
                <w:p w14:paraId="68749A26">
                  <w:pPr>
                    <w:spacing w:before="74" w:line="222"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r>
            <w:tr w14:paraId="2E0A31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682F3125">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6AA45B97">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便携式电导率仪</w:t>
                  </w:r>
                </w:p>
              </w:tc>
              <w:tc>
                <w:tcPr>
                  <w:tcW w:w="1989" w:type="dxa"/>
                  <w:tcBorders>
                    <w:tl2br w:val="nil"/>
                    <w:tr2bl w:val="nil"/>
                  </w:tcBorders>
                  <w:shd w:val="clear" w:color="auto" w:fill="auto"/>
                  <w:vAlign w:val="center"/>
                </w:tcPr>
                <w:p w14:paraId="41CE0E25">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DDBJ-350</w:t>
                  </w:r>
                </w:p>
              </w:tc>
              <w:tc>
                <w:tcPr>
                  <w:tcW w:w="1534" w:type="dxa"/>
                  <w:tcBorders>
                    <w:tl2br w:val="nil"/>
                    <w:tr2bl w:val="nil"/>
                  </w:tcBorders>
                  <w:shd w:val="clear" w:color="auto" w:fill="auto"/>
                  <w:vAlign w:val="center"/>
                </w:tcPr>
                <w:p w14:paraId="4E3DC857">
                  <w:pPr>
                    <w:spacing w:before="73" w:line="222"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r>
            <w:tr w14:paraId="144D06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741AFF70">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66828B2F">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自动烟尘、烟气监测仪</w:t>
                  </w:r>
                </w:p>
              </w:tc>
              <w:tc>
                <w:tcPr>
                  <w:tcW w:w="1989" w:type="dxa"/>
                  <w:tcBorders>
                    <w:tl2br w:val="nil"/>
                    <w:tr2bl w:val="nil"/>
                  </w:tcBorders>
                  <w:shd w:val="clear" w:color="auto" w:fill="auto"/>
                  <w:vAlign w:val="center"/>
                </w:tcPr>
                <w:p w14:paraId="024E5EF1">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GH-60E</w:t>
                  </w:r>
                </w:p>
              </w:tc>
              <w:tc>
                <w:tcPr>
                  <w:tcW w:w="1534" w:type="dxa"/>
                  <w:tcBorders>
                    <w:tl2br w:val="nil"/>
                    <w:tr2bl w:val="nil"/>
                  </w:tcBorders>
                  <w:shd w:val="clear" w:color="auto" w:fill="auto"/>
                  <w:vAlign w:val="center"/>
                </w:tcPr>
                <w:p w14:paraId="471AFA6A">
                  <w:pPr>
                    <w:spacing w:before="73" w:line="222"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5</w:t>
                  </w:r>
                </w:p>
              </w:tc>
            </w:tr>
            <w:tr w14:paraId="0B890E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39765841">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59A9C72E">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智能烟气流速湿度测试仪</w:t>
                  </w:r>
                </w:p>
              </w:tc>
              <w:tc>
                <w:tcPr>
                  <w:tcW w:w="1989" w:type="dxa"/>
                  <w:tcBorders>
                    <w:tl2br w:val="nil"/>
                    <w:tr2bl w:val="nil"/>
                  </w:tcBorders>
                  <w:shd w:val="clear" w:color="auto" w:fill="auto"/>
                  <w:vAlign w:val="center"/>
                </w:tcPr>
                <w:p w14:paraId="00C6535D">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GH-6062E</w:t>
                  </w:r>
                </w:p>
              </w:tc>
              <w:tc>
                <w:tcPr>
                  <w:tcW w:w="1534" w:type="dxa"/>
                  <w:tcBorders>
                    <w:tl2br w:val="nil"/>
                    <w:tr2bl w:val="nil"/>
                  </w:tcBorders>
                  <w:shd w:val="clear" w:color="auto" w:fill="auto"/>
                  <w:vAlign w:val="center"/>
                </w:tcPr>
                <w:p w14:paraId="21819209">
                  <w:pPr>
                    <w:spacing w:before="75" w:line="222"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4</w:t>
                  </w:r>
                </w:p>
              </w:tc>
            </w:tr>
            <w:tr w14:paraId="3E9681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3B6AC2D0">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1F86636F">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自动烟尘烟气测试仪</w:t>
                  </w:r>
                </w:p>
              </w:tc>
              <w:tc>
                <w:tcPr>
                  <w:tcW w:w="1989" w:type="dxa"/>
                  <w:tcBorders>
                    <w:tl2br w:val="nil"/>
                    <w:tr2bl w:val="nil"/>
                  </w:tcBorders>
                  <w:shd w:val="clear" w:color="auto" w:fill="auto"/>
                  <w:vAlign w:val="center"/>
                </w:tcPr>
                <w:p w14:paraId="5EBE16CC">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3012H</w:t>
                  </w:r>
                </w:p>
              </w:tc>
              <w:tc>
                <w:tcPr>
                  <w:tcW w:w="1534" w:type="dxa"/>
                  <w:tcBorders>
                    <w:tl2br w:val="nil"/>
                    <w:tr2bl w:val="nil"/>
                  </w:tcBorders>
                  <w:shd w:val="clear" w:color="auto" w:fill="auto"/>
                  <w:vAlign w:val="center"/>
                </w:tcPr>
                <w:p w14:paraId="3FBD8974">
                  <w:pPr>
                    <w:spacing w:before="75" w:line="222"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4</w:t>
                  </w:r>
                </w:p>
              </w:tc>
            </w:tr>
            <w:tr w14:paraId="1BB740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3136B206">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01912D18">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便携式溶解氧测定仪</w:t>
                  </w:r>
                </w:p>
              </w:tc>
              <w:tc>
                <w:tcPr>
                  <w:tcW w:w="1989" w:type="dxa"/>
                  <w:tcBorders>
                    <w:tl2br w:val="nil"/>
                    <w:tr2bl w:val="nil"/>
                  </w:tcBorders>
                  <w:shd w:val="clear" w:color="auto" w:fill="auto"/>
                  <w:vAlign w:val="center"/>
                </w:tcPr>
                <w:p w14:paraId="488692DB">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JPBJ-608</w:t>
                  </w:r>
                </w:p>
              </w:tc>
              <w:tc>
                <w:tcPr>
                  <w:tcW w:w="1534" w:type="dxa"/>
                  <w:tcBorders>
                    <w:tl2br w:val="nil"/>
                    <w:tr2bl w:val="nil"/>
                  </w:tcBorders>
                  <w:shd w:val="clear" w:color="auto" w:fill="auto"/>
                  <w:vAlign w:val="center"/>
                </w:tcPr>
                <w:p w14:paraId="441C0AA2">
                  <w:pPr>
                    <w:spacing w:before="74" w:line="222"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w:t>
                  </w:r>
                </w:p>
              </w:tc>
            </w:tr>
            <w:tr w14:paraId="3F87C9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5DF0D8E0">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4763FF6E">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数字式温湿度计</w:t>
                  </w:r>
                </w:p>
              </w:tc>
              <w:tc>
                <w:tcPr>
                  <w:tcW w:w="1989" w:type="dxa"/>
                  <w:tcBorders>
                    <w:tl2br w:val="nil"/>
                    <w:tr2bl w:val="nil"/>
                  </w:tcBorders>
                  <w:shd w:val="clear" w:color="auto" w:fill="auto"/>
                  <w:vAlign w:val="center"/>
                </w:tcPr>
                <w:p w14:paraId="73236549">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TES1360A</w:t>
                  </w:r>
                </w:p>
              </w:tc>
              <w:tc>
                <w:tcPr>
                  <w:tcW w:w="1534" w:type="dxa"/>
                  <w:tcBorders>
                    <w:tl2br w:val="nil"/>
                    <w:tr2bl w:val="nil"/>
                  </w:tcBorders>
                  <w:shd w:val="clear" w:color="auto" w:fill="auto"/>
                  <w:vAlign w:val="center"/>
                </w:tcPr>
                <w:p w14:paraId="09E134DA">
                  <w:pPr>
                    <w:spacing w:before="74" w:line="222"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7</w:t>
                  </w:r>
                </w:p>
              </w:tc>
            </w:tr>
            <w:tr w14:paraId="6FCA7D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6F40F150">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467C0AC7">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多功能声级计</w:t>
                  </w:r>
                </w:p>
              </w:tc>
              <w:tc>
                <w:tcPr>
                  <w:tcW w:w="1989" w:type="dxa"/>
                  <w:tcBorders>
                    <w:tl2br w:val="nil"/>
                    <w:tr2bl w:val="nil"/>
                  </w:tcBorders>
                  <w:shd w:val="clear" w:color="auto" w:fill="auto"/>
                  <w:vAlign w:val="center"/>
                </w:tcPr>
                <w:p w14:paraId="4D8164D1">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AWA5688</w:t>
                  </w:r>
                </w:p>
              </w:tc>
              <w:tc>
                <w:tcPr>
                  <w:tcW w:w="1534" w:type="dxa"/>
                  <w:tcBorders>
                    <w:tl2br w:val="nil"/>
                    <w:tr2bl w:val="nil"/>
                  </w:tcBorders>
                  <w:shd w:val="clear" w:color="auto" w:fill="auto"/>
                  <w:vAlign w:val="center"/>
                </w:tcPr>
                <w:p w14:paraId="482F3989">
                  <w:pPr>
                    <w:spacing w:before="75" w:line="222"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r>
            <w:tr w14:paraId="5BD0EF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332285D5">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1D6569FF">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声级计（2型）</w:t>
                  </w:r>
                </w:p>
              </w:tc>
              <w:tc>
                <w:tcPr>
                  <w:tcW w:w="1989" w:type="dxa"/>
                  <w:tcBorders>
                    <w:tl2br w:val="nil"/>
                    <w:tr2bl w:val="nil"/>
                  </w:tcBorders>
                  <w:shd w:val="clear" w:color="auto" w:fill="auto"/>
                  <w:vAlign w:val="center"/>
                </w:tcPr>
                <w:p w14:paraId="1A54D255">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AWA5636</w:t>
                  </w:r>
                </w:p>
              </w:tc>
              <w:tc>
                <w:tcPr>
                  <w:tcW w:w="1534" w:type="dxa"/>
                  <w:tcBorders>
                    <w:tl2br w:val="nil"/>
                    <w:tr2bl w:val="nil"/>
                  </w:tcBorders>
                  <w:shd w:val="clear" w:color="auto" w:fill="auto"/>
                  <w:vAlign w:val="center"/>
                </w:tcPr>
                <w:p w14:paraId="17FEF0C8">
                  <w:pPr>
                    <w:spacing w:before="75" w:line="222" w:lineRule="auto"/>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w:t>
                  </w:r>
                </w:p>
              </w:tc>
            </w:tr>
            <w:tr w14:paraId="278EBB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0126DC63">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2F71BE0B">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噪声分析仪(防爆型）</w:t>
                  </w:r>
                </w:p>
              </w:tc>
              <w:tc>
                <w:tcPr>
                  <w:tcW w:w="1989" w:type="dxa"/>
                  <w:tcBorders>
                    <w:tl2br w:val="nil"/>
                    <w:tr2bl w:val="nil"/>
                  </w:tcBorders>
                  <w:shd w:val="clear" w:color="auto" w:fill="auto"/>
                  <w:vAlign w:val="center"/>
                </w:tcPr>
                <w:p w14:paraId="3B87BC5B">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YSD130</w:t>
                  </w:r>
                </w:p>
              </w:tc>
              <w:tc>
                <w:tcPr>
                  <w:tcW w:w="1534" w:type="dxa"/>
                  <w:tcBorders>
                    <w:tl2br w:val="nil"/>
                    <w:tr2bl w:val="nil"/>
                  </w:tcBorders>
                  <w:shd w:val="clear" w:color="auto" w:fill="auto"/>
                  <w:vAlign w:val="center"/>
                </w:tcPr>
                <w:p w14:paraId="377CCEA3">
                  <w:pPr>
                    <w:spacing w:before="153" w:line="222"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r>
            <w:tr w14:paraId="11F9D3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54CC03F8">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7B9D5B83">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生化培养箱</w:t>
                  </w:r>
                </w:p>
              </w:tc>
              <w:tc>
                <w:tcPr>
                  <w:tcW w:w="1989" w:type="dxa"/>
                  <w:tcBorders>
                    <w:tl2br w:val="nil"/>
                    <w:tr2bl w:val="nil"/>
                  </w:tcBorders>
                  <w:shd w:val="clear" w:color="auto" w:fill="auto"/>
                  <w:vAlign w:val="center"/>
                </w:tcPr>
                <w:p w14:paraId="441D3BE0">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LRH-250A</w:t>
                  </w:r>
                </w:p>
              </w:tc>
              <w:tc>
                <w:tcPr>
                  <w:tcW w:w="1534" w:type="dxa"/>
                  <w:tcBorders>
                    <w:tl2br w:val="nil"/>
                    <w:tr2bl w:val="nil"/>
                  </w:tcBorders>
                  <w:shd w:val="clear" w:color="auto" w:fill="auto"/>
                  <w:vAlign w:val="center"/>
                </w:tcPr>
                <w:p w14:paraId="1DC31824">
                  <w:pPr>
                    <w:spacing w:before="152" w:line="222"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3</w:t>
                  </w:r>
                </w:p>
              </w:tc>
            </w:tr>
            <w:tr w14:paraId="3FA609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7F003F60">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40867CA1">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二氧化碳培养箱</w:t>
                  </w:r>
                </w:p>
              </w:tc>
              <w:tc>
                <w:tcPr>
                  <w:tcW w:w="1989" w:type="dxa"/>
                  <w:tcBorders>
                    <w:tl2br w:val="nil"/>
                    <w:tr2bl w:val="nil"/>
                  </w:tcBorders>
                  <w:shd w:val="clear" w:color="auto" w:fill="auto"/>
                  <w:vAlign w:val="center"/>
                </w:tcPr>
                <w:p w14:paraId="5F18EDC6">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RH-150-T</w:t>
                  </w:r>
                </w:p>
              </w:tc>
              <w:tc>
                <w:tcPr>
                  <w:tcW w:w="1534" w:type="dxa"/>
                  <w:tcBorders>
                    <w:tl2br w:val="nil"/>
                    <w:tr2bl w:val="nil"/>
                  </w:tcBorders>
                  <w:shd w:val="clear" w:color="auto" w:fill="auto"/>
                  <w:vAlign w:val="center"/>
                </w:tcPr>
                <w:p w14:paraId="4B68DDB3">
                  <w:pPr>
                    <w:spacing w:before="152" w:line="222" w:lineRule="auto"/>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r>
            <w:tr w14:paraId="3F79BA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7BCF9D63">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216B1C89">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恒温恒湿箱</w:t>
                  </w:r>
                </w:p>
              </w:tc>
              <w:tc>
                <w:tcPr>
                  <w:tcW w:w="1989" w:type="dxa"/>
                  <w:tcBorders>
                    <w:tl2br w:val="nil"/>
                    <w:tr2bl w:val="nil"/>
                  </w:tcBorders>
                  <w:shd w:val="clear" w:color="auto" w:fill="auto"/>
                  <w:vAlign w:val="center"/>
                </w:tcPr>
                <w:p w14:paraId="35435D33">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LRH-250-S</w:t>
                  </w:r>
                </w:p>
              </w:tc>
              <w:tc>
                <w:tcPr>
                  <w:tcW w:w="1534" w:type="dxa"/>
                  <w:tcBorders>
                    <w:tl2br w:val="nil"/>
                    <w:tr2bl w:val="nil"/>
                  </w:tcBorders>
                  <w:shd w:val="clear" w:color="auto" w:fill="auto"/>
                  <w:vAlign w:val="center"/>
                </w:tcPr>
                <w:p w14:paraId="0D321F56">
                  <w:pPr>
                    <w:spacing w:before="152" w:line="222" w:lineRule="auto"/>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r>
            <w:tr w14:paraId="0A26B9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3916F244">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72834DD9">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冰箱</w:t>
                  </w:r>
                </w:p>
              </w:tc>
              <w:tc>
                <w:tcPr>
                  <w:tcW w:w="1989" w:type="dxa"/>
                  <w:tcBorders>
                    <w:tl2br w:val="nil"/>
                    <w:tr2bl w:val="nil"/>
                  </w:tcBorders>
                  <w:shd w:val="clear" w:color="auto" w:fill="auto"/>
                  <w:vAlign w:val="center"/>
                </w:tcPr>
                <w:p w14:paraId="6D610E91">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LSC-368G</w:t>
                  </w:r>
                </w:p>
              </w:tc>
              <w:tc>
                <w:tcPr>
                  <w:tcW w:w="1534" w:type="dxa"/>
                  <w:tcBorders>
                    <w:tl2br w:val="nil"/>
                    <w:tr2bl w:val="nil"/>
                  </w:tcBorders>
                  <w:shd w:val="clear" w:color="auto" w:fill="auto"/>
                  <w:vAlign w:val="center"/>
                </w:tcPr>
                <w:p w14:paraId="4B12F1DD">
                  <w:pPr>
                    <w:spacing w:before="74" w:line="222"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r>
            <w:tr w14:paraId="667FFB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722F0A7C">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714DFB2E">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手提式压力蒸汽灭菌器</w:t>
                  </w:r>
                </w:p>
              </w:tc>
              <w:tc>
                <w:tcPr>
                  <w:tcW w:w="1989" w:type="dxa"/>
                  <w:tcBorders>
                    <w:tl2br w:val="nil"/>
                    <w:tr2bl w:val="nil"/>
                  </w:tcBorders>
                  <w:shd w:val="clear" w:color="auto" w:fill="auto"/>
                  <w:vAlign w:val="center"/>
                </w:tcPr>
                <w:p w14:paraId="6C02A2AD">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YX-280D（24L）</w:t>
                  </w:r>
                </w:p>
              </w:tc>
              <w:tc>
                <w:tcPr>
                  <w:tcW w:w="1534" w:type="dxa"/>
                  <w:tcBorders>
                    <w:tl2br w:val="nil"/>
                    <w:tr2bl w:val="nil"/>
                  </w:tcBorders>
                  <w:shd w:val="clear" w:color="auto" w:fill="auto"/>
                  <w:vAlign w:val="center"/>
                </w:tcPr>
                <w:p w14:paraId="4CD3363A">
                  <w:pPr>
                    <w:spacing w:before="74" w:line="222"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w:t>
                  </w:r>
                </w:p>
              </w:tc>
            </w:tr>
            <w:tr w14:paraId="5B5D81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0DE69DC0">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680858BF">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空盒气压表</w:t>
                  </w:r>
                </w:p>
              </w:tc>
              <w:tc>
                <w:tcPr>
                  <w:tcW w:w="1989" w:type="dxa"/>
                  <w:tcBorders>
                    <w:tl2br w:val="nil"/>
                    <w:tr2bl w:val="nil"/>
                  </w:tcBorders>
                  <w:shd w:val="clear" w:color="auto" w:fill="auto"/>
                  <w:vAlign w:val="center"/>
                </w:tcPr>
                <w:p w14:paraId="6B67C6B6">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DYM3</w:t>
                  </w:r>
                </w:p>
              </w:tc>
              <w:tc>
                <w:tcPr>
                  <w:tcW w:w="1534" w:type="dxa"/>
                  <w:tcBorders>
                    <w:tl2br w:val="nil"/>
                    <w:tr2bl w:val="nil"/>
                  </w:tcBorders>
                  <w:shd w:val="clear" w:color="auto" w:fill="auto"/>
                  <w:vAlign w:val="center"/>
                </w:tcPr>
                <w:p w14:paraId="4FFB49CB">
                  <w:pPr>
                    <w:spacing w:before="75" w:line="222"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3</w:t>
                  </w:r>
                </w:p>
              </w:tc>
            </w:tr>
            <w:tr w14:paraId="5E9A54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3B933CC0">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22766A6A">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多参数便携式水质检测仪</w:t>
                  </w:r>
                </w:p>
              </w:tc>
              <w:tc>
                <w:tcPr>
                  <w:tcW w:w="1989" w:type="dxa"/>
                  <w:tcBorders>
                    <w:tl2br w:val="nil"/>
                    <w:tr2bl w:val="nil"/>
                  </w:tcBorders>
                  <w:shd w:val="clear" w:color="auto" w:fill="auto"/>
                  <w:vAlign w:val="center"/>
                </w:tcPr>
                <w:p w14:paraId="65DAC0F0">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LH-M900</w:t>
                  </w:r>
                </w:p>
              </w:tc>
              <w:tc>
                <w:tcPr>
                  <w:tcW w:w="1534" w:type="dxa"/>
                  <w:tcBorders>
                    <w:tl2br w:val="nil"/>
                    <w:tr2bl w:val="nil"/>
                  </w:tcBorders>
                  <w:shd w:val="clear" w:color="auto" w:fill="auto"/>
                  <w:vAlign w:val="center"/>
                </w:tcPr>
                <w:p w14:paraId="0759329C">
                  <w:pPr>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3</w:t>
                  </w:r>
                </w:p>
              </w:tc>
            </w:tr>
            <w:tr w14:paraId="73E200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448CA8F6">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4CCEB6E2">
                  <w:pPr>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紫外可见分光光度计</w:t>
                  </w:r>
                </w:p>
              </w:tc>
              <w:tc>
                <w:tcPr>
                  <w:tcW w:w="1989" w:type="dxa"/>
                  <w:tcBorders>
                    <w:tl2br w:val="nil"/>
                    <w:tr2bl w:val="nil"/>
                  </w:tcBorders>
                  <w:shd w:val="clear" w:color="auto" w:fill="auto"/>
                  <w:vAlign w:val="center"/>
                </w:tcPr>
                <w:p w14:paraId="033F532E">
                  <w:pPr>
                    <w:widowControl/>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UY-1800/(190~1100)mm</w:t>
                  </w:r>
                </w:p>
              </w:tc>
              <w:tc>
                <w:tcPr>
                  <w:tcW w:w="1534" w:type="dxa"/>
                  <w:tcBorders>
                    <w:tl2br w:val="nil"/>
                    <w:tr2bl w:val="nil"/>
                  </w:tcBorders>
                  <w:shd w:val="clear" w:color="auto" w:fill="auto"/>
                  <w:vAlign w:val="center"/>
                </w:tcPr>
                <w:p w14:paraId="59A5B2C0">
                  <w:pPr>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355381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1B2D5370">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486AE6E9">
                  <w:pPr>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恒温恒湿称重系统</w:t>
                  </w:r>
                </w:p>
              </w:tc>
              <w:tc>
                <w:tcPr>
                  <w:tcW w:w="1989" w:type="dxa"/>
                  <w:tcBorders>
                    <w:tl2br w:val="nil"/>
                    <w:tr2bl w:val="nil"/>
                  </w:tcBorders>
                  <w:shd w:val="clear" w:color="auto" w:fill="auto"/>
                  <w:vAlign w:val="center"/>
                </w:tcPr>
                <w:p w14:paraId="55E3CE83">
                  <w:pPr>
                    <w:widowControl/>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HSX-350</w:t>
                  </w:r>
                </w:p>
              </w:tc>
              <w:tc>
                <w:tcPr>
                  <w:tcW w:w="1534" w:type="dxa"/>
                  <w:tcBorders>
                    <w:tl2br w:val="nil"/>
                    <w:tr2bl w:val="nil"/>
                  </w:tcBorders>
                  <w:shd w:val="clear" w:color="auto" w:fill="auto"/>
                  <w:vAlign w:val="center"/>
                </w:tcPr>
                <w:p w14:paraId="4C576249">
                  <w:pPr>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w:t>
                  </w:r>
                </w:p>
              </w:tc>
            </w:tr>
            <w:tr w14:paraId="6B201B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79C5A4B9">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24BC4095">
                  <w:pPr>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水浴锅</w:t>
                  </w:r>
                </w:p>
              </w:tc>
              <w:tc>
                <w:tcPr>
                  <w:tcW w:w="1989" w:type="dxa"/>
                  <w:tcBorders>
                    <w:tl2br w:val="nil"/>
                    <w:tr2bl w:val="nil"/>
                  </w:tcBorders>
                  <w:shd w:val="clear" w:color="auto" w:fill="auto"/>
                  <w:vAlign w:val="center"/>
                </w:tcPr>
                <w:p w14:paraId="5F6B12DE">
                  <w:pPr>
                    <w:widowControl/>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HH</w:t>
                  </w:r>
                </w:p>
              </w:tc>
              <w:tc>
                <w:tcPr>
                  <w:tcW w:w="1534" w:type="dxa"/>
                  <w:tcBorders>
                    <w:tl2br w:val="nil"/>
                    <w:tr2bl w:val="nil"/>
                  </w:tcBorders>
                  <w:shd w:val="clear" w:color="auto" w:fill="auto"/>
                  <w:vAlign w:val="center"/>
                </w:tcPr>
                <w:p w14:paraId="50946840">
                  <w:pPr>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w:t>
                  </w:r>
                </w:p>
              </w:tc>
            </w:tr>
            <w:tr w14:paraId="6882D0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1D52970F">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5E9551F9">
                  <w:pPr>
                    <w:snapToGrid w:val="0"/>
                    <w:spacing w:line="240" w:lineRule="auto"/>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原子荧光分光光度计</w:t>
                  </w:r>
                </w:p>
              </w:tc>
              <w:tc>
                <w:tcPr>
                  <w:tcW w:w="1989" w:type="dxa"/>
                  <w:tcBorders>
                    <w:tl2br w:val="nil"/>
                    <w:tr2bl w:val="nil"/>
                  </w:tcBorders>
                  <w:shd w:val="clear" w:color="auto" w:fill="auto"/>
                  <w:vAlign w:val="center"/>
                </w:tcPr>
                <w:p w14:paraId="4B1EE609">
                  <w:pPr>
                    <w:snapToGrid w:val="0"/>
                    <w:spacing w:line="240" w:lineRule="auto"/>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AFS8530</w:t>
                  </w:r>
                </w:p>
              </w:tc>
              <w:tc>
                <w:tcPr>
                  <w:tcW w:w="1534" w:type="dxa"/>
                  <w:tcBorders>
                    <w:tl2br w:val="nil"/>
                    <w:tr2bl w:val="nil"/>
                  </w:tcBorders>
                  <w:shd w:val="clear" w:color="auto" w:fill="auto"/>
                  <w:vAlign w:val="center"/>
                </w:tcPr>
                <w:p w14:paraId="4ADD6856">
                  <w:pPr>
                    <w:snapToGrid w:val="0"/>
                    <w:spacing w:line="240" w:lineRule="auto"/>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w:t>
                  </w:r>
                </w:p>
              </w:tc>
            </w:tr>
            <w:tr w14:paraId="461968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73ABEFD1">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1D8DD04B">
                  <w:pPr>
                    <w:snapToGrid w:val="0"/>
                    <w:spacing w:line="240" w:lineRule="auto"/>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氮氧化物快速检测仪</w:t>
                  </w:r>
                </w:p>
              </w:tc>
              <w:tc>
                <w:tcPr>
                  <w:tcW w:w="1989" w:type="dxa"/>
                  <w:tcBorders>
                    <w:tl2br w:val="nil"/>
                    <w:tr2bl w:val="nil"/>
                  </w:tcBorders>
                  <w:shd w:val="clear" w:color="auto" w:fill="auto"/>
                  <w:vAlign w:val="center"/>
                </w:tcPr>
                <w:p w14:paraId="6E8C6C6D">
                  <w:pPr>
                    <w:snapToGrid w:val="0"/>
                    <w:spacing w:line="240" w:lineRule="auto"/>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TATCNOx1801</w:t>
                  </w:r>
                </w:p>
              </w:tc>
              <w:tc>
                <w:tcPr>
                  <w:tcW w:w="1534" w:type="dxa"/>
                  <w:tcBorders>
                    <w:tl2br w:val="nil"/>
                    <w:tr2bl w:val="nil"/>
                  </w:tcBorders>
                  <w:shd w:val="clear" w:color="auto" w:fill="auto"/>
                  <w:vAlign w:val="center"/>
                </w:tcPr>
                <w:p w14:paraId="61D02C05">
                  <w:pPr>
                    <w:snapToGrid w:val="0"/>
                    <w:spacing w:line="240" w:lineRule="auto"/>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1</w:t>
                  </w:r>
                </w:p>
              </w:tc>
            </w:tr>
            <w:tr w14:paraId="68A22D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dxa"/>
                  <w:tcBorders>
                    <w:tl2br w:val="nil"/>
                    <w:tr2bl w:val="nil"/>
                  </w:tcBorders>
                  <w:vAlign w:val="center"/>
                </w:tcPr>
                <w:p w14:paraId="2CD1017A">
                  <w:pPr>
                    <w:numPr>
                      <w:ilvl w:val="0"/>
                      <w:numId w:val="2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411" w:type="dxa"/>
                  <w:tcBorders>
                    <w:tl2br w:val="nil"/>
                    <w:tr2bl w:val="nil"/>
                  </w:tcBorders>
                  <w:shd w:val="clear" w:color="auto" w:fill="auto"/>
                  <w:vAlign w:val="center"/>
                </w:tcPr>
                <w:p w14:paraId="2AE1EB1C">
                  <w:pPr>
                    <w:snapToGrid w:val="0"/>
                    <w:spacing w:line="240" w:lineRule="auto"/>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电子温度计</w:t>
                  </w:r>
                </w:p>
              </w:tc>
              <w:tc>
                <w:tcPr>
                  <w:tcW w:w="1989" w:type="dxa"/>
                  <w:tcBorders>
                    <w:tl2br w:val="nil"/>
                    <w:tr2bl w:val="nil"/>
                  </w:tcBorders>
                  <w:shd w:val="clear" w:color="auto" w:fill="auto"/>
                  <w:vAlign w:val="center"/>
                </w:tcPr>
                <w:p w14:paraId="4E5C0812">
                  <w:pPr>
                    <w:snapToGrid w:val="0"/>
                    <w:spacing w:line="240" w:lineRule="auto"/>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（-20~50）℃</w:t>
                  </w:r>
                </w:p>
              </w:tc>
              <w:tc>
                <w:tcPr>
                  <w:tcW w:w="1534" w:type="dxa"/>
                  <w:tcBorders>
                    <w:tl2br w:val="nil"/>
                    <w:tr2bl w:val="nil"/>
                  </w:tcBorders>
                  <w:shd w:val="clear" w:color="auto" w:fill="auto"/>
                  <w:vAlign w:val="center"/>
                </w:tcPr>
                <w:p w14:paraId="2497B2A7">
                  <w:pPr>
                    <w:snapToGrid w:val="0"/>
                    <w:spacing w:line="240" w:lineRule="auto"/>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w:t>
                  </w:r>
                </w:p>
              </w:tc>
            </w:tr>
          </w:tbl>
          <w:p w14:paraId="3B8C984B">
            <w:pPr>
              <w:numPr>
                <w:ilvl w:val="0"/>
                <w:numId w:val="21"/>
              </w:numPr>
              <w:tabs>
                <w:tab w:val="left" w:pos="0"/>
              </w:tabs>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主要原辅材料</w:t>
            </w:r>
          </w:p>
          <w:p w14:paraId="1BBB4113">
            <w:pPr>
              <w:adjustRightInd w:val="0"/>
              <w:snapToGrid w:val="0"/>
              <w:spacing w:line="360" w:lineRule="auto"/>
              <w:ind w:firstLine="48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4"/>
                <w:highlight w:val="none"/>
              </w:rPr>
              <w:t>项目主要原辅材料及用量</w:t>
            </w:r>
            <w:r>
              <w:rPr>
                <w:rFonts w:hint="eastAsia" w:cs="Times New Roman"/>
                <w:color w:val="auto"/>
                <w:sz w:val="24"/>
                <w:highlight w:val="none"/>
                <w:lang w:val="en-US" w:eastAsia="zh-CN"/>
              </w:rPr>
              <w:t>变化情况</w:t>
            </w:r>
            <w:r>
              <w:rPr>
                <w:rFonts w:hint="default" w:ascii="Times New Roman" w:hAnsi="Times New Roman" w:eastAsia="宋体" w:cs="Times New Roman"/>
                <w:color w:val="auto"/>
                <w:sz w:val="24"/>
                <w:highlight w:val="none"/>
              </w:rPr>
              <w:t>详见下表。</w:t>
            </w:r>
          </w:p>
          <w:p w14:paraId="79BC48D8">
            <w:pPr>
              <w:numPr>
                <w:ilvl w:val="0"/>
                <w:numId w:val="22"/>
              </w:numPr>
              <w:adjustRightInd w:val="0"/>
              <w:snapToGrid w:val="0"/>
              <w:spacing w:line="36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项目主要原辅材料使用</w:t>
            </w:r>
            <w:r>
              <w:rPr>
                <w:rFonts w:hint="eastAsia" w:cs="Times New Roman"/>
                <w:b/>
                <w:bCs/>
                <w:color w:val="auto"/>
                <w:sz w:val="24"/>
                <w:highlight w:val="none"/>
                <w:lang w:val="en-US" w:eastAsia="zh-CN"/>
              </w:rPr>
              <w:t>变化</w:t>
            </w:r>
            <w:r>
              <w:rPr>
                <w:rFonts w:hint="default" w:ascii="Times New Roman" w:hAnsi="Times New Roman" w:eastAsia="宋体" w:cs="Times New Roman"/>
                <w:b/>
                <w:bCs/>
                <w:color w:val="auto"/>
                <w:sz w:val="24"/>
                <w:highlight w:val="none"/>
              </w:rPr>
              <w:t>情况一览表</w:t>
            </w:r>
          </w:p>
          <w:tbl>
            <w:tblPr>
              <w:tblStyle w:val="24"/>
              <w:tblW w:w="49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238"/>
              <w:gridCol w:w="1613"/>
              <w:gridCol w:w="1720"/>
              <w:gridCol w:w="1533"/>
            </w:tblGrid>
            <w:tr w14:paraId="60F10E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0" w:type="dxa"/>
                  <w:tcBorders>
                    <w:tl2br w:val="nil"/>
                    <w:tr2bl w:val="nil"/>
                  </w:tcBorders>
                  <w:vAlign w:val="center"/>
                </w:tcPr>
                <w:p w14:paraId="2FD3E026">
                  <w:pPr>
                    <w:numPr>
                      <w:ilvl w:val="0"/>
                      <w:numId w:val="0"/>
                    </w:numPr>
                    <w:spacing w:line="240" w:lineRule="auto"/>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序号</w:t>
                  </w:r>
                </w:p>
              </w:tc>
              <w:tc>
                <w:tcPr>
                  <w:tcW w:w="2238" w:type="dxa"/>
                  <w:tcBorders>
                    <w:tl2br w:val="nil"/>
                    <w:tr2bl w:val="nil"/>
                  </w:tcBorders>
                  <w:vAlign w:val="center"/>
                </w:tcPr>
                <w:p w14:paraId="52A9C727">
                  <w:pPr>
                    <w:numPr>
                      <w:ilvl w:val="0"/>
                      <w:numId w:val="0"/>
                    </w:num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名称</w:t>
                  </w:r>
                </w:p>
              </w:tc>
              <w:tc>
                <w:tcPr>
                  <w:tcW w:w="1613" w:type="dxa"/>
                  <w:tcBorders>
                    <w:tl2br w:val="nil"/>
                    <w:tr2bl w:val="nil"/>
                  </w:tcBorders>
                  <w:vAlign w:val="center"/>
                </w:tcPr>
                <w:p w14:paraId="03CFF830">
                  <w:pPr>
                    <w:numPr>
                      <w:ilvl w:val="0"/>
                      <w:numId w:val="0"/>
                    </w:num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规格</w:t>
                  </w:r>
                </w:p>
              </w:tc>
              <w:tc>
                <w:tcPr>
                  <w:tcW w:w="1720" w:type="dxa"/>
                  <w:tcBorders>
                    <w:tl2br w:val="nil"/>
                    <w:tr2bl w:val="nil"/>
                  </w:tcBorders>
                  <w:shd w:val="clear" w:color="auto" w:fill="auto"/>
                  <w:vAlign w:val="center"/>
                </w:tcPr>
                <w:p w14:paraId="08D4846D">
                  <w:pPr>
                    <w:numPr>
                      <w:ilvl w:val="0"/>
                      <w:numId w:val="0"/>
                    </w:numPr>
                    <w:spacing w:line="240" w:lineRule="auto"/>
                    <w:ind w:left="0" w:leftChars="0" w:firstLine="0" w:firstLineChars="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sz w:val="21"/>
                      <w:szCs w:val="21"/>
                      <w:highlight w:val="none"/>
                      <w:vertAlign w:val="baseline"/>
                      <w:lang w:val="en-US" w:eastAsia="zh-CN"/>
                    </w:rPr>
                    <w:t>年使用量</w:t>
                  </w:r>
                </w:p>
              </w:tc>
              <w:tc>
                <w:tcPr>
                  <w:tcW w:w="1533" w:type="dxa"/>
                  <w:tcBorders>
                    <w:tl2br w:val="nil"/>
                    <w:tr2bl w:val="nil"/>
                  </w:tcBorders>
                  <w:vAlign w:val="center"/>
                </w:tcPr>
                <w:p w14:paraId="5E5ED50C">
                  <w:pPr>
                    <w:numPr>
                      <w:ilvl w:val="0"/>
                      <w:numId w:val="0"/>
                    </w:numPr>
                    <w:spacing w:line="240" w:lineRule="auto"/>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最大贮存量</w:t>
                  </w:r>
                </w:p>
              </w:tc>
            </w:tr>
            <w:tr w14:paraId="6CA96D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0" w:type="dxa"/>
                  <w:tcBorders>
                    <w:tl2br w:val="nil"/>
                    <w:tr2bl w:val="nil"/>
                  </w:tcBorders>
                  <w:vAlign w:val="center"/>
                </w:tcPr>
                <w:p w14:paraId="08AC1E8A">
                  <w:pPr>
                    <w:numPr>
                      <w:ilvl w:val="0"/>
                      <w:numId w:val="24"/>
                    </w:numPr>
                    <w:spacing w:line="240" w:lineRule="auto"/>
                    <w:ind w:left="425" w:leftChars="0" w:hanging="425" w:firstLineChars="0"/>
                    <w:jc w:val="both"/>
                    <w:rPr>
                      <w:rFonts w:hint="default" w:ascii="Times New Roman" w:hAnsi="Times New Roman" w:eastAsia="宋体" w:cs="Times New Roman"/>
                      <w:b w:val="0"/>
                      <w:bCs w:val="0"/>
                      <w:color w:val="auto"/>
                      <w:sz w:val="21"/>
                      <w:szCs w:val="21"/>
                      <w:highlight w:val="none"/>
                      <w:vertAlign w:val="baseline"/>
                      <w:lang w:val="en-US"/>
                    </w:rPr>
                  </w:pPr>
                </w:p>
              </w:tc>
              <w:tc>
                <w:tcPr>
                  <w:tcW w:w="2238" w:type="dxa"/>
                  <w:tcBorders>
                    <w:tl2br w:val="nil"/>
                    <w:tr2bl w:val="nil"/>
                  </w:tcBorders>
                  <w:shd w:val="clear" w:color="auto" w:fill="auto"/>
                  <w:vAlign w:val="center"/>
                </w:tcPr>
                <w:p w14:paraId="538F711E">
                  <w:pPr>
                    <w:spacing w:before="52" w:line="22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盐酸</w:t>
                  </w:r>
                </w:p>
              </w:tc>
              <w:tc>
                <w:tcPr>
                  <w:tcW w:w="1613" w:type="dxa"/>
                  <w:tcBorders>
                    <w:tl2br w:val="nil"/>
                    <w:tr2bl w:val="nil"/>
                  </w:tcBorders>
                  <w:shd w:val="clear" w:color="auto" w:fill="auto"/>
                  <w:vAlign w:val="center"/>
                </w:tcPr>
                <w:p w14:paraId="74269251">
                  <w:pPr>
                    <w:spacing w:before="87" w:line="195" w:lineRule="auto"/>
                    <w:jc w:val="center"/>
                    <w:rPr>
                      <w:rFonts w:hint="default" w:eastAsia="宋体"/>
                      <w:color w:val="auto"/>
                      <w:spacing w:val="-4"/>
                      <w:szCs w:val="21"/>
                      <w:highlight w:val="none"/>
                      <w:lang w:val="en-US" w:eastAsia="zh-CN"/>
                    </w:rPr>
                  </w:pPr>
                  <w:r>
                    <w:rPr>
                      <w:rFonts w:hint="eastAsia" w:eastAsia="宋体"/>
                      <w:color w:val="auto"/>
                      <w:spacing w:val="-4"/>
                      <w:szCs w:val="21"/>
                      <w:highlight w:val="none"/>
                      <w:lang w:val="en-US" w:eastAsia="zh-CN"/>
                    </w:rPr>
                    <w:t>500ml/瓶</w:t>
                  </w:r>
                </w:p>
              </w:tc>
              <w:tc>
                <w:tcPr>
                  <w:tcW w:w="1720" w:type="dxa"/>
                  <w:tcBorders>
                    <w:tl2br w:val="nil"/>
                    <w:tr2bl w:val="nil"/>
                  </w:tcBorders>
                  <w:shd w:val="clear" w:color="auto" w:fill="auto"/>
                  <w:vAlign w:val="center"/>
                </w:tcPr>
                <w:p w14:paraId="6C49E1A3">
                  <w:pPr>
                    <w:spacing w:before="87" w:line="195"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1533" w:type="dxa"/>
                  <w:tcBorders>
                    <w:tl2br w:val="nil"/>
                    <w:tr2bl w:val="nil"/>
                  </w:tcBorders>
                  <w:shd w:val="clear" w:color="auto" w:fill="auto"/>
                  <w:vAlign w:val="center"/>
                </w:tcPr>
                <w:p w14:paraId="63099B2D">
                  <w:pPr>
                    <w:spacing w:before="88"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r>
            <w:tr w14:paraId="5E41C6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0" w:type="dxa"/>
                  <w:tcBorders>
                    <w:tl2br w:val="nil"/>
                    <w:tr2bl w:val="nil"/>
                  </w:tcBorders>
                  <w:vAlign w:val="center"/>
                </w:tcPr>
                <w:p w14:paraId="40A74ACB">
                  <w:pPr>
                    <w:numPr>
                      <w:ilvl w:val="0"/>
                      <w:numId w:val="2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238" w:type="dxa"/>
                  <w:tcBorders>
                    <w:tl2br w:val="nil"/>
                    <w:tr2bl w:val="nil"/>
                  </w:tcBorders>
                  <w:shd w:val="clear" w:color="auto" w:fill="auto"/>
                  <w:vAlign w:val="center"/>
                </w:tcPr>
                <w:p w14:paraId="2345069A">
                  <w:pPr>
                    <w:spacing w:before="52" w:line="229"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硝酸</w:t>
                  </w:r>
                </w:p>
              </w:tc>
              <w:tc>
                <w:tcPr>
                  <w:tcW w:w="1613" w:type="dxa"/>
                  <w:tcBorders>
                    <w:tl2br w:val="nil"/>
                    <w:tr2bl w:val="nil"/>
                  </w:tcBorders>
                  <w:shd w:val="clear" w:color="auto" w:fill="auto"/>
                  <w:vAlign w:val="center"/>
                </w:tcPr>
                <w:p w14:paraId="1F415BF5">
                  <w:pPr>
                    <w:spacing w:before="87" w:line="195" w:lineRule="auto"/>
                    <w:jc w:val="center"/>
                    <w:rPr>
                      <w:rFonts w:hint="default" w:eastAsia="宋体"/>
                      <w:color w:val="auto"/>
                      <w:spacing w:val="-4"/>
                      <w:szCs w:val="21"/>
                      <w:highlight w:val="none"/>
                      <w:lang w:val="en-US" w:eastAsia="zh-CN"/>
                    </w:rPr>
                  </w:pPr>
                  <w:r>
                    <w:rPr>
                      <w:rFonts w:hint="eastAsia" w:eastAsia="宋体"/>
                      <w:color w:val="auto"/>
                      <w:spacing w:val="-4"/>
                      <w:szCs w:val="21"/>
                      <w:highlight w:val="none"/>
                      <w:lang w:val="en-US" w:eastAsia="zh-CN"/>
                    </w:rPr>
                    <w:t>500ml/瓶</w:t>
                  </w:r>
                </w:p>
              </w:tc>
              <w:tc>
                <w:tcPr>
                  <w:tcW w:w="1720" w:type="dxa"/>
                  <w:tcBorders>
                    <w:tl2br w:val="nil"/>
                    <w:tr2bl w:val="nil"/>
                  </w:tcBorders>
                  <w:shd w:val="clear" w:color="auto" w:fill="auto"/>
                  <w:vAlign w:val="center"/>
                </w:tcPr>
                <w:p w14:paraId="4B240E28">
                  <w:pPr>
                    <w:spacing w:before="88" w:line="195"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60</w:t>
                  </w:r>
                </w:p>
              </w:tc>
              <w:tc>
                <w:tcPr>
                  <w:tcW w:w="1533" w:type="dxa"/>
                  <w:tcBorders>
                    <w:tl2br w:val="nil"/>
                    <w:tr2bl w:val="nil"/>
                  </w:tcBorders>
                  <w:shd w:val="clear" w:color="auto" w:fill="auto"/>
                  <w:vAlign w:val="center"/>
                </w:tcPr>
                <w:p w14:paraId="5D201D23">
                  <w:pPr>
                    <w:spacing w:before="87"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14:paraId="406A3A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0" w:type="dxa"/>
                  <w:tcBorders>
                    <w:tl2br w:val="nil"/>
                    <w:tr2bl w:val="nil"/>
                  </w:tcBorders>
                  <w:vAlign w:val="center"/>
                </w:tcPr>
                <w:p w14:paraId="40B48C73">
                  <w:pPr>
                    <w:numPr>
                      <w:ilvl w:val="0"/>
                      <w:numId w:val="2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238" w:type="dxa"/>
                  <w:tcBorders>
                    <w:tl2br w:val="nil"/>
                    <w:tr2bl w:val="nil"/>
                  </w:tcBorders>
                  <w:shd w:val="clear" w:color="auto" w:fill="auto"/>
                  <w:vAlign w:val="center"/>
                </w:tcPr>
                <w:p w14:paraId="4989A887">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硫酸</w:t>
                  </w:r>
                </w:p>
              </w:tc>
              <w:tc>
                <w:tcPr>
                  <w:tcW w:w="1613" w:type="dxa"/>
                  <w:tcBorders>
                    <w:tl2br w:val="nil"/>
                    <w:tr2bl w:val="nil"/>
                  </w:tcBorders>
                  <w:shd w:val="clear" w:color="auto" w:fill="auto"/>
                  <w:vAlign w:val="center"/>
                </w:tcPr>
                <w:p w14:paraId="74CB0383">
                  <w:pPr>
                    <w:spacing w:before="53" w:line="228" w:lineRule="auto"/>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hint="eastAsia" w:eastAsia="宋体"/>
                      <w:color w:val="auto"/>
                      <w:spacing w:val="-4"/>
                      <w:szCs w:val="21"/>
                      <w:highlight w:val="none"/>
                      <w:lang w:val="en-US" w:eastAsia="zh-CN"/>
                    </w:rPr>
                    <w:t>500ml/瓶</w:t>
                  </w:r>
                </w:p>
              </w:tc>
              <w:tc>
                <w:tcPr>
                  <w:tcW w:w="1720" w:type="dxa"/>
                  <w:tcBorders>
                    <w:tl2br w:val="nil"/>
                    <w:tr2bl w:val="nil"/>
                  </w:tcBorders>
                  <w:shd w:val="clear" w:color="auto" w:fill="auto"/>
                  <w:vAlign w:val="center"/>
                </w:tcPr>
                <w:p w14:paraId="2AE82CA3">
                  <w:pPr>
                    <w:spacing w:before="53" w:line="228" w:lineRule="auto"/>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300</w:t>
                  </w:r>
                </w:p>
              </w:tc>
              <w:tc>
                <w:tcPr>
                  <w:tcW w:w="1533" w:type="dxa"/>
                  <w:tcBorders>
                    <w:tl2br w:val="nil"/>
                    <w:tr2bl w:val="nil"/>
                  </w:tcBorders>
                  <w:shd w:val="clear" w:color="auto" w:fill="auto"/>
                  <w:vAlign w:val="center"/>
                </w:tcPr>
                <w:p w14:paraId="28C61731">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10</w:t>
                  </w:r>
                </w:p>
              </w:tc>
            </w:tr>
            <w:tr w14:paraId="2B6888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0" w:type="dxa"/>
                  <w:tcBorders>
                    <w:tl2br w:val="nil"/>
                    <w:tr2bl w:val="nil"/>
                  </w:tcBorders>
                  <w:vAlign w:val="center"/>
                </w:tcPr>
                <w:p w14:paraId="4420CA99">
                  <w:pPr>
                    <w:numPr>
                      <w:ilvl w:val="0"/>
                      <w:numId w:val="2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238" w:type="dxa"/>
                  <w:tcBorders>
                    <w:tl2br w:val="nil"/>
                    <w:tr2bl w:val="nil"/>
                  </w:tcBorders>
                  <w:shd w:val="clear" w:color="auto" w:fill="auto"/>
                  <w:vAlign w:val="center"/>
                </w:tcPr>
                <w:p w14:paraId="12C12E38">
                  <w:pPr>
                    <w:spacing w:before="52" w:line="229"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氨水</w:t>
                  </w:r>
                </w:p>
              </w:tc>
              <w:tc>
                <w:tcPr>
                  <w:tcW w:w="1613" w:type="dxa"/>
                  <w:tcBorders>
                    <w:tl2br w:val="nil"/>
                    <w:tr2bl w:val="nil"/>
                  </w:tcBorders>
                  <w:shd w:val="clear" w:color="auto" w:fill="auto"/>
                  <w:vAlign w:val="center"/>
                </w:tcPr>
                <w:p w14:paraId="5EE21738">
                  <w:pPr>
                    <w:spacing w:before="53" w:line="228" w:lineRule="auto"/>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hint="eastAsia" w:eastAsia="宋体"/>
                      <w:color w:val="auto"/>
                      <w:spacing w:val="-4"/>
                      <w:szCs w:val="21"/>
                      <w:highlight w:val="none"/>
                      <w:lang w:val="en-US" w:eastAsia="zh-CN"/>
                    </w:rPr>
                    <w:t>500ml/瓶</w:t>
                  </w:r>
                </w:p>
              </w:tc>
              <w:tc>
                <w:tcPr>
                  <w:tcW w:w="1720" w:type="dxa"/>
                  <w:tcBorders>
                    <w:tl2br w:val="nil"/>
                    <w:tr2bl w:val="nil"/>
                  </w:tcBorders>
                  <w:shd w:val="clear" w:color="auto" w:fill="auto"/>
                  <w:vAlign w:val="center"/>
                </w:tcPr>
                <w:p w14:paraId="0A614337">
                  <w:pPr>
                    <w:spacing w:before="53" w:line="228" w:lineRule="auto"/>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10</w:t>
                  </w:r>
                </w:p>
              </w:tc>
              <w:tc>
                <w:tcPr>
                  <w:tcW w:w="1533" w:type="dxa"/>
                  <w:tcBorders>
                    <w:tl2br w:val="nil"/>
                    <w:tr2bl w:val="nil"/>
                  </w:tcBorders>
                  <w:shd w:val="clear" w:color="auto" w:fill="auto"/>
                  <w:vAlign w:val="center"/>
                </w:tcPr>
                <w:p w14:paraId="4D31B5BD">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2</w:t>
                  </w:r>
                </w:p>
              </w:tc>
            </w:tr>
            <w:tr w14:paraId="26DDF5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0" w:type="dxa"/>
                  <w:tcBorders>
                    <w:tl2br w:val="nil"/>
                    <w:tr2bl w:val="nil"/>
                  </w:tcBorders>
                  <w:vAlign w:val="center"/>
                </w:tcPr>
                <w:p w14:paraId="6709D37C">
                  <w:pPr>
                    <w:numPr>
                      <w:ilvl w:val="0"/>
                      <w:numId w:val="2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238" w:type="dxa"/>
                  <w:tcBorders>
                    <w:tl2br w:val="nil"/>
                    <w:tr2bl w:val="nil"/>
                  </w:tcBorders>
                  <w:shd w:val="clear" w:color="auto" w:fill="auto"/>
                  <w:vAlign w:val="center"/>
                </w:tcPr>
                <w:p w14:paraId="609B0D9D">
                  <w:pPr>
                    <w:spacing w:before="51" w:line="227"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甲醇</w:t>
                  </w:r>
                </w:p>
              </w:tc>
              <w:tc>
                <w:tcPr>
                  <w:tcW w:w="1613" w:type="dxa"/>
                  <w:tcBorders>
                    <w:tl2br w:val="nil"/>
                    <w:tr2bl w:val="nil"/>
                  </w:tcBorders>
                  <w:shd w:val="clear" w:color="auto" w:fill="auto"/>
                  <w:vAlign w:val="center"/>
                </w:tcPr>
                <w:p w14:paraId="6C3FE9E0">
                  <w:pPr>
                    <w:spacing w:before="87" w:line="195" w:lineRule="auto"/>
                    <w:jc w:val="center"/>
                    <w:rPr>
                      <w:rFonts w:hint="default" w:eastAsia="宋体"/>
                      <w:color w:val="auto"/>
                      <w:spacing w:val="-4"/>
                      <w:szCs w:val="21"/>
                      <w:highlight w:val="none"/>
                      <w:lang w:val="en-US" w:eastAsia="zh-CN"/>
                    </w:rPr>
                  </w:pPr>
                  <w:r>
                    <w:rPr>
                      <w:rFonts w:hint="eastAsia" w:eastAsia="宋体"/>
                      <w:color w:val="auto"/>
                      <w:spacing w:val="-4"/>
                      <w:szCs w:val="21"/>
                      <w:highlight w:val="none"/>
                      <w:lang w:val="en-US" w:eastAsia="zh-CN"/>
                    </w:rPr>
                    <w:t>500ml/瓶</w:t>
                  </w:r>
                </w:p>
              </w:tc>
              <w:tc>
                <w:tcPr>
                  <w:tcW w:w="1720" w:type="dxa"/>
                  <w:tcBorders>
                    <w:tl2br w:val="nil"/>
                    <w:tr2bl w:val="nil"/>
                  </w:tcBorders>
                  <w:shd w:val="clear" w:color="auto" w:fill="auto"/>
                  <w:vAlign w:val="center"/>
                </w:tcPr>
                <w:p w14:paraId="2193A3B2">
                  <w:pPr>
                    <w:spacing w:before="87" w:line="195"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p>
              </w:tc>
              <w:tc>
                <w:tcPr>
                  <w:tcW w:w="1533" w:type="dxa"/>
                  <w:tcBorders>
                    <w:tl2br w:val="nil"/>
                    <w:tr2bl w:val="nil"/>
                  </w:tcBorders>
                  <w:shd w:val="clear" w:color="auto" w:fill="auto"/>
                  <w:vAlign w:val="center"/>
                </w:tcPr>
                <w:p w14:paraId="44F5860D">
                  <w:pPr>
                    <w:spacing w:before="87"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r>
            <w:tr w14:paraId="60525D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0" w:type="dxa"/>
                  <w:tcBorders>
                    <w:tl2br w:val="nil"/>
                    <w:tr2bl w:val="nil"/>
                  </w:tcBorders>
                  <w:vAlign w:val="center"/>
                </w:tcPr>
                <w:p w14:paraId="3DE8360A">
                  <w:pPr>
                    <w:numPr>
                      <w:ilvl w:val="0"/>
                      <w:numId w:val="2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238" w:type="dxa"/>
                  <w:tcBorders>
                    <w:tl2br w:val="nil"/>
                    <w:tr2bl w:val="nil"/>
                  </w:tcBorders>
                  <w:shd w:val="clear" w:color="auto" w:fill="auto"/>
                  <w:vAlign w:val="center"/>
                </w:tcPr>
                <w:p w14:paraId="41EB2DA1">
                  <w:pPr>
                    <w:spacing w:before="51" w:line="232"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乙醇</w:t>
                  </w:r>
                </w:p>
              </w:tc>
              <w:tc>
                <w:tcPr>
                  <w:tcW w:w="1613" w:type="dxa"/>
                  <w:tcBorders>
                    <w:tl2br w:val="nil"/>
                    <w:tr2bl w:val="nil"/>
                  </w:tcBorders>
                  <w:shd w:val="clear" w:color="auto" w:fill="auto"/>
                  <w:vAlign w:val="center"/>
                </w:tcPr>
                <w:p w14:paraId="6B279163">
                  <w:pPr>
                    <w:spacing w:before="87" w:line="195" w:lineRule="auto"/>
                    <w:jc w:val="center"/>
                    <w:rPr>
                      <w:rFonts w:hint="default" w:eastAsia="宋体"/>
                      <w:color w:val="auto"/>
                      <w:spacing w:val="-4"/>
                      <w:szCs w:val="21"/>
                      <w:highlight w:val="none"/>
                      <w:lang w:val="en-US" w:eastAsia="zh-CN"/>
                    </w:rPr>
                  </w:pPr>
                  <w:r>
                    <w:rPr>
                      <w:rFonts w:hint="eastAsia" w:eastAsia="宋体"/>
                      <w:color w:val="auto"/>
                      <w:spacing w:val="-4"/>
                      <w:szCs w:val="21"/>
                      <w:highlight w:val="none"/>
                      <w:lang w:val="en-US" w:eastAsia="zh-CN"/>
                    </w:rPr>
                    <w:t>500ml/瓶</w:t>
                  </w:r>
                </w:p>
              </w:tc>
              <w:tc>
                <w:tcPr>
                  <w:tcW w:w="1720" w:type="dxa"/>
                  <w:tcBorders>
                    <w:tl2br w:val="nil"/>
                    <w:tr2bl w:val="nil"/>
                  </w:tcBorders>
                  <w:shd w:val="clear" w:color="auto" w:fill="auto"/>
                  <w:vAlign w:val="center"/>
                </w:tcPr>
                <w:p w14:paraId="44DE294F">
                  <w:pPr>
                    <w:spacing w:before="87" w:line="195"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w:t>
                  </w:r>
                </w:p>
              </w:tc>
              <w:tc>
                <w:tcPr>
                  <w:tcW w:w="1533" w:type="dxa"/>
                  <w:tcBorders>
                    <w:tl2br w:val="nil"/>
                    <w:tr2bl w:val="nil"/>
                  </w:tcBorders>
                  <w:shd w:val="clear" w:color="auto" w:fill="auto"/>
                  <w:vAlign w:val="center"/>
                </w:tcPr>
                <w:p w14:paraId="79382BC9">
                  <w:pPr>
                    <w:spacing w:before="89"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r>
            <w:tr w14:paraId="622897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0" w:type="dxa"/>
                  <w:tcBorders>
                    <w:tl2br w:val="nil"/>
                    <w:tr2bl w:val="nil"/>
                  </w:tcBorders>
                  <w:vAlign w:val="center"/>
                </w:tcPr>
                <w:p w14:paraId="6EC7BDC5">
                  <w:pPr>
                    <w:numPr>
                      <w:ilvl w:val="0"/>
                      <w:numId w:val="2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238" w:type="dxa"/>
                  <w:tcBorders>
                    <w:tl2br w:val="nil"/>
                    <w:tr2bl w:val="nil"/>
                  </w:tcBorders>
                  <w:shd w:val="clear" w:color="auto" w:fill="auto"/>
                  <w:vAlign w:val="center"/>
                </w:tcPr>
                <w:p w14:paraId="7E52AAA0">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乙酸</w:t>
                  </w:r>
                </w:p>
              </w:tc>
              <w:tc>
                <w:tcPr>
                  <w:tcW w:w="1613" w:type="dxa"/>
                  <w:tcBorders>
                    <w:tl2br w:val="nil"/>
                    <w:tr2bl w:val="nil"/>
                  </w:tcBorders>
                  <w:shd w:val="clear" w:color="auto" w:fill="auto"/>
                  <w:vAlign w:val="center"/>
                </w:tcPr>
                <w:p w14:paraId="362263C2">
                  <w:pPr>
                    <w:spacing w:before="53" w:line="228" w:lineRule="auto"/>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hint="eastAsia" w:eastAsia="宋体"/>
                      <w:color w:val="auto"/>
                      <w:spacing w:val="-4"/>
                      <w:szCs w:val="21"/>
                      <w:highlight w:val="none"/>
                      <w:lang w:val="en-US" w:eastAsia="zh-CN"/>
                    </w:rPr>
                    <w:t>500ml/瓶</w:t>
                  </w:r>
                </w:p>
              </w:tc>
              <w:tc>
                <w:tcPr>
                  <w:tcW w:w="1720" w:type="dxa"/>
                  <w:tcBorders>
                    <w:tl2br w:val="nil"/>
                    <w:tr2bl w:val="nil"/>
                  </w:tcBorders>
                  <w:shd w:val="clear" w:color="auto" w:fill="auto"/>
                  <w:vAlign w:val="center"/>
                </w:tcPr>
                <w:p w14:paraId="6A9140B6">
                  <w:pPr>
                    <w:spacing w:before="53" w:line="228" w:lineRule="auto"/>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10</w:t>
                  </w:r>
                </w:p>
              </w:tc>
              <w:tc>
                <w:tcPr>
                  <w:tcW w:w="1533" w:type="dxa"/>
                  <w:tcBorders>
                    <w:tl2br w:val="nil"/>
                    <w:tr2bl w:val="nil"/>
                  </w:tcBorders>
                  <w:shd w:val="clear" w:color="auto" w:fill="auto"/>
                  <w:vAlign w:val="center"/>
                </w:tcPr>
                <w:p w14:paraId="7156CDA2">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1</w:t>
                  </w:r>
                </w:p>
              </w:tc>
            </w:tr>
            <w:tr w14:paraId="6FC394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0" w:type="dxa"/>
                  <w:tcBorders>
                    <w:tl2br w:val="nil"/>
                    <w:tr2bl w:val="nil"/>
                  </w:tcBorders>
                  <w:vAlign w:val="center"/>
                </w:tcPr>
                <w:p w14:paraId="434F9154">
                  <w:pPr>
                    <w:numPr>
                      <w:ilvl w:val="0"/>
                      <w:numId w:val="2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238" w:type="dxa"/>
                  <w:tcBorders>
                    <w:tl2br w:val="nil"/>
                    <w:tr2bl w:val="nil"/>
                  </w:tcBorders>
                  <w:shd w:val="clear" w:color="auto" w:fill="auto"/>
                  <w:vAlign w:val="center"/>
                </w:tcPr>
                <w:p w14:paraId="071637BB">
                  <w:pPr>
                    <w:spacing w:before="53" w:line="240" w:lineRule="auto"/>
                    <w:jc w:val="center"/>
                    <w:rPr>
                      <w:rFonts w:hint="default" w:ascii="Times New Roman" w:hAnsi="Times New Roman" w:eastAsia="宋体" w:cs="Times New Roman"/>
                      <w:color w:val="auto"/>
                      <w:spacing w:val="6"/>
                      <w:kern w:val="2"/>
                      <w:sz w:val="21"/>
                      <w:szCs w:val="21"/>
                      <w:highlight w:val="none"/>
                      <w:lang w:val="en-US" w:eastAsia="zh-CN" w:bidi="ar-SA"/>
                    </w:rPr>
                  </w:pPr>
                  <w:r>
                    <w:rPr>
                      <w:rFonts w:hint="default"/>
                      <w:color w:val="auto"/>
                      <w:spacing w:val="6"/>
                      <w:szCs w:val="21"/>
                      <w:highlight w:val="none"/>
                    </w:rPr>
                    <w:t>乙酸乙酯</w:t>
                  </w:r>
                </w:p>
              </w:tc>
              <w:tc>
                <w:tcPr>
                  <w:tcW w:w="1613" w:type="dxa"/>
                  <w:tcBorders>
                    <w:tl2br w:val="nil"/>
                    <w:tr2bl w:val="nil"/>
                  </w:tcBorders>
                  <w:shd w:val="clear" w:color="auto" w:fill="auto"/>
                  <w:vAlign w:val="center"/>
                </w:tcPr>
                <w:p w14:paraId="17E3D292">
                  <w:pPr>
                    <w:spacing w:before="53" w:line="228" w:lineRule="auto"/>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hint="eastAsia" w:eastAsia="宋体"/>
                      <w:color w:val="auto"/>
                      <w:spacing w:val="-4"/>
                      <w:szCs w:val="21"/>
                      <w:highlight w:val="none"/>
                      <w:lang w:val="en-US" w:eastAsia="zh-CN"/>
                    </w:rPr>
                    <w:t>500ml/瓶</w:t>
                  </w:r>
                </w:p>
              </w:tc>
              <w:tc>
                <w:tcPr>
                  <w:tcW w:w="1720" w:type="dxa"/>
                  <w:tcBorders>
                    <w:tl2br w:val="nil"/>
                    <w:tr2bl w:val="nil"/>
                  </w:tcBorders>
                  <w:shd w:val="clear" w:color="auto" w:fill="auto"/>
                  <w:vAlign w:val="center"/>
                </w:tcPr>
                <w:p w14:paraId="60EBF7DC">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15</w:t>
                  </w:r>
                </w:p>
              </w:tc>
              <w:tc>
                <w:tcPr>
                  <w:tcW w:w="1533" w:type="dxa"/>
                  <w:tcBorders>
                    <w:tl2br w:val="nil"/>
                    <w:tr2bl w:val="nil"/>
                  </w:tcBorders>
                  <w:shd w:val="clear" w:color="auto" w:fill="auto"/>
                  <w:vAlign w:val="center"/>
                </w:tcPr>
                <w:p w14:paraId="61EB5C7A">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1</w:t>
                  </w:r>
                </w:p>
              </w:tc>
            </w:tr>
            <w:tr w14:paraId="5300FD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0" w:type="dxa"/>
                  <w:tcBorders>
                    <w:tl2br w:val="nil"/>
                    <w:tr2bl w:val="nil"/>
                  </w:tcBorders>
                  <w:vAlign w:val="center"/>
                </w:tcPr>
                <w:p w14:paraId="49ACF05F">
                  <w:pPr>
                    <w:numPr>
                      <w:ilvl w:val="0"/>
                      <w:numId w:val="2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238" w:type="dxa"/>
                  <w:tcBorders>
                    <w:tl2br w:val="nil"/>
                    <w:tr2bl w:val="nil"/>
                  </w:tcBorders>
                  <w:shd w:val="clear" w:color="auto" w:fill="auto"/>
                  <w:vAlign w:val="center"/>
                </w:tcPr>
                <w:p w14:paraId="10ECBA60">
                  <w:pPr>
                    <w:spacing w:before="51" w:line="240" w:lineRule="auto"/>
                    <w:jc w:val="center"/>
                    <w:rPr>
                      <w:rFonts w:hint="default" w:ascii="Times New Roman" w:hAnsi="Times New Roman" w:eastAsia="宋体" w:cs="Times New Roman"/>
                      <w:color w:val="auto"/>
                      <w:kern w:val="2"/>
                      <w:sz w:val="21"/>
                      <w:szCs w:val="21"/>
                      <w:highlight w:val="none"/>
                      <w:lang w:val="en-US" w:eastAsia="zh-CN" w:bidi="ar-SA"/>
                    </w:rPr>
                  </w:pPr>
                  <w:r>
                    <w:rPr>
                      <w:color w:val="auto"/>
                      <w:spacing w:val="-6"/>
                      <w:szCs w:val="21"/>
                      <w:highlight w:val="none"/>
                    </w:rPr>
                    <w:t>乙</w:t>
                  </w:r>
                  <w:r>
                    <w:rPr>
                      <w:color w:val="auto"/>
                      <w:spacing w:val="-5"/>
                      <w:szCs w:val="21"/>
                      <w:highlight w:val="none"/>
                    </w:rPr>
                    <w:t>醚</w:t>
                  </w:r>
                </w:p>
              </w:tc>
              <w:tc>
                <w:tcPr>
                  <w:tcW w:w="1613" w:type="dxa"/>
                  <w:tcBorders>
                    <w:tl2br w:val="nil"/>
                    <w:tr2bl w:val="nil"/>
                  </w:tcBorders>
                  <w:shd w:val="clear" w:color="auto" w:fill="auto"/>
                  <w:vAlign w:val="center"/>
                </w:tcPr>
                <w:p w14:paraId="46263B0F">
                  <w:pPr>
                    <w:spacing w:before="53" w:line="228" w:lineRule="auto"/>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hint="eastAsia" w:eastAsia="宋体"/>
                      <w:color w:val="auto"/>
                      <w:spacing w:val="-4"/>
                      <w:szCs w:val="21"/>
                      <w:highlight w:val="none"/>
                      <w:lang w:val="en-US" w:eastAsia="zh-CN"/>
                    </w:rPr>
                    <w:t>500ml/瓶</w:t>
                  </w:r>
                </w:p>
              </w:tc>
              <w:tc>
                <w:tcPr>
                  <w:tcW w:w="1720" w:type="dxa"/>
                  <w:tcBorders>
                    <w:tl2br w:val="nil"/>
                    <w:tr2bl w:val="nil"/>
                  </w:tcBorders>
                  <w:shd w:val="clear" w:color="auto" w:fill="auto"/>
                  <w:vAlign w:val="center"/>
                </w:tcPr>
                <w:p w14:paraId="6EB62F65">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15</w:t>
                  </w:r>
                </w:p>
              </w:tc>
              <w:tc>
                <w:tcPr>
                  <w:tcW w:w="1533" w:type="dxa"/>
                  <w:tcBorders>
                    <w:tl2br w:val="nil"/>
                    <w:tr2bl w:val="nil"/>
                  </w:tcBorders>
                  <w:shd w:val="clear" w:color="auto" w:fill="auto"/>
                  <w:vAlign w:val="center"/>
                </w:tcPr>
                <w:p w14:paraId="75748E13">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1</w:t>
                  </w:r>
                </w:p>
              </w:tc>
            </w:tr>
            <w:tr w14:paraId="5E88DA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0" w:type="dxa"/>
                  <w:tcBorders>
                    <w:tl2br w:val="nil"/>
                    <w:tr2bl w:val="nil"/>
                  </w:tcBorders>
                  <w:vAlign w:val="center"/>
                </w:tcPr>
                <w:p w14:paraId="6716C58A">
                  <w:pPr>
                    <w:numPr>
                      <w:ilvl w:val="0"/>
                      <w:numId w:val="2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238" w:type="dxa"/>
                  <w:tcBorders>
                    <w:tl2br w:val="nil"/>
                    <w:tr2bl w:val="nil"/>
                  </w:tcBorders>
                  <w:shd w:val="clear" w:color="auto" w:fill="auto"/>
                  <w:vAlign w:val="center"/>
                </w:tcPr>
                <w:p w14:paraId="6B727961">
                  <w:pPr>
                    <w:spacing w:before="51" w:line="240" w:lineRule="auto"/>
                    <w:jc w:val="center"/>
                    <w:rPr>
                      <w:rFonts w:hint="default" w:eastAsia="宋体"/>
                      <w:color w:val="auto"/>
                      <w:spacing w:val="-6"/>
                      <w:szCs w:val="21"/>
                      <w:highlight w:val="none"/>
                      <w:lang w:val="en-US" w:eastAsia="zh-CN"/>
                    </w:rPr>
                  </w:pPr>
                  <w:r>
                    <w:rPr>
                      <w:rFonts w:hint="eastAsia"/>
                      <w:color w:val="auto"/>
                      <w:spacing w:val="-6"/>
                      <w:szCs w:val="21"/>
                      <w:highlight w:val="none"/>
                      <w:lang w:val="en-US" w:eastAsia="zh-CN"/>
                    </w:rPr>
                    <w:t>正己烷</w:t>
                  </w:r>
                </w:p>
              </w:tc>
              <w:tc>
                <w:tcPr>
                  <w:tcW w:w="1613" w:type="dxa"/>
                  <w:tcBorders>
                    <w:tl2br w:val="nil"/>
                    <w:tr2bl w:val="nil"/>
                  </w:tcBorders>
                  <w:shd w:val="clear" w:color="auto" w:fill="auto"/>
                  <w:vAlign w:val="center"/>
                </w:tcPr>
                <w:p w14:paraId="084D8B13">
                  <w:pPr>
                    <w:spacing w:before="53" w:line="228" w:lineRule="auto"/>
                    <w:jc w:val="center"/>
                    <w:rPr>
                      <w:rFonts w:hint="eastAsia" w:eastAsia="宋体"/>
                      <w:color w:val="auto"/>
                      <w:spacing w:val="-4"/>
                      <w:szCs w:val="21"/>
                      <w:highlight w:val="none"/>
                      <w:lang w:val="en-US" w:eastAsia="zh-CN"/>
                    </w:rPr>
                  </w:pPr>
                  <w:r>
                    <w:rPr>
                      <w:rFonts w:hint="eastAsia" w:eastAsia="宋体"/>
                      <w:color w:val="auto"/>
                      <w:spacing w:val="-4"/>
                      <w:szCs w:val="21"/>
                      <w:highlight w:val="none"/>
                      <w:lang w:val="en-US" w:eastAsia="zh-CN"/>
                    </w:rPr>
                    <w:t>4L/瓶</w:t>
                  </w:r>
                </w:p>
              </w:tc>
              <w:tc>
                <w:tcPr>
                  <w:tcW w:w="1720" w:type="dxa"/>
                  <w:tcBorders>
                    <w:tl2br w:val="nil"/>
                    <w:tr2bl w:val="nil"/>
                  </w:tcBorders>
                  <w:shd w:val="clear" w:color="auto" w:fill="auto"/>
                  <w:vAlign w:val="center"/>
                </w:tcPr>
                <w:p w14:paraId="00C2C368">
                  <w:pPr>
                    <w:spacing w:before="53" w:line="228" w:lineRule="auto"/>
                    <w:jc w:val="center"/>
                    <w:rPr>
                      <w:rFonts w:hint="default"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20</w:t>
                  </w:r>
                </w:p>
              </w:tc>
              <w:tc>
                <w:tcPr>
                  <w:tcW w:w="1533" w:type="dxa"/>
                  <w:tcBorders>
                    <w:tl2br w:val="nil"/>
                    <w:tr2bl w:val="nil"/>
                  </w:tcBorders>
                  <w:shd w:val="clear" w:color="auto" w:fill="auto"/>
                  <w:vAlign w:val="center"/>
                </w:tcPr>
                <w:p w14:paraId="601CF39E">
                  <w:pPr>
                    <w:numPr>
                      <w:ilvl w:val="0"/>
                      <w:numId w:val="0"/>
                    </w:numPr>
                    <w:spacing w:line="240" w:lineRule="auto"/>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w:t>
                  </w:r>
                </w:p>
              </w:tc>
            </w:tr>
            <w:tr w14:paraId="1DF8D0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0" w:type="dxa"/>
                  <w:tcBorders>
                    <w:tl2br w:val="nil"/>
                    <w:tr2bl w:val="nil"/>
                  </w:tcBorders>
                  <w:vAlign w:val="center"/>
                </w:tcPr>
                <w:p w14:paraId="50A6A8A3">
                  <w:pPr>
                    <w:numPr>
                      <w:ilvl w:val="0"/>
                      <w:numId w:val="2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238" w:type="dxa"/>
                  <w:tcBorders>
                    <w:tl2br w:val="nil"/>
                    <w:tr2bl w:val="nil"/>
                  </w:tcBorders>
                  <w:shd w:val="clear" w:color="auto" w:fill="auto"/>
                  <w:vAlign w:val="center"/>
                </w:tcPr>
                <w:p w14:paraId="55F48D0D">
                  <w:pPr>
                    <w:spacing w:before="51" w:line="240" w:lineRule="auto"/>
                    <w:jc w:val="center"/>
                    <w:rPr>
                      <w:rFonts w:hint="default"/>
                      <w:color w:val="auto"/>
                      <w:spacing w:val="-6"/>
                      <w:szCs w:val="21"/>
                      <w:highlight w:val="none"/>
                      <w:lang w:val="en-US" w:eastAsia="zh-CN"/>
                    </w:rPr>
                  </w:pPr>
                  <w:r>
                    <w:rPr>
                      <w:rFonts w:hint="eastAsia"/>
                      <w:color w:val="auto"/>
                      <w:spacing w:val="-6"/>
                      <w:szCs w:val="21"/>
                      <w:highlight w:val="none"/>
                      <w:lang w:val="en-US" w:eastAsia="zh-CN"/>
                    </w:rPr>
                    <w:t>丙酮</w:t>
                  </w:r>
                </w:p>
              </w:tc>
              <w:tc>
                <w:tcPr>
                  <w:tcW w:w="1613" w:type="dxa"/>
                  <w:tcBorders>
                    <w:tl2br w:val="nil"/>
                    <w:tr2bl w:val="nil"/>
                  </w:tcBorders>
                  <w:shd w:val="clear" w:color="auto" w:fill="auto"/>
                  <w:vAlign w:val="center"/>
                </w:tcPr>
                <w:p w14:paraId="2521CB73">
                  <w:pPr>
                    <w:spacing w:before="53" w:line="228" w:lineRule="auto"/>
                    <w:jc w:val="center"/>
                    <w:rPr>
                      <w:rFonts w:hint="eastAsia" w:eastAsia="宋体"/>
                      <w:color w:val="auto"/>
                      <w:spacing w:val="-4"/>
                      <w:szCs w:val="21"/>
                      <w:highlight w:val="none"/>
                      <w:lang w:val="en-US" w:eastAsia="zh-CN"/>
                    </w:rPr>
                  </w:pPr>
                  <w:r>
                    <w:rPr>
                      <w:rFonts w:hint="eastAsia" w:eastAsia="宋体"/>
                      <w:color w:val="auto"/>
                      <w:spacing w:val="-4"/>
                      <w:szCs w:val="21"/>
                      <w:highlight w:val="none"/>
                      <w:lang w:val="en-US" w:eastAsia="zh-CN"/>
                    </w:rPr>
                    <w:t>4L/瓶</w:t>
                  </w:r>
                </w:p>
              </w:tc>
              <w:tc>
                <w:tcPr>
                  <w:tcW w:w="1720" w:type="dxa"/>
                  <w:tcBorders>
                    <w:tl2br w:val="nil"/>
                    <w:tr2bl w:val="nil"/>
                  </w:tcBorders>
                  <w:shd w:val="clear" w:color="auto" w:fill="auto"/>
                  <w:vAlign w:val="center"/>
                </w:tcPr>
                <w:p w14:paraId="0AC02E88">
                  <w:pPr>
                    <w:spacing w:before="53" w:line="228" w:lineRule="auto"/>
                    <w:jc w:val="center"/>
                    <w:rPr>
                      <w:rFonts w:hint="default"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12</w:t>
                  </w:r>
                </w:p>
              </w:tc>
              <w:tc>
                <w:tcPr>
                  <w:tcW w:w="1533" w:type="dxa"/>
                  <w:tcBorders>
                    <w:tl2br w:val="nil"/>
                    <w:tr2bl w:val="nil"/>
                  </w:tcBorders>
                  <w:shd w:val="clear" w:color="auto" w:fill="auto"/>
                  <w:vAlign w:val="center"/>
                </w:tcPr>
                <w:p w14:paraId="5E76D7A5">
                  <w:pPr>
                    <w:numPr>
                      <w:ilvl w:val="0"/>
                      <w:numId w:val="0"/>
                    </w:numPr>
                    <w:spacing w:line="240" w:lineRule="auto"/>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w:t>
                  </w:r>
                </w:p>
              </w:tc>
            </w:tr>
            <w:tr w14:paraId="55E530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0" w:type="dxa"/>
                  <w:tcBorders>
                    <w:tl2br w:val="nil"/>
                    <w:tr2bl w:val="nil"/>
                  </w:tcBorders>
                  <w:vAlign w:val="center"/>
                </w:tcPr>
                <w:p w14:paraId="7971AD83">
                  <w:pPr>
                    <w:numPr>
                      <w:ilvl w:val="0"/>
                      <w:numId w:val="2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238" w:type="dxa"/>
                  <w:tcBorders>
                    <w:tl2br w:val="nil"/>
                    <w:tr2bl w:val="nil"/>
                  </w:tcBorders>
                  <w:shd w:val="clear" w:color="auto" w:fill="auto"/>
                  <w:vAlign w:val="center"/>
                </w:tcPr>
                <w:p w14:paraId="21C17956">
                  <w:pPr>
                    <w:spacing w:before="53" w:line="226"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氢氧化钠</w:t>
                  </w:r>
                </w:p>
              </w:tc>
              <w:tc>
                <w:tcPr>
                  <w:tcW w:w="1613" w:type="dxa"/>
                  <w:tcBorders>
                    <w:tl2br w:val="nil"/>
                    <w:tr2bl w:val="nil"/>
                  </w:tcBorders>
                  <w:shd w:val="clear" w:color="auto" w:fill="auto"/>
                  <w:vAlign w:val="center"/>
                </w:tcPr>
                <w:p w14:paraId="579C4C5B">
                  <w:pPr>
                    <w:spacing w:before="87" w:line="195" w:lineRule="auto"/>
                    <w:jc w:val="center"/>
                    <w:rPr>
                      <w:rFonts w:hint="default" w:eastAsia="宋体"/>
                      <w:color w:val="auto"/>
                      <w:spacing w:val="-4"/>
                      <w:szCs w:val="21"/>
                      <w:highlight w:val="none"/>
                      <w:lang w:val="en-US" w:eastAsia="zh-CN"/>
                    </w:rPr>
                  </w:pPr>
                  <w:r>
                    <w:rPr>
                      <w:rFonts w:hint="eastAsia" w:eastAsia="Times New Roman" w:cs="Times New Roman"/>
                      <w:color w:val="auto"/>
                      <w:spacing w:val="6"/>
                      <w:kern w:val="2"/>
                      <w:sz w:val="21"/>
                      <w:szCs w:val="21"/>
                      <w:highlight w:val="none"/>
                      <w:lang w:val="en-US" w:eastAsia="zh-CN" w:bidi="ar-SA"/>
                    </w:rPr>
                    <w:t>500g/瓶</w:t>
                  </w:r>
                </w:p>
              </w:tc>
              <w:tc>
                <w:tcPr>
                  <w:tcW w:w="1720" w:type="dxa"/>
                  <w:tcBorders>
                    <w:tl2br w:val="nil"/>
                    <w:tr2bl w:val="nil"/>
                  </w:tcBorders>
                  <w:shd w:val="clear" w:color="auto" w:fill="auto"/>
                  <w:vAlign w:val="center"/>
                </w:tcPr>
                <w:p w14:paraId="3B0A99BA">
                  <w:pPr>
                    <w:spacing w:before="87" w:line="195" w:lineRule="auto"/>
                    <w:jc w:val="center"/>
                    <w:rPr>
                      <w:rFonts w:hint="default" w:eastAsia="宋体"/>
                      <w:color w:val="auto"/>
                      <w:spacing w:val="-4"/>
                      <w:szCs w:val="21"/>
                      <w:highlight w:val="none"/>
                      <w:lang w:val="en-US" w:eastAsia="zh-CN"/>
                    </w:rPr>
                  </w:pPr>
                  <w:r>
                    <w:rPr>
                      <w:rFonts w:hint="eastAsia"/>
                      <w:color w:val="auto"/>
                      <w:spacing w:val="-4"/>
                      <w:szCs w:val="21"/>
                      <w:highlight w:val="none"/>
                      <w:lang w:val="en-US" w:eastAsia="zh-CN"/>
                    </w:rPr>
                    <w:t>30</w:t>
                  </w:r>
                </w:p>
              </w:tc>
              <w:tc>
                <w:tcPr>
                  <w:tcW w:w="1533" w:type="dxa"/>
                  <w:tcBorders>
                    <w:tl2br w:val="nil"/>
                    <w:tr2bl w:val="nil"/>
                  </w:tcBorders>
                  <w:shd w:val="clear" w:color="auto" w:fill="auto"/>
                  <w:vAlign w:val="center"/>
                </w:tcPr>
                <w:p w14:paraId="1B02600D">
                  <w:pPr>
                    <w:spacing w:before="88"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14:paraId="0328DA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0" w:type="dxa"/>
                  <w:tcBorders>
                    <w:tl2br w:val="nil"/>
                    <w:tr2bl w:val="nil"/>
                  </w:tcBorders>
                  <w:vAlign w:val="center"/>
                </w:tcPr>
                <w:p w14:paraId="1007F297">
                  <w:pPr>
                    <w:numPr>
                      <w:ilvl w:val="0"/>
                      <w:numId w:val="2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238" w:type="dxa"/>
                  <w:tcBorders>
                    <w:tl2br w:val="nil"/>
                    <w:tr2bl w:val="nil"/>
                  </w:tcBorders>
                  <w:shd w:val="clear" w:color="auto" w:fill="auto"/>
                  <w:vAlign w:val="center"/>
                </w:tcPr>
                <w:p w14:paraId="5A83AAD8">
                  <w:pPr>
                    <w:spacing w:before="53" w:line="264"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草酸</w:t>
                  </w:r>
                </w:p>
              </w:tc>
              <w:tc>
                <w:tcPr>
                  <w:tcW w:w="1613" w:type="dxa"/>
                  <w:tcBorders>
                    <w:tl2br w:val="nil"/>
                    <w:tr2bl w:val="nil"/>
                  </w:tcBorders>
                  <w:shd w:val="clear" w:color="auto" w:fill="auto"/>
                  <w:vAlign w:val="center"/>
                </w:tcPr>
                <w:p w14:paraId="117B89DC">
                  <w:pPr>
                    <w:spacing w:before="87" w:line="195" w:lineRule="auto"/>
                    <w:jc w:val="center"/>
                    <w:rPr>
                      <w:rFonts w:hint="default" w:eastAsia="宋体"/>
                      <w:color w:val="auto"/>
                      <w:spacing w:val="-4"/>
                      <w:szCs w:val="21"/>
                      <w:highlight w:val="none"/>
                      <w:lang w:val="en-US" w:eastAsia="zh-CN"/>
                    </w:rPr>
                  </w:pPr>
                  <w:r>
                    <w:rPr>
                      <w:rFonts w:hint="eastAsia" w:eastAsia="宋体"/>
                      <w:color w:val="auto"/>
                      <w:spacing w:val="-4"/>
                      <w:szCs w:val="21"/>
                      <w:highlight w:val="none"/>
                      <w:lang w:val="en-US" w:eastAsia="zh-CN"/>
                    </w:rPr>
                    <w:t>500ml/瓶</w:t>
                  </w:r>
                </w:p>
              </w:tc>
              <w:tc>
                <w:tcPr>
                  <w:tcW w:w="1720" w:type="dxa"/>
                  <w:tcBorders>
                    <w:tl2br w:val="nil"/>
                    <w:tr2bl w:val="nil"/>
                  </w:tcBorders>
                  <w:shd w:val="clear" w:color="auto" w:fill="auto"/>
                  <w:vAlign w:val="center"/>
                </w:tcPr>
                <w:p w14:paraId="73692AE9">
                  <w:pPr>
                    <w:spacing w:before="87" w:line="195" w:lineRule="auto"/>
                    <w:jc w:val="center"/>
                    <w:rPr>
                      <w:rFonts w:hint="default" w:eastAsia="宋体"/>
                      <w:color w:val="auto"/>
                      <w:spacing w:val="-4"/>
                      <w:szCs w:val="21"/>
                      <w:highlight w:val="none"/>
                      <w:lang w:val="en-US" w:eastAsia="zh-CN"/>
                    </w:rPr>
                  </w:pPr>
                  <w:r>
                    <w:rPr>
                      <w:rFonts w:hint="eastAsia"/>
                      <w:color w:val="auto"/>
                      <w:spacing w:val="-4"/>
                      <w:szCs w:val="21"/>
                      <w:highlight w:val="none"/>
                      <w:lang w:val="en-US" w:eastAsia="zh-CN"/>
                    </w:rPr>
                    <w:t>3</w:t>
                  </w:r>
                </w:p>
              </w:tc>
              <w:tc>
                <w:tcPr>
                  <w:tcW w:w="1533" w:type="dxa"/>
                  <w:tcBorders>
                    <w:tl2br w:val="nil"/>
                    <w:tr2bl w:val="nil"/>
                  </w:tcBorders>
                  <w:shd w:val="clear" w:color="auto" w:fill="auto"/>
                  <w:vAlign w:val="center"/>
                </w:tcPr>
                <w:p w14:paraId="54BBDE19">
                  <w:pPr>
                    <w:spacing w:before="88"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r>
            <w:tr w14:paraId="7429E8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0" w:type="dxa"/>
                  <w:tcBorders>
                    <w:tl2br w:val="nil"/>
                    <w:tr2bl w:val="nil"/>
                  </w:tcBorders>
                  <w:vAlign w:val="center"/>
                </w:tcPr>
                <w:p w14:paraId="3E25A6D8">
                  <w:pPr>
                    <w:numPr>
                      <w:ilvl w:val="0"/>
                      <w:numId w:val="2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238" w:type="dxa"/>
                  <w:tcBorders>
                    <w:tl2br w:val="nil"/>
                    <w:tr2bl w:val="nil"/>
                  </w:tcBorders>
                  <w:shd w:val="clear" w:color="auto" w:fill="auto"/>
                  <w:vAlign w:val="center"/>
                </w:tcPr>
                <w:p w14:paraId="790C321B">
                  <w:pPr>
                    <w:spacing w:before="53" w:line="262"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高锰酸钾</w:t>
                  </w:r>
                </w:p>
              </w:tc>
              <w:tc>
                <w:tcPr>
                  <w:tcW w:w="1613" w:type="dxa"/>
                  <w:tcBorders>
                    <w:tl2br w:val="nil"/>
                    <w:tr2bl w:val="nil"/>
                  </w:tcBorders>
                  <w:shd w:val="clear" w:color="auto" w:fill="auto"/>
                  <w:vAlign w:val="center"/>
                </w:tcPr>
                <w:p w14:paraId="012B1942">
                  <w:pPr>
                    <w:spacing w:before="87" w:line="195" w:lineRule="auto"/>
                    <w:jc w:val="center"/>
                    <w:rPr>
                      <w:rFonts w:hint="default" w:eastAsia="宋体"/>
                      <w:color w:val="auto"/>
                      <w:spacing w:val="-4"/>
                      <w:szCs w:val="21"/>
                      <w:highlight w:val="none"/>
                      <w:lang w:val="en-US" w:eastAsia="zh-CN"/>
                    </w:rPr>
                  </w:pPr>
                  <w:r>
                    <w:rPr>
                      <w:rFonts w:hint="eastAsia" w:eastAsia="Times New Roman" w:cs="Times New Roman"/>
                      <w:color w:val="auto"/>
                      <w:spacing w:val="6"/>
                      <w:kern w:val="2"/>
                      <w:sz w:val="21"/>
                      <w:szCs w:val="21"/>
                      <w:highlight w:val="none"/>
                      <w:lang w:val="en-US" w:eastAsia="zh-CN" w:bidi="ar-SA"/>
                    </w:rPr>
                    <w:t>500g/瓶</w:t>
                  </w:r>
                </w:p>
              </w:tc>
              <w:tc>
                <w:tcPr>
                  <w:tcW w:w="1720" w:type="dxa"/>
                  <w:tcBorders>
                    <w:tl2br w:val="nil"/>
                    <w:tr2bl w:val="nil"/>
                  </w:tcBorders>
                  <w:shd w:val="clear" w:color="auto" w:fill="auto"/>
                  <w:vAlign w:val="center"/>
                </w:tcPr>
                <w:p w14:paraId="4E8DC97E">
                  <w:pPr>
                    <w:spacing w:before="87" w:line="195" w:lineRule="auto"/>
                    <w:jc w:val="center"/>
                    <w:rPr>
                      <w:rFonts w:hint="default" w:eastAsia="宋体"/>
                      <w:color w:val="auto"/>
                      <w:spacing w:val="-4"/>
                      <w:szCs w:val="21"/>
                      <w:highlight w:val="none"/>
                      <w:lang w:val="en-US" w:eastAsia="zh-CN"/>
                    </w:rPr>
                  </w:pPr>
                  <w:r>
                    <w:rPr>
                      <w:rFonts w:hint="eastAsia"/>
                      <w:color w:val="auto"/>
                      <w:spacing w:val="-4"/>
                      <w:szCs w:val="21"/>
                      <w:highlight w:val="none"/>
                      <w:lang w:val="en-US" w:eastAsia="zh-CN"/>
                    </w:rPr>
                    <w:t>2</w:t>
                  </w:r>
                </w:p>
              </w:tc>
              <w:tc>
                <w:tcPr>
                  <w:tcW w:w="1533" w:type="dxa"/>
                  <w:tcBorders>
                    <w:tl2br w:val="nil"/>
                    <w:tr2bl w:val="nil"/>
                  </w:tcBorders>
                  <w:shd w:val="clear" w:color="auto" w:fill="auto"/>
                  <w:vAlign w:val="center"/>
                </w:tcPr>
                <w:p w14:paraId="77C6FF9A">
                  <w:pPr>
                    <w:spacing w:before="88"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r>
            <w:tr w14:paraId="22B340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0" w:type="dxa"/>
                  <w:tcBorders>
                    <w:tl2br w:val="nil"/>
                    <w:tr2bl w:val="nil"/>
                  </w:tcBorders>
                  <w:vAlign w:val="center"/>
                </w:tcPr>
                <w:p w14:paraId="1AB0BC6C">
                  <w:pPr>
                    <w:numPr>
                      <w:ilvl w:val="0"/>
                      <w:numId w:val="2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238" w:type="dxa"/>
                  <w:tcBorders>
                    <w:tl2br w:val="nil"/>
                    <w:tr2bl w:val="nil"/>
                  </w:tcBorders>
                  <w:shd w:val="clear" w:color="auto" w:fill="auto"/>
                  <w:vAlign w:val="center"/>
                </w:tcPr>
                <w:p w14:paraId="401D29DC">
                  <w:pPr>
                    <w:spacing w:before="53" w:line="22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过氧化氢</w:t>
                  </w:r>
                </w:p>
              </w:tc>
              <w:tc>
                <w:tcPr>
                  <w:tcW w:w="1613" w:type="dxa"/>
                  <w:tcBorders>
                    <w:tl2br w:val="nil"/>
                    <w:tr2bl w:val="nil"/>
                  </w:tcBorders>
                  <w:shd w:val="clear" w:color="auto" w:fill="auto"/>
                  <w:vAlign w:val="center"/>
                </w:tcPr>
                <w:p w14:paraId="071890E2">
                  <w:pPr>
                    <w:spacing w:before="87" w:line="195" w:lineRule="auto"/>
                    <w:jc w:val="center"/>
                    <w:rPr>
                      <w:rFonts w:hint="default" w:eastAsia="宋体"/>
                      <w:color w:val="auto"/>
                      <w:spacing w:val="-4"/>
                      <w:szCs w:val="21"/>
                      <w:highlight w:val="none"/>
                      <w:lang w:val="en-US" w:eastAsia="zh-CN"/>
                    </w:rPr>
                  </w:pPr>
                  <w:r>
                    <w:rPr>
                      <w:rFonts w:hint="eastAsia" w:eastAsia="宋体"/>
                      <w:color w:val="auto"/>
                      <w:spacing w:val="-4"/>
                      <w:szCs w:val="21"/>
                      <w:highlight w:val="none"/>
                      <w:lang w:val="en-US" w:eastAsia="zh-CN"/>
                    </w:rPr>
                    <w:t>500ml/瓶</w:t>
                  </w:r>
                </w:p>
              </w:tc>
              <w:tc>
                <w:tcPr>
                  <w:tcW w:w="1720" w:type="dxa"/>
                  <w:tcBorders>
                    <w:tl2br w:val="nil"/>
                    <w:tr2bl w:val="nil"/>
                  </w:tcBorders>
                  <w:shd w:val="clear" w:color="auto" w:fill="auto"/>
                  <w:vAlign w:val="center"/>
                </w:tcPr>
                <w:p w14:paraId="759DB6C9">
                  <w:pPr>
                    <w:spacing w:before="87" w:line="195" w:lineRule="auto"/>
                    <w:jc w:val="center"/>
                    <w:rPr>
                      <w:rFonts w:hint="default" w:eastAsia="宋体"/>
                      <w:color w:val="auto"/>
                      <w:spacing w:val="-4"/>
                      <w:szCs w:val="21"/>
                      <w:highlight w:val="none"/>
                      <w:lang w:val="en-US" w:eastAsia="zh-CN"/>
                    </w:rPr>
                  </w:pPr>
                  <w:r>
                    <w:rPr>
                      <w:rFonts w:hint="eastAsia"/>
                      <w:color w:val="auto"/>
                      <w:spacing w:val="-4"/>
                      <w:szCs w:val="21"/>
                      <w:highlight w:val="none"/>
                      <w:lang w:val="en-US" w:eastAsia="zh-CN"/>
                    </w:rPr>
                    <w:t>6</w:t>
                  </w:r>
                </w:p>
              </w:tc>
              <w:tc>
                <w:tcPr>
                  <w:tcW w:w="1533" w:type="dxa"/>
                  <w:tcBorders>
                    <w:tl2br w:val="nil"/>
                    <w:tr2bl w:val="nil"/>
                  </w:tcBorders>
                  <w:shd w:val="clear" w:color="auto" w:fill="auto"/>
                  <w:vAlign w:val="center"/>
                </w:tcPr>
                <w:p w14:paraId="552A1A82">
                  <w:pPr>
                    <w:spacing w:before="88"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r>
            <w:tr w14:paraId="706F67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0" w:type="dxa"/>
                  <w:tcBorders>
                    <w:tl2br w:val="nil"/>
                    <w:tr2bl w:val="nil"/>
                  </w:tcBorders>
                  <w:vAlign w:val="center"/>
                </w:tcPr>
                <w:p w14:paraId="44F94D8C">
                  <w:pPr>
                    <w:numPr>
                      <w:ilvl w:val="0"/>
                      <w:numId w:val="2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238" w:type="dxa"/>
                  <w:tcBorders>
                    <w:tl2br w:val="nil"/>
                    <w:tr2bl w:val="nil"/>
                  </w:tcBorders>
                  <w:shd w:val="clear" w:color="auto" w:fill="auto"/>
                  <w:vAlign w:val="center"/>
                </w:tcPr>
                <w:p w14:paraId="74782969">
                  <w:pPr>
                    <w:spacing w:before="52" w:line="229"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铬酸钾</w:t>
                  </w:r>
                </w:p>
              </w:tc>
              <w:tc>
                <w:tcPr>
                  <w:tcW w:w="1613" w:type="dxa"/>
                  <w:tcBorders>
                    <w:tl2br w:val="nil"/>
                    <w:tr2bl w:val="nil"/>
                  </w:tcBorders>
                  <w:shd w:val="clear" w:color="auto" w:fill="auto"/>
                  <w:vAlign w:val="center"/>
                </w:tcPr>
                <w:p w14:paraId="5E1F31F2">
                  <w:pPr>
                    <w:spacing w:before="87" w:line="195" w:lineRule="auto"/>
                    <w:jc w:val="center"/>
                    <w:rPr>
                      <w:rFonts w:hint="default" w:eastAsia="宋体"/>
                      <w:color w:val="auto"/>
                      <w:spacing w:val="-4"/>
                      <w:szCs w:val="21"/>
                      <w:highlight w:val="none"/>
                      <w:lang w:val="en-US" w:eastAsia="zh-CN"/>
                    </w:rPr>
                  </w:pPr>
                  <w:r>
                    <w:rPr>
                      <w:rFonts w:hint="eastAsia" w:eastAsia="Times New Roman" w:cs="Times New Roman"/>
                      <w:color w:val="auto"/>
                      <w:spacing w:val="6"/>
                      <w:kern w:val="2"/>
                      <w:sz w:val="21"/>
                      <w:szCs w:val="21"/>
                      <w:highlight w:val="none"/>
                      <w:lang w:val="en-US" w:eastAsia="zh-CN" w:bidi="ar-SA"/>
                    </w:rPr>
                    <w:t>500g/瓶</w:t>
                  </w:r>
                </w:p>
              </w:tc>
              <w:tc>
                <w:tcPr>
                  <w:tcW w:w="1720" w:type="dxa"/>
                  <w:tcBorders>
                    <w:tl2br w:val="nil"/>
                    <w:tr2bl w:val="nil"/>
                  </w:tcBorders>
                  <w:shd w:val="clear" w:color="auto" w:fill="auto"/>
                  <w:vAlign w:val="center"/>
                </w:tcPr>
                <w:p w14:paraId="312458A0">
                  <w:pPr>
                    <w:spacing w:before="87" w:line="195" w:lineRule="auto"/>
                    <w:jc w:val="center"/>
                    <w:rPr>
                      <w:rFonts w:hint="default" w:eastAsia="宋体"/>
                      <w:color w:val="auto"/>
                      <w:spacing w:val="-4"/>
                      <w:szCs w:val="21"/>
                      <w:highlight w:val="none"/>
                      <w:lang w:val="en-US" w:eastAsia="zh-CN"/>
                    </w:rPr>
                  </w:pPr>
                  <w:r>
                    <w:rPr>
                      <w:rFonts w:hint="eastAsia"/>
                      <w:color w:val="auto"/>
                      <w:spacing w:val="-4"/>
                      <w:szCs w:val="21"/>
                      <w:highlight w:val="none"/>
                      <w:lang w:val="en-US" w:eastAsia="zh-CN"/>
                    </w:rPr>
                    <w:t>3</w:t>
                  </w:r>
                </w:p>
              </w:tc>
              <w:tc>
                <w:tcPr>
                  <w:tcW w:w="1533" w:type="dxa"/>
                  <w:tcBorders>
                    <w:tl2br w:val="nil"/>
                    <w:tr2bl w:val="nil"/>
                  </w:tcBorders>
                  <w:shd w:val="clear" w:color="auto" w:fill="auto"/>
                  <w:vAlign w:val="center"/>
                </w:tcPr>
                <w:p w14:paraId="30BF4983">
                  <w:pPr>
                    <w:spacing w:before="88"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r>
            <w:tr w14:paraId="52A58F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0" w:type="dxa"/>
                  <w:tcBorders>
                    <w:tl2br w:val="nil"/>
                    <w:tr2bl w:val="nil"/>
                  </w:tcBorders>
                  <w:vAlign w:val="center"/>
                </w:tcPr>
                <w:p w14:paraId="28F82037">
                  <w:pPr>
                    <w:numPr>
                      <w:ilvl w:val="0"/>
                      <w:numId w:val="2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238" w:type="dxa"/>
                  <w:tcBorders>
                    <w:tl2br w:val="nil"/>
                    <w:tr2bl w:val="nil"/>
                  </w:tcBorders>
                  <w:shd w:val="clear" w:color="auto" w:fill="auto"/>
                  <w:vAlign w:val="center"/>
                </w:tcPr>
                <w:p w14:paraId="22FD01EC">
                  <w:pPr>
                    <w:spacing w:before="55" w:line="228" w:lineRule="auto"/>
                    <w:jc w:val="center"/>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酚酞</w:t>
                  </w:r>
                </w:p>
              </w:tc>
              <w:tc>
                <w:tcPr>
                  <w:tcW w:w="1613" w:type="dxa"/>
                  <w:tcBorders>
                    <w:tl2br w:val="nil"/>
                    <w:tr2bl w:val="nil"/>
                  </w:tcBorders>
                  <w:shd w:val="clear" w:color="auto" w:fill="auto"/>
                  <w:vAlign w:val="center"/>
                </w:tcPr>
                <w:p w14:paraId="240DCDC6">
                  <w:pPr>
                    <w:spacing w:before="87" w:line="195" w:lineRule="auto"/>
                    <w:jc w:val="center"/>
                    <w:rPr>
                      <w:rFonts w:hint="default" w:eastAsia="宋体"/>
                      <w:color w:val="auto"/>
                      <w:spacing w:val="-4"/>
                      <w:szCs w:val="21"/>
                      <w:highlight w:val="none"/>
                      <w:lang w:val="en-US" w:eastAsia="zh-CN"/>
                    </w:rPr>
                  </w:pPr>
                  <w:r>
                    <w:rPr>
                      <w:rFonts w:hint="eastAsia"/>
                      <w:color w:val="auto"/>
                      <w:spacing w:val="-4"/>
                      <w:szCs w:val="21"/>
                      <w:highlight w:val="none"/>
                      <w:lang w:val="en-US" w:eastAsia="zh-CN"/>
                    </w:rPr>
                    <w:t>50g</w:t>
                  </w:r>
                  <w:r>
                    <w:rPr>
                      <w:rFonts w:hint="eastAsia" w:eastAsia="宋体"/>
                      <w:color w:val="auto"/>
                      <w:spacing w:val="-4"/>
                      <w:szCs w:val="21"/>
                      <w:highlight w:val="none"/>
                      <w:lang w:val="en-US" w:eastAsia="zh-CN"/>
                    </w:rPr>
                    <w:t>/瓶</w:t>
                  </w:r>
                </w:p>
              </w:tc>
              <w:tc>
                <w:tcPr>
                  <w:tcW w:w="1720" w:type="dxa"/>
                  <w:tcBorders>
                    <w:tl2br w:val="nil"/>
                    <w:tr2bl w:val="nil"/>
                  </w:tcBorders>
                  <w:shd w:val="clear" w:color="auto" w:fill="auto"/>
                  <w:vAlign w:val="center"/>
                </w:tcPr>
                <w:p w14:paraId="02BD50EA">
                  <w:pPr>
                    <w:spacing w:before="87" w:line="195" w:lineRule="auto"/>
                    <w:jc w:val="center"/>
                    <w:rPr>
                      <w:rFonts w:hint="default" w:eastAsia="宋体"/>
                      <w:color w:val="auto"/>
                      <w:spacing w:val="-4"/>
                      <w:szCs w:val="21"/>
                      <w:highlight w:val="none"/>
                      <w:lang w:val="en-US" w:eastAsia="zh-CN"/>
                    </w:rPr>
                  </w:pPr>
                  <w:r>
                    <w:rPr>
                      <w:rFonts w:hint="eastAsia"/>
                      <w:color w:val="auto"/>
                      <w:spacing w:val="-4"/>
                      <w:szCs w:val="21"/>
                      <w:highlight w:val="none"/>
                      <w:lang w:val="en-US" w:eastAsia="zh-CN"/>
                    </w:rPr>
                    <w:t>3</w:t>
                  </w:r>
                </w:p>
              </w:tc>
              <w:tc>
                <w:tcPr>
                  <w:tcW w:w="1533" w:type="dxa"/>
                  <w:tcBorders>
                    <w:tl2br w:val="nil"/>
                    <w:tr2bl w:val="nil"/>
                  </w:tcBorders>
                  <w:shd w:val="clear" w:color="auto" w:fill="auto"/>
                  <w:vAlign w:val="center"/>
                </w:tcPr>
                <w:p w14:paraId="15A98200">
                  <w:pPr>
                    <w:spacing w:before="88"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r>
            <w:tr w14:paraId="697B6A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0" w:type="dxa"/>
                  <w:tcBorders>
                    <w:tl2br w:val="nil"/>
                    <w:tr2bl w:val="nil"/>
                  </w:tcBorders>
                  <w:vAlign w:val="center"/>
                </w:tcPr>
                <w:p w14:paraId="28864871">
                  <w:pPr>
                    <w:numPr>
                      <w:ilvl w:val="0"/>
                      <w:numId w:val="2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238" w:type="dxa"/>
                  <w:tcBorders>
                    <w:tl2br w:val="nil"/>
                    <w:tr2bl w:val="nil"/>
                  </w:tcBorders>
                  <w:shd w:val="clear" w:color="auto" w:fill="auto"/>
                  <w:vAlign w:val="center"/>
                </w:tcPr>
                <w:p w14:paraId="4DF2D568">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硝酸银</w:t>
                  </w:r>
                </w:p>
              </w:tc>
              <w:tc>
                <w:tcPr>
                  <w:tcW w:w="1613" w:type="dxa"/>
                  <w:tcBorders>
                    <w:tl2br w:val="nil"/>
                    <w:tr2bl w:val="nil"/>
                  </w:tcBorders>
                  <w:shd w:val="clear" w:color="auto" w:fill="auto"/>
                  <w:vAlign w:val="center"/>
                </w:tcPr>
                <w:p w14:paraId="0F2E6C05">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eastAsia" w:eastAsia="宋体"/>
                      <w:color w:val="auto"/>
                      <w:spacing w:val="-4"/>
                      <w:szCs w:val="21"/>
                      <w:highlight w:val="none"/>
                      <w:lang w:val="en-US" w:eastAsia="zh-CN"/>
                    </w:rPr>
                    <w:t>50</w:t>
                  </w:r>
                  <w:r>
                    <w:rPr>
                      <w:rFonts w:hint="eastAsia"/>
                      <w:color w:val="auto"/>
                      <w:spacing w:val="-4"/>
                      <w:szCs w:val="21"/>
                      <w:highlight w:val="none"/>
                      <w:lang w:val="en-US" w:eastAsia="zh-CN"/>
                    </w:rPr>
                    <w:t>g</w:t>
                  </w:r>
                  <w:r>
                    <w:rPr>
                      <w:rFonts w:hint="eastAsia" w:eastAsia="宋体"/>
                      <w:color w:val="auto"/>
                      <w:spacing w:val="-4"/>
                      <w:szCs w:val="21"/>
                      <w:highlight w:val="none"/>
                      <w:lang w:val="en-US" w:eastAsia="zh-CN"/>
                    </w:rPr>
                    <w:t>/瓶</w:t>
                  </w:r>
                </w:p>
              </w:tc>
              <w:tc>
                <w:tcPr>
                  <w:tcW w:w="1720" w:type="dxa"/>
                  <w:tcBorders>
                    <w:tl2br w:val="nil"/>
                    <w:tr2bl w:val="nil"/>
                  </w:tcBorders>
                  <w:shd w:val="clear" w:color="auto" w:fill="auto"/>
                  <w:vAlign w:val="center"/>
                </w:tcPr>
                <w:p w14:paraId="518F3967">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3</w:t>
                  </w:r>
                </w:p>
              </w:tc>
              <w:tc>
                <w:tcPr>
                  <w:tcW w:w="1533" w:type="dxa"/>
                  <w:tcBorders>
                    <w:tl2br w:val="nil"/>
                    <w:tr2bl w:val="nil"/>
                  </w:tcBorders>
                  <w:vAlign w:val="center"/>
                </w:tcPr>
                <w:p w14:paraId="475017B8">
                  <w:pPr>
                    <w:numPr>
                      <w:ilvl w:val="0"/>
                      <w:numId w:val="0"/>
                    </w:numPr>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w:t>
                  </w:r>
                </w:p>
              </w:tc>
            </w:tr>
            <w:tr w14:paraId="6426B5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0" w:type="dxa"/>
                  <w:tcBorders>
                    <w:tl2br w:val="nil"/>
                    <w:tr2bl w:val="nil"/>
                  </w:tcBorders>
                  <w:vAlign w:val="center"/>
                </w:tcPr>
                <w:p w14:paraId="0FAC90E6">
                  <w:pPr>
                    <w:numPr>
                      <w:ilvl w:val="0"/>
                      <w:numId w:val="2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238" w:type="dxa"/>
                  <w:tcBorders>
                    <w:tl2br w:val="nil"/>
                    <w:tr2bl w:val="nil"/>
                  </w:tcBorders>
                  <w:shd w:val="clear" w:color="auto" w:fill="auto"/>
                  <w:vAlign w:val="center"/>
                </w:tcPr>
                <w:p w14:paraId="2A0B560E">
                  <w:pPr>
                    <w:spacing w:before="52" w:line="229"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碳酸氢钠</w:t>
                  </w:r>
                </w:p>
              </w:tc>
              <w:tc>
                <w:tcPr>
                  <w:tcW w:w="1613" w:type="dxa"/>
                  <w:tcBorders>
                    <w:tl2br w:val="nil"/>
                    <w:tr2bl w:val="nil"/>
                  </w:tcBorders>
                  <w:shd w:val="clear" w:color="auto" w:fill="auto"/>
                  <w:vAlign w:val="center"/>
                </w:tcPr>
                <w:p w14:paraId="280E4DE2">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500g/瓶</w:t>
                  </w:r>
                </w:p>
              </w:tc>
              <w:tc>
                <w:tcPr>
                  <w:tcW w:w="1720" w:type="dxa"/>
                  <w:tcBorders>
                    <w:tl2br w:val="nil"/>
                    <w:tr2bl w:val="nil"/>
                  </w:tcBorders>
                  <w:shd w:val="clear" w:color="auto" w:fill="auto"/>
                  <w:vAlign w:val="center"/>
                </w:tcPr>
                <w:p w14:paraId="2DBFA837">
                  <w:pPr>
                    <w:spacing w:before="53" w:line="228" w:lineRule="auto"/>
                    <w:jc w:val="center"/>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color w:val="auto"/>
                      <w:spacing w:val="6"/>
                      <w:kern w:val="2"/>
                      <w:sz w:val="21"/>
                      <w:szCs w:val="21"/>
                      <w:highlight w:val="none"/>
                      <w:lang w:val="en-US" w:eastAsia="zh-CN" w:bidi="ar-SA"/>
                    </w:rPr>
                    <w:t>6</w:t>
                  </w:r>
                </w:p>
              </w:tc>
              <w:tc>
                <w:tcPr>
                  <w:tcW w:w="1533" w:type="dxa"/>
                  <w:tcBorders>
                    <w:tl2br w:val="nil"/>
                    <w:tr2bl w:val="nil"/>
                  </w:tcBorders>
                  <w:vAlign w:val="center"/>
                </w:tcPr>
                <w:p w14:paraId="299C8C02">
                  <w:pPr>
                    <w:numPr>
                      <w:ilvl w:val="0"/>
                      <w:numId w:val="0"/>
                    </w:numPr>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w:t>
                  </w:r>
                </w:p>
              </w:tc>
            </w:tr>
            <w:tr w14:paraId="611617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0" w:type="dxa"/>
                  <w:tcBorders>
                    <w:tl2br w:val="nil"/>
                    <w:tr2bl w:val="nil"/>
                  </w:tcBorders>
                  <w:vAlign w:val="center"/>
                </w:tcPr>
                <w:p w14:paraId="27F4A85C">
                  <w:pPr>
                    <w:numPr>
                      <w:ilvl w:val="0"/>
                      <w:numId w:val="2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238" w:type="dxa"/>
                  <w:tcBorders>
                    <w:tl2br w:val="nil"/>
                    <w:tr2bl w:val="nil"/>
                  </w:tcBorders>
                  <w:shd w:val="clear" w:color="auto" w:fill="auto"/>
                  <w:vAlign w:val="center"/>
                </w:tcPr>
                <w:p w14:paraId="0A310AF6">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碳酸钠</w:t>
                  </w:r>
                </w:p>
              </w:tc>
              <w:tc>
                <w:tcPr>
                  <w:tcW w:w="1613" w:type="dxa"/>
                  <w:tcBorders>
                    <w:tl2br w:val="nil"/>
                    <w:tr2bl w:val="nil"/>
                  </w:tcBorders>
                  <w:shd w:val="clear" w:color="auto" w:fill="auto"/>
                  <w:vAlign w:val="center"/>
                </w:tcPr>
                <w:p w14:paraId="497F6269">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500g/瓶</w:t>
                  </w:r>
                </w:p>
              </w:tc>
              <w:tc>
                <w:tcPr>
                  <w:tcW w:w="1720" w:type="dxa"/>
                  <w:tcBorders>
                    <w:tl2br w:val="nil"/>
                    <w:tr2bl w:val="nil"/>
                  </w:tcBorders>
                  <w:shd w:val="clear" w:color="auto" w:fill="auto"/>
                  <w:vAlign w:val="center"/>
                </w:tcPr>
                <w:p w14:paraId="313A6C45">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6</w:t>
                  </w:r>
                </w:p>
              </w:tc>
              <w:tc>
                <w:tcPr>
                  <w:tcW w:w="1533" w:type="dxa"/>
                  <w:tcBorders>
                    <w:tl2br w:val="nil"/>
                    <w:tr2bl w:val="nil"/>
                  </w:tcBorders>
                  <w:vAlign w:val="center"/>
                </w:tcPr>
                <w:p w14:paraId="7012EF6D">
                  <w:pPr>
                    <w:numPr>
                      <w:ilvl w:val="0"/>
                      <w:numId w:val="0"/>
                    </w:numPr>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w:t>
                  </w:r>
                </w:p>
              </w:tc>
            </w:tr>
            <w:tr w14:paraId="161EFF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0" w:type="dxa"/>
                  <w:tcBorders>
                    <w:tl2br w:val="nil"/>
                    <w:tr2bl w:val="nil"/>
                  </w:tcBorders>
                  <w:vAlign w:val="center"/>
                </w:tcPr>
                <w:p w14:paraId="6620ED32">
                  <w:pPr>
                    <w:numPr>
                      <w:ilvl w:val="0"/>
                      <w:numId w:val="2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238" w:type="dxa"/>
                  <w:tcBorders>
                    <w:tl2br w:val="nil"/>
                    <w:tr2bl w:val="nil"/>
                  </w:tcBorders>
                  <w:shd w:val="clear" w:color="auto" w:fill="auto"/>
                  <w:vAlign w:val="center"/>
                </w:tcPr>
                <w:p w14:paraId="70DE21B4">
                  <w:pPr>
                    <w:spacing w:before="53" w:line="228" w:lineRule="auto"/>
                    <w:jc w:val="center"/>
                    <w:rPr>
                      <w:rFonts w:eastAsia="Times New Roman"/>
                      <w:color w:val="auto"/>
                      <w:spacing w:val="6"/>
                      <w:szCs w:val="21"/>
                      <w:highlight w:val="none"/>
                    </w:rPr>
                  </w:pPr>
                  <w:r>
                    <w:rPr>
                      <w:rFonts w:hint="default" w:ascii="Times New Roman" w:hAnsi="Times New Roman" w:eastAsia="宋体" w:cs="Times New Roman"/>
                      <w:color w:val="auto"/>
                      <w:kern w:val="2"/>
                      <w:sz w:val="21"/>
                      <w:szCs w:val="21"/>
                      <w:highlight w:val="none"/>
                      <w:lang w:val="en-US" w:eastAsia="zh-CN" w:bidi="ar-SA"/>
                    </w:rPr>
                    <w:t>酒石酸</w:t>
                  </w:r>
                </w:p>
              </w:tc>
              <w:tc>
                <w:tcPr>
                  <w:tcW w:w="1613" w:type="dxa"/>
                  <w:tcBorders>
                    <w:tl2br w:val="nil"/>
                    <w:tr2bl w:val="nil"/>
                  </w:tcBorders>
                  <w:shd w:val="clear" w:color="auto" w:fill="auto"/>
                  <w:vAlign w:val="center"/>
                </w:tcPr>
                <w:p w14:paraId="6C7C3247">
                  <w:pPr>
                    <w:spacing w:before="53" w:line="228" w:lineRule="auto"/>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500g/瓶</w:t>
                  </w:r>
                </w:p>
              </w:tc>
              <w:tc>
                <w:tcPr>
                  <w:tcW w:w="1720" w:type="dxa"/>
                  <w:tcBorders>
                    <w:tl2br w:val="nil"/>
                    <w:tr2bl w:val="nil"/>
                  </w:tcBorders>
                  <w:shd w:val="clear" w:color="auto" w:fill="auto"/>
                  <w:vAlign w:val="center"/>
                </w:tcPr>
                <w:p w14:paraId="20B7697B">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6</w:t>
                  </w:r>
                </w:p>
              </w:tc>
              <w:tc>
                <w:tcPr>
                  <w:tcW w:w="1533" w:type="dxa"/>
                  <w:tcBorders>
                    <w:tl2br w:val="nil"/>
                    <w:tr2bl w:val="nil"/>
                  </w:tcBorders>
                  <w:shd w:val="clear" w:color="auto" w:fill="auto"/>
                  <w:vAlign w:val="center"/>
                </w:tcPr>
                <w:p w14:paraId="60ECBEBF">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1</w:t>
                  </w:r>
                </w:p>
              </w:tc>
            </w:tr>
            <w:tr w14:paraId="6664D4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0" w:type="dxa"/>
                  <w:tcBorders>
                    <w:tl2br w:val="nil"/>
                    <w:tr2bl w:val="nil"/>
                  </w:tcBorders>
                  <w:vAlign w:val="center"/>
                </w:tcPr>
                <w:p w14:paraId="7421E020">
                  <w:pPr>
                    <w:numPr>
                      <w:ilvl w:val="0"/>
                      <w:numId w:val="2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238" w:type="dxa"/>
                  <w:tcBorders>
                    <w:tl2br w:val="nil"/>
                    <w:tr2bl w:val="nil"/>
                  </w:tcBorders>
                  <w:shd w:val="clear" w:color="auto" w:fill="auto"/>
                  <w:vAlign w:val="center"/>
                </w:tcPr>
                <w:p w14:paraId="18B385C9">
                  <w:pPr>
                    <w:spacing w:before="52" w:line="229" w:lineRule="auto"/>
                    <w:jc w:val="center"/>
                    <w:rPr>
                      <w:rFonts w:eastAsia="Times New Roman"/>
                      <w:color w:val="auto"/>
                      <w:spacing w:val="6"/>
                      <w:szCs w:val="21"/>
                      <w:highlight w:val="none"/>
                    </w:rPr>
                  </w:pPr>
                  <w:r>
                    <w:rPr>
                      <w:rFonts w:hint="default" w:ascii="Times New Roman" w:hAnsi="Times New Roman" w:eastAsia="宋体" w:cs="Times New Roman"/>
                      <w:color w:val="auto"/>
                      <w:kern w:val="2"/>
                      <w:sz w:val="21"/>
                      <w:szCs w:val="21"/>
                      <w:highlight w:val="none"/>
                      <w:lang w:val="en-US" w:eastAsia="zh-CN" w:bidi="ar-SA"/>
                    </w:rPr>
                    <w:t>乙酸锌</w:t>
                  </w:r>
                </w:p>
              </w:tc>
              <w:tc>
                <w:tcPr>
                  <w:tcW w:w="1613" w:type="dxa"/>
                  <w:tcBorders>
                    <w:tl2br w:val="nil"/>
                    <w:tr2bl w:val="nil"/>
                  </w:tcBorders>
                  <w:shd w:val="clear" w:color="auto" w:fill="auto"/>
                  <w:vAlign w:val="center"/>
                </w:tcPr>
                <w:p w14:paraId="3DF861C6">
                  <w:pPr>
                    <w:spacing w:before="53" w:line="228" w:lineRule="auto"/>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500g/瓶</w:t>
                  </w:r>
                </w:p>
              </w:tc>
              <w:tc>
                <w:tcPr>
                  <w:tcW w:w="1720" w:type="dxa"/>
                  <w:tcBorders>
                    <w:tl2br w:val="nil"/>
                    <w:tr2bl w:val="nil"/>
                  </w:tcBorders>
                  <w:shd w:val="clear" w:color="auto" w:fill="auto"/>
                  <w:vAlign w:val="center"/>
                </w:tcPr>
                <w:p w14:paraId="7713C60D">
                  <w:pPr>
                    <w:spacing w:before="53" w:line="228" w:lineRule="auto"/>
                    <w:jc w:val="center"/>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color w:val="auto"/>
                      <w:spacing w:val="6"/>
                      <w:kern w:val="2"/>
                      <w:sz w:val="21"/>
                      <w:szCs w:val="21"/>
                      <w:highlight w:val="none"/>
                      <w:lang w:val="en-US" w:eastAsia="zh-CN" w:bidi="ar-SA"/>
                    </w:rPr>
                    <w:t>3</w:t>
                  </w:r>
                </w:p>
              </w:tc>
              <w:tc>
                <w:tcPr>
                  <w:tcW w:w="1533" w:type="dxa"/>
                  <w:tcBorders>
                    <w:tl2br w:val="nil"/>
                    <w:tr2bl w:val="nil"/>
                  </w:tcBorders>
                  <w:shd w:val="clear" w:color="auto" w:fill="auto"/>
                  <w:vAlign w:val="center"/>
                </w:tcPr>
                <w:p w14:paraId="4C70267A">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1</w:t>
                  </w:r>
                </w:p>
              </w:tc>
            </w:tr>
            <w:tr w14:paraId="06D8BF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0" w:type="dxa"/>
                  <w:tcBorders>
                    <w:tl2br w:val="nil"/>
                    <w:tr2bl w:val="nil"/>
                  </w:tcBorders>
                  <w:vAlign w:val="center"/>
                </w:tcPr>
                <w:p w14:paraId="4223A49B">
                  <w:pPr>
                    <w:numPr>
                      <w:ilvl w:val="0"/>
                      <w:numId w:val="2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238" w:type="dxa"/>
                  <w:tcBorders>
                    <w:tl2br w:val="nil"/>
                    <w:tr2bl w:val="nil"/>
                  </w:tcBorders>
                  <w:shd w:val="clear" w:color="auto" w:fill="auto"/>
                  <w:vAlign w:val="center"/>
                </w:tcPr>
                <w:p w14:paraId="642EB439">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甲基橙</w:t>
                  </w:r>
                </w:p>
              </w:tc>
              <w:tc>
                <w:tcPr>
                  <w:tcW w:w="1613" w:type="dxa"/>
                  <w:tcBorders>
                    <w:tl2br w:val="nil"/>
                    <w:tr2bl w:val="nil"/>
                  </w:tcBorders>
                  <w:shd w:val="clear" w:color="auto" w:fill="auto"/>
                  <w:vAlign w:val="center"/>
                </w:tcPr>
                <w:p w14:paraId="5E8025DB">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50g/瓶</w:t>
                  </w:r>
                </w:p>
              </w:tc>
              <w:tc>
                <w:tcPr>
                  <w:tcW w:w="1720" w:type="dxa"/>
                  <w:tcBorders>
                    <w:tl2br w:val="nil"/>
                    <w:tr2bl w:val="nil"/>
                  </w:tcBorders>
                  <w:shd w:val="clear" w:color="auto" w:fill="auto"/>
                  <w:vAlign w:val="center"/>
                </w:tcPr>
                <w:p w14:paraId="00673E20">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3</w:t>
                  </w:r>
                </w:p>
              </w:tc>
              <w:tc>
                <w:tcPr>
                  <w:tcW w:w="1533" w:type="dxa"/>
                  <w:tcBorders>
                    <w:tl2br w:val="nil"/>
                    <w:tr2bl w:val="nil"/>
                  </w:tcBorders>
                  <w:vAlign w:val="center"/>
                </w:tcPr>
                <w:p w14:paraId="5F69DAA3">
                  <w:pPr>
                    <w:numPr>
                      <w:ilvl w:val="0"/>
                      <w:numId w:val="0"/>
                    </w:numPr>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w:t>
                  </w:r>
                </w:p>
              </w:tc>
            </w:tr>
            <w:tr w14:paraId="2D661D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0" w:type="dxa"/>
                  <w:tcBorders>
                    <w:tl2br w:val="nil"/>
                    <w:tr2bl w:val="nil"/>
                  </w:tcBorders>
                  <w:vAlign w:val="center"/>
                </w:tcPr>
                <w:p w14:paraId="71A9D520">
                  <w:pPr>
                    <w:numPr>
                      <w:ilvl w:val="0"/>
                      <w:numId w:val="2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238" w:type="dxa"/>
                  <w:tcBorders>
                    <w:tl2br w:val="nil"/>
                    <w:tr2bl w:val="nil"/>
                  </w:tcBorders>
                  <w:shd w:val="clear" w:color="auto" w:fill="auto"/>
                  <w:vAlign w:val="center"/>
                </w:tcPr>
                <w:p w14:paraId="5E87D3E3">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氯化铁</w:t>
                  </w:r>
                </w:p>
              </w:tc>
              <w:tc>
                <w:tcPr>
                  <w:tcW w:w="1613" w:type="dxa"/>
                  <w:tcBorders>
                    <w:tl2br w:val="nil"/>
                    <w:tr2bl w:val="nil"/>
                  </w:tcBorders>
                  <w:shd w:val="clear" w:color="auto" w:fill="auto"/>
                  <w:vAlign w:val="center"/>
                </w:tcPr>
                <w:p w14:paraId="675F1ED1">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500g/瓶</w:t>
                  </w:r>
                </w:p>
              </w:tc>
              <w:tc>
                <w:tcPr>
                  <w:tcW w:w="1720" w:type="dxa"/>
                  <w:tcBorders>
                    <w:tl2br w:val="nil"/>
                    <w:tr2bl w:val="nil"/>
                  </w:tcBorders>
                  <w:shd w:val="clear" w:color="auto" w:fill="auto"/>
                  <w:vAlign w:val="center"/>
                </w:tcPr>
                <w:p w14:paraId="3180853A">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4</w:t>
                  </w:r>
                </w:p>
              </w:tc>
              <w:tc>
                <w:tcPr>
                  <w:tcW w:w="1533" w:type="dxa"/>
                  <w:tcBorders>
                    <w:tl2br w:val="nil"/>
                    <w:tr2bl w:val="nil"/>
                  </w:tcBorders>
                  <w:vAlign w:val="center"/>
                </w:tcPr>
                <w:p w14:paraId="64571734">
                  <w:pPr>
                    <w:numPr>
                      <w:ilvl w:val="0"/>
                      <w:numId w:val="0"/>
                    </w:numPr>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w:t>
                  </w:r>
                </w:p>
              </w:tc>
            </w:tr>
            <w:tr w14:paraId="49A434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0" w:type="dxa"/>
                  <w:tcBorders>
                    <w:tl2br w:val="nil"/>
                    <w:tr2bl w:val="nil"/>
                  </w:tcBorders>
                  <w:vAlign w:val="center"/>
                </w:tcPr>
                <w:p w14:paraId="4B79FDC7">
                  <w:pPr>
                    <w:numPr>
                      <w:ilvl w:val="0"/>
                      <w:numId w:val="2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238" w:type="dxa"/>
                  <w:tcBorders>
                    <w:tl2br w:val="nil"/>
                    <w:tr2bl w:val="nil"/>
                  </w:tcBorders>
                  <w:shd w:val="clear" w:color="auto" w:fill="auto"/>
                  <w:vAlign w:val="center"/>
                </w:tcPr>
                <w:p w14:paraId="4FD8C7C0">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硫代硫酸钠</w:t>
                  </w:r>
                </w:p>
              </w:tc>
              <w:tc>
                <w:tcPr>
                  <w:tcW w:w="1613" w:type="dxa"/>
                  <w:tcBorders>
                    <w:tl2br w:val="nil"/>
                    <w:tr2bl w:val="nil"/>
                  </w:tcBorders>
                  <w:shd w:val="clear" w:color="auto" w:fill="auto"/>
                  <w:vAlign w:val="center"/>
                </w:tcPr>
                <w:p w14:paraId="3FB407C0">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500g/瓶</w:t>
                  </w:r>
                </w:p>
              </w:tc>
              <w:tc>
                <w:tcPr>
                  <w:tcW w:w="1720" w:type="dxa"/>
                  <w:tcBorders>
                    <w:tl2br w:val="nil"/>
                    <w:tr2bl w:val="nil"/>
                  </w:tcBorders>
                  <w:shd w:val="clear" w:color="auto" w:fill="auto"/>
                  <w:vAlign w:val="center"/>
                </w:tcPr>
                <w:p w14:paraId="69FB7737">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1</w:t>
                  </w:r>
                </w:p>
              </w:tc>
              <w:tc>
                <w:tcPr>
                  <w:tcW w:w="1533" w:type="dxa"/>
                  <w:tcBorders>
                    <w:tl2br w:val="nil"/>
                    <w:tr2bl w:val="nil"/>
                  </w:tcBorders>
                  <w:vAlign w:val="center"/>
                </w:tcPr>
                <w:p w14:paraId="23809602">
                  <w:pPr>
                    <w:numPr>
                      <w:ilvl w:val="0"/>
                      <w:numId w:val="0"/>
                    </w:numPr>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w:t>
                  </w:r>
                </w:p>
              </w:tc>
            </w:tr>
            <w:tr w14:paraId="0FA595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0" w:type="dxa"/>
                  <w:tcBorders>
                    <w:tl2br w:val="nil"/>
                    <w:tr2bl w:val="nil"/>
                  </w:tcBorders>
                  <w:vAlign w:val="center"/>
                </w:tcPr>
                <w:p w14:paraId="1E22AEBA">
                  <w:pPr>
                    <w:numPr>
                      <w:ilvl w:val="0"/>
                      <w:numId w:val="2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238" w:type="dxa"/>
                  <w:tcBorders>
                    <w:tl2br w:val="nil"/>
                    <w:tr2bl w:val="nil"/>
                  </w:tcBorders>
                  <w:shd w:val="clear" w:color="auto" w:fill="auto"/>
                  <w:vAlign w:val="center"/>
                </w:tcPr>
                <w:p w14:paraId="5CBE2358">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硫酸锌</w:t>
                  </w:r>
                </w:p>
              </w:tc>
              <w:tc>
                <w:tcPr>
                  <w:tcW w:w="1613" w:type="dxa"/>
                  <w:tcBorders>
                    <w:tl2br w:val="nil"/>
                    <w:tr2bl w:val="nil"/>
                  </w:tcBorders>
                  <w:shd w:val="clear" w:color="auto" w:fill="auto"/>
                  <w:vAlign w:val="center"/>
                </w:tcPr>
                <w:p w14:paraId="6A025D4C">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250g/瓶</w:t>
                  </w:r>
                </w:p>
              </w:tc>
              <w:tc>
                <w:tcPr>
                  <w:tcW w:w="1720" w:type="dxa"/>
                  <w:tcBorders>
                    <w:tl2br w:val="nil"/>
                    <w:tr2bl w:val="nil"/>
                  </w:tcBorders>
                  <w:shd w:val="clear" w:color="auto" w:fill="auto"/>
                  <w:vAlign w:val="center"/>
                </w:tcPr>
                <w:p w14:paraId="4EB50B95">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5</w:t>
                  </w:r>
                </w:p>
              </w:tc>
              <w:tc>
                <w:tcPr>
                  <w:tcW w:w="1533" w:type="dxa"/>
                  <w:tcBorders>
                    <w:tl2br w:val="nil"/>
                    <w:tr2bl w:val="nil"/>
                  </w:tcBorders>
                  <w:vAlign w:val="center"/>
                </w:tcPr>
                <w:p w14:paraId="58DE973E">
                  <w:pPr>
                    <w:numPr>
                      <w:ilvl w:val="0"/>
                      <w:numId w:val="0"/>
                    </w:numPr>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w:t>
                  </w:r>
                </w:p>
              </w:tc>
            </w:tr>
            <w:tr w14:paraId="06774E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0" w:type="dxa"/>
                  <w:tcBorders>
                    <w:tl2br w:val="nil"/>
                    <w:tr2bl w:val="nil"/>
                  </w:tcBorders>
                  <w:vAlign w:val="center"/>
                </w:tcPr>
                <w:p w14:paraId="60FD2EF9">
                  <w:pPr>
                    <w:numPr>
                      <w:ilvl w:val="0"/>
                      <w:numId w:val="2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238" w:type="dxa"/>
                  <w:tcBorders>
                    <w:tl2br w:val="nil"/>
                    <w:tr2bl w:val="nil"/>
                  </w:tcBorders>
                  <w:shd w:val="clear" w:color="auto" w:fill="auto"/>
                  <w:vAlign w:val="center"/>
                </w:tcPr>
                <w:p w14:paraId="7129A7E9">
                  <w:pPr>
                    <w:spacing w:before="52" w:line="229"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四硼酸钠</w:t>
                  </w:r>
                </w:p>
              </w:tc>
              <w:tc>
                <w:tcPr>
                  <w:tcW w:w="1613" w:type="dxa"/>
                  <w:tcBorders>
                    <w:tl2br w:val="nil"/>
                    <w:tr2bl w:val="nil"/>
                  </w:tcBorders>
                  <w:shd w:val="clear" w:color="auto" w:fill="auto"/>
                  <w:vAlign w:val="center"/>
                </w:tcPr>
                <w:p w14:paraId="412C08F6">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500g/瓶</w:t>
                  </w:r>
                </w:p>
              </w:tc>
              <w:tc>
                <w:tcPr>
                  <w:tcW w:w="1720" w:type="dxa"/>
                  <w:tcBorders>
                    <w:tl2br w:val="nil"/>
                    <w:tr2bl w:val="nil"/>
                  </w:tcBorders>
                  <w:shd w:val="clear" w:color="auto" w:fill="auto"/>
                  <w:vAlign w:val="center"/>
                </w:tcPr>
                <w:p w14:paraId="3D93F7F6">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3</w:t>
                  </w:r>
                </w:p>
              </w:tc>
              <w:tc>
                <w:tcPr>
                  <w:tcW w:w="1533" w:type="dxa"/>
                  <w:tcBorders>
                    <w:tl2br w:val="nil"/>
                    <w:tr2bl w:val="nil"/>
                  </w:tcBorders>
                  <w:vAlign w:val="center"/>
                </w:tcPr>
                <w:p w14:paraId="7CB30C5A">
                  <w:pPr>
                    <w:numPr>
                      <w:ilvl w:val="0"/>
                      <w:numId w:val="0"/>
                    </w:numPr>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w:t>
                  </w:r>
                </w:p>
              </w:tc>
            </w:tr>
            <w:tr w14:paraId="3776A1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0" w:type="dxa"/>
                  <w:tcBorders>
                    <w:tl2br w:val="nil"/>
                    <w:tr2bl w:val="nil"/>
                  </w:tcBorders>
                  <w:vAlign w:val="center"/>
                </w:tcPr>
                <w:p w14:paraId="1BDD2A43">
                  <w:pPr>
                    <w:numPr>
                      <w:ilvl w:val="0"/>
                      <w:numId w:val="2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238" w:type="dxa"/>
                  <w:tcBorders>
                    <w:tl2br w:val="nil"/>
                    <w:tr2bl w:val="nil"/>
                  </w:tcBorders>
                  <w:shd w:val="clear" w:color="auto" w:fill="auto"/>
                  <w:vAlign w:val="center"/>
                </w:tcPr>
                <w:p w14:paraId="160D478F">
                  <w:pPr>
                    <w:spacing w:before="52" w:line="229"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EDTA</w:t>
                  </w:r>
                </w:p>
              </w:tc>
              <w:tc>
                <w:tcPr>
                  <w:tcW w:w="1613" w:type="dxa"/>
                  <w:tcBorders>
                    <w:tl2br w:val="nil"/>
                    <w:tr2bl w:val="nil"/>
                  </w:tcBorders>
                  <w:shd w:val="clear" w:color="auto" w:fill="auto"/>
                  <w:vAlign w:val="center"/>
                </w:tcPr>
                <w:p w14:paraId="74467589">
                  <w:pPr>
                    <w:spacing w:before="53" w:line="228" w:lineRule="auto"/>
                    <w:jc w:val="center"/>
                    <w:rPr>
                      <w:rFonts w:hint="eastAsia"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500g/瓶</w:t>
                  </w:r>
                </w:p>
              </w:tc>
              <w:tc>
                <w:tcPr>
                  <w:tcW w:w="1720" w:type="dxa"/>
                  <w:tcBorders>
                    <w:tl2br w:val="nil"/>
                    <w:tr2bl w:val="nil"/>
                  </w:tcBorders>
                  <w:shd w:val="clear" w:color="auto" w:fill="auto"/>
                  <w:vAlign w:val="center"/>
                </w:tcPr>
                <w:p w14:paraId="7353B079">
                  <w:pPr>
                    <w:spacing w:before="53" w:line="228" w:lineRule="auto"/>
                    <w:jc w:val="center"/>
                    <w:rPr>
                      <w:rFonts w:hint="default"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5</w:t>
                  </w:r>
                </w:p>
              </w:tc>
              <w:tc>
                <w:tcPr>
                  <w:tcW w:w="1533" w:type="dxa"/>
                  <w:tcBorders>
                    <w:tl2br w:val="nil"/>
                    <w:tr2bl w:val="nil"/>
                  </w:tcBorders>
                  <w:vAlign w:val="center"/>
                </w:tcPr>
                <w:p w14:paraId="7F27DEBB">
                  <w:pPr>
                    <w:numPr>
                      <w:ilvl w:val="0"/>
                      <w:numId w:val="0"/>
                    </w:numPr>
                    <w:spacing w:line="240" w:lineRule="auto"/>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w:t>
                  </w:r>
                </w:p>
              </w:tc>
            </w:tr>
            <w:tr w14:paraId="428777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0" w:type="dxa"/>
                  <w:tcBorders>
                    <w:tl2br w:val="nil"/>
                    <w:tr2bl w:val="nil"/>
                  </w:tcBorders>
                  <w:vAlign w:val="center"/>
                </w:tcPr>
                <w:p w14:paraId="746DD9A8">
                  <w:pPr>
                    <w:numPr>
                      <w:ilvl w:val="0"/>
                      <w:numId w:val="2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238" w:type="dxa"/>
                  <w:tcBorders>
                    <w:tl2br w:val="nil"/>
                    <w:tr2bl w:val="nil"/>
                  </w:tcBorders>
                  <w:shd w:val="clear" w:color="auto" w:fill="auto"/>
                  <w:vAlign w:val="center"/>
                </w:tcPr>
                <w:p w14:paraId="5D20303B">
                  <w:pPr>
                    <w:spacing w:before="51" w:line="240" w:lineRule="auto"/>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eastAsia="Times New Roman"/>
                      <w:color w:val="auto"/>
                      <w:spacing w:val="6"/>
                      <w:szCs w:val="21"/>
                      <w:highlight w:val="none"/>
                    </w:rPr>
                    <w:t>氯化铵</w:t>
                  </w:r>
                </w:p>
              </w:tc>
              <w:tc>
                <w:tcPr>
                  <w:tcW w:w="1613" w:type="dxa"/>
                  <w:tcBorders>
                    <w:tl2br w:val="nil"/>
                    <w:tr2bl w:val="nil"/>
                  </w:tcBorders>
                  <w:shd w:val="clear" w:color="auto" w:fill="auto"/>
                  <w:vAlign w:val="center"/>
                </w:tcPr>
                <w:p w14:paraId="33FED220">
                  <w:pPr>
                    <w:spacing w:before="53" w:line="228" w:lineRule="auto"/>
                    <w:jc w:val="center"/>
                    <w:rPr>
                      <w:rFonts w:hint="eastAsia"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500g/瓶</w:t>
                  </w:r>
                </w:p>
              </w:tc>
              <w:tc>
                <w:tcPr>
                  <w:tcW w:w="1720" w:type="dxa"/>
                  <w:tcBorders>
                    <w:tl2br w:val="nil"/>
                    <w:tr2bl w:val="nil"/>
                  </w:tcBorders>
                  <w:shd w:val="clear" w:color="auto" w:fill="auto"/>
                  <w:vAlign w:val="center"/>
                </w:tcPr>
                <w:p w14:paraId="3A27E266">
                  <w:pPr>
                    <w:spacing w:before="53" w:line="228" w:lineRule="auto"/>
                    <w:jc w:val="center"/>
                    <w:rPr>
                      <w:rFonts w:hint="eastAsia"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5</w:t>
                  </w:r>
                </w:p>
              </w:tc>
              <w:tc>
                <w:tcPr>
                  <w:tcW w:w="1533" w:type="dxa"/>
                  <w:tcBorders>
                    <w:tl2br w:val="nil"/>
                    <w:tr2bl w:val="nil"/>
                  </w:tcBorders>
                  <w:vAlign w:val="center"/>
                </w:tcPr>
                <w:p w14:paraId="74C5CF37">
                  <w:pPr>
                    <w:numPr>
                      <w:ilvl w:val="0"/>
                      <w:numId w:val="0"/>
                    </w:numPr>
                    <w:spacing w:line="240" w:lineRule="auto"/>
                    <w:ind w:left="0" w:leftChars="0" w:firstLine="0" w:firstLineChars="0"/>
                    <w:jc w:val="center"/>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w:t>
                  </w:r>
                </w:p>
              </w:tc>
            </w:tr>
            <w:tr w14:paraId="2F35A9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0" w:type="dxa"/>
                  <w:tcBorders>
                    <w:tl2br w:val="nil"/>
                    <w:tr2bl w:val="nil"/>
                  </w:tcBorders>
                  <w:vAlign w:val="center"/>
                </w:tcPr>
                <w:p w14:paraId="1B068432">
                  <w:pPr>
                    <w:numPr>
                      <w:ilvl w:val="0"/>
                      <w:numId w:val="2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2238" w:type="dxa"/>
                  <w:tcBorders>
                    <w:tl2br w:val="nil"/>
                    <w:tr2bl w:val="nil"/>
                  </w:tcBorders>
                  <w:shd w:val="clear" w:color="auto" w:fill="auto"/>
                  <w:vAlign w:val="center"/>
                </w:tcPr>
                <w:p w14:paraId="2340B9AB">
                  <w:pPr>
                    <w:spacing w:before="52" w:line="229" w:lineRule="auto"/>
                    <w:jc w:val="center"/>
                    <w:rPr>
                      <w:rFonts w:hint="eastAsia" w:cs="Times New Roman"/>
                      <w:color w:val="auto"/>
                      <w:kern w:val="2"/>
                      <w:sz w:val="21"/>
                      <w:szCs w:val="21"/>
                      <w:highlight w:val="none"/>
                      <w:lang w:val="en-US" w:eastAsia="zh-CN" w:bidi="ar-SA"/>
                    </w:rPr>
                  </w:pPr>
                  <w:r>
                    <w:rPr>
                      <w:rFonts w:hint="eastAsia"/>
                      <w:color w:val="auto"/>
                      <w:spacing w:val="6"/>
                      <w:szCs w:val="21"/>
                      <w:highlight w:val="none"/>
                      <w:lang w:val="en-US" w:eastAsia="zh-CN"/>
                    </w:rPr>
                    <w:t>酒石酸钾钠</w:t>
                  </w:r>
                </w:p>
              </w:tc>
              <w:tc>
                <w:tcPr>
                  <w:tcW w:w="1613" w:type="dxa"/>
                  <w:tcBorders>
                    <w:tl2br w:val="nil"/>
                    <w:tr2bl w:val="nil"/>
                  </w:tcBorders>
                  <w:shd w:val="clear" w:color="auto" w:fill="auto"/>
                  <w:vAlign w:val="center"/>
                </w:tcPr>
                <w:p w14:paraId="6D501312">
                  <w:pPr>
                    <w:spacing w:before="53" w:line="228" w:lineRule="auto"/>
                    <w:jc w:val="center"/>
                    <w:rPr>
                      <w:rFonts w:hint="eastAsia"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500g/瓶</w:t>
                  </w:r>
                </w:p>
              </w:tc>
              <w:tc>
                <w:tcPr>
                  <w:tcW w:w="1720" w:type="dxa"/>
                  <w:tcBorders>
                    <w:tl2br w:val="nil"/>
                    <w:tr2bl w:val="nil"/>
                  </w:tcBorders>
                  <w:shd w:val="clear" w:color="auto" w:fill="auto"/>
                  <w:vAlign w:val="center"/>
                </w:tcPr>
                <w:p w14:paraId="3A07FDFE">
                  <w:pPr>
                    <w:spacing w:before="53" w:line="228" w:lineRule="auto"/>
                    <w:jc w:val="center"/>
                    <w:rPr>
                      <w:rFonts w:hint="eastAsia"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5</w:t>
                  </w:r>
                </w:p>
              </w:tc>
              <w:tc>
                <w:tcPr>
                  <w:tcW w:w="1533" w:type="dxa"/>
                  <w:tcBorders>
                    <w:tl2br w:val="nil"/>
                    <w:tr2bl w:val="nil"/>
                  </w:tcBorders>
                  <w:vAlign w:val="center"/>
                </w:tcPr>
                <w:p w14:paraId="5FEBC6B6">
                  <w:pPr>
                    <w:numPr>
                      <w:ilvl w:val="0"/>
                      <w:numId w:val="0"/>
                    </w:numPr>
                    <w:spacing w:line="240" w:lineRule="auto"/>
                    <w:ind w:left="0" w:leftChars="0" w:firstLine="0" w:firstLineChars="0"/>
                    <w:jc w:val="center"/>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w:t>
                  </w:r>
                </w:p>
              </w:tc>
            </w:tr>
          </w:tbl>
          <w:p w14:paraId="72B59917">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项目主要原辅材料理化性质详见下表。</w:t>
            </w:r>
          </w:p>
          <w:p w14:paraId="3BBF04DC">
            <w:pPr>
              <w:numPr>
                <w:ilvl w:val="0"/>
                <w:numId w:val="22"/>
              </w:numPr>
              <w:adjustRightInd w:val="0"/>
              <w:snapToGrid w:val="0"/>
              <w:spacing w:line="360" w:lineRule="auto"/>
              <w:jc w:val="center"/>
              <w:rPr>
                <w:rFonts w:hint="default"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本</w:t>
            </w:r>
            <w:r>
              <w:rPr>
                <w:rFonts w:hint="default" w:ascii="Times New Roman" w:hAnsi="Times New Roman" w:eastAsia="宋体" w:cs="Times New Roman"/>
                <w:b/>
                <w:bCs/>
                <w:color w:val="auto"/>
                <w:sz w:val="24"/>
                <w:highlight w:val="none"/>
              </w:rPr>
              <w:t>主要原辅材料理化性质一览表</w:t>
            </w:r>
          </w:p>
          <w:tbl>
            <w:tblPr>
              <w:tblStyle w:val="23"/>
              <w:tblW w:w="7879"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5"/>
              <w:gridCol w:w="1003"/>
              <w:gridCol w:w="6261"/>
            </w:tblGrid>
            <w:tr w14:paraId="34A683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05329724">
                  <w:pPr>
                    <w:spacing w:before="53" w:line="240" w:lineRule="auto"/>
                    <w:jc w:val="center"/>
                    <w:rPr>
                      <w:b/>
                      <w:bCs/>
                      <w:color w:val="auto"/>
                      <w:spacing w:val="6"/>
                      <w:szCs w:val="21"/>
                      <w:highlight w:val="none"/>
                    </w:rPr>
                  </w:pPr>
                  <w:r>
                    <w:rPr>
                      <w:b/>
                      <w:bCs/>
                      <w:color w:val="auto"/>
                      <w:spacing w:val="6"/>
                      <w:szCs w:val="21"/>
                      <w:highlight w:val="none"/>
                    </w:rPr>
                    <w:t>序号</w:t>
                  </w:r>
                </w:p>
              </w:tc>
              <w:tc>
                <w:tcPr>
                  <w:tcW w:w="1003" w:type="dxa"/>
                  <w:tcBorders>
                    <w:tl2br w:val="nil"/>
                    <w:tr2bl w:val="nil"/>
                  </w:tcBorders>
                  <w:noWrap w:val="0"/>
                  <w:vAlign w:val="center"/>
                </w:tcPr>
                <w:p w14:paraId="74673331">
                  <w:pPr>
                    <w:spacing w:before="53" w:line="240" w:lineRule="auto"/>
                    <w:jc w:val="center"/>
                    <w:rPr>
                      <w:b/>
                      <w:bCs/>
                      <w:color w:val="auto"/>
                      <w:spacing w:val="6"/>
                      <w:szCs w:val="21"/>
                      <w:highlight w:val="none"/>
                    </w:rPr>
                  </w:pPr>
                  <w:r>
                    <w:rPr>
                      <w:b/>
                      <w:bCs/>
                      <w:color w:val="auto"/>
                      <w:spacing w:val="6"/>
                      <w:szCs w:val="21"/>
                      <w:highlight w:val="none"/>
                    </w:rPr>
                    <w:t>名称</w:t>
                  </w:r>
                </w:p>
              </w:tc>
              <w:tc>
                <w:tcPr>
                  <w:tcW w:w="6261" w:type="dxa"/>
                  <w:tcBorders>
                    <w:tl2br w:val="nil"/>
                    <w:tr2bl w:val="nil"/>
                  </w:tcBorders>
                  <w:noWrap w:val="0"/>
                  <w:vAlign w:val="center"/>
                </w:tcPr>
                <w:p w14:paraId="29960D93">
                  <w:pPr>
                    <w:spacing w:before="53" w:line="240" w:lineRule="auto"/>
                    <w:jc w:val="center"/>
                    <w:rPr>
                      <w:b/>
                      <w:bCs/>
                      <w:color w:val="auto"/>
                      <w:spacing w:val="6"/>
                      <w:szCs w:val="21"/>
                      <w:highlight w:val="none"/>
                    </w:rPr>
                  </w:pPr>
                  <w:r>
                    <w:rPr>
                      <w:b/>
                      <w:bCs/>
                      <w:color w:val="auto"/>
                      <w:spacing w:val="6"/>
                      <w:szCs w:val="21"/>
                      <w:highlight w:val="none"/>
                    </w:rPr>
                    <w:t>理化性质</w:t>
                  </w:r>
                </w:p>
              </w:tc>
            </w:tr>
            <w:tr w14:paraId="600D2D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3D00A4A7">
                  <w:pPr>
                    <w:spacing w:before="53" w:line="240" w:lineRule="auto"/>
                    <w:jc w:val="center"/>
                    <w:rPr>
                      <w:rFonts w:hint="eastAsia" w:eastAsia="宋体"/>
                      <w:b/>
                      <w:bCs/>
                      <w:color w:val="auto"/>
                      <w:spacing w:val="6"/>
                      <w:szCs w:val="21"/>
                      <w:highlight w:val="none"/>
                      <w:lang w:val="en-US" w:eastAsia="zh-CN"/>
                    </w:rPr>
                  </w:pPr>
                  <w:r>
                    <w:rPr>
                      <w:rFonts w:hint="eastAsia"/>
                      <w:b/>
                      <w:bCs/>
                      <w:color w:val="auto"/>
                      <w:spacing w:val="6"/>
                      <w:szCs w:val="21"/>
                      <w:highlight w:val="none"/>
                      <w:lang w:val="en-US" w:eastAsia="zh-CN"/>
                    </w:rPr>
                    <w:t>1</w:t>
                  </w:r>
                </w:p>
              </w:tc>
              <w:tc>
                <w:tcPr>
                  <w:tcW w:w="1003" w:type="dxa"/>
                  <w:tcBorders>
                    <w:tl2br w:val="nil"/>
                    <w:tr2bl w:val="nil"/>
                  </w:tcBorders>
                  <w:shd w:val="clear" w:color="auto" w:fill="auto"/>
                  <w:noWrap w:val="0"/>
                  <w:vAlign w:val="center"/>
                </w:tcPr>
                <w:p w14:paraId="613B5A95">
                  <w:pPr>
                    <w:spacing w:before="53" w:line="240" w:lineRule="auto"/>
                    <w:jc w:val="center"/>
                    <w:rPr>
                      <w:rFonts w:hint="default" w:ascii="Times New Roman" w:hAnsi="Times New Roman" w:eastAsia="宋体" w:cs="Times New Roman"/>
                      <w:color w:val="auto"/>
                      <w:spacing w:val="6"/>
                      <w:kern w:val="2"/>
                      <w:sz w:val="21"/>
                      <w:szCs w:val="21"/>
                      <w:highlight w:val="none"/>
                      <w:lang w:val="en-US" w:eastAsia="zh-CN" w:bidi="ar-SA"/>
                    </w:rPr>
                  </w:pPr>
                  <w:r>
                    <w:rPr>
                      <w:rFonts w:hint="eastAsia"/>
                      <w:color w:val="auto"/>
                      <w:spacing w:val="6"/>
                      <w:szCs w:val="21"/>
                      <w:highlight w:val="none"/>
                    </w:rPr>
                    <w:t>盐酸</w:t>
                  </w:r>
                </w:p>
              </w:tc>
              <w:tc>
                <w:tcPr>
                  <w:tcW w:w="6261" w:type="dxa"/>
                  <w:tcBorders>
                    <w:tl2br w:val="nil"/>
                    <w:tr2bl w:val="nil"/>
                  </w:tcBorders>
                  <w:shd w:val="clear" w:color="auto" w:fill="auto"/>
                  <w:noWrap w:val="0"/>
                  <w:vAlign w:val="top"/>
                </w:tcPr>
                <w:p w14:paraId="311BBB1C">
                  <w:pPr>
                    <w:spacing w:before="51" w:line="240" w:lineRule="auto"/>
                    <w:jc w:val="both"/>
                    <w:rPr>
                      <w:rFonts w:hint="default" w:ascii="Times New Roman" w:hAnsi="Times New Roman" w:eastAsia="宋体" w:cs="Times New Roman"/>
                      <w:color w:val="auto"/>
                      <w:kern w:val="2"/>
                      <w:sz w:val="21"/>
                      <w:szCs w:val="21"/>
                      <w:highlight w:val="none"/>
                      <w:shd w:val="clear" w:color="auto" w:fill="FFFFFF"/>
                      <w:lang w:val="en-US" w:eastAsia="zh-CN" w:bidi="ar-SA"/>
                    </w:rPr>
                  </w:pPr>
                  <w:r>
                    <w:rPr>
                      <w:color w:val="auto"/>
                      <w:szCs w:val="21"/>
                      <w:highlight w:val="none"/>
                      <w:shd w:val="clear" w:color="auto" w:fill="FFFFFF"/>
                    </w:rPr>
                    <w:t>盐酸是氯化氢(HCl)的水溶液 ，工业用途广泛。盐酸的性状为无色透明的液体，有强烈的刺鼻气味，具有较高的腐蚀性。浓盐酸(质量分数约为37%)具有极强的挥发性，因此盛有浓盐酸的容器打开后氯化氢气体会挥发，与空气中的水蒸气结合产生盐酸小液滴，使瓶口上方出现酸雾。盐酸是胃酸的主要成分，它能够促进食物消化、抵御微生物感染。</w:t>
                  </w:r>
                </w:p>
              </w:tc>
            </w:tr>
            <w:tr w14:paraId="7853D4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45C6A8C3">
                  <w:pPr>
                    <w:spacing w:before="53" w:line="240" w:lineRule="auto"/>
                    <w:jc w:val="center"/>
                    <w:rPr>
                      <w:rFonts w:hint="eastAsia" w:eastAsia="宋体"/>
                      <w:b/>
                      <w:bCs/>
                      <w:color w:val="auto"/>
                      <w:spacing w:val="6"/>
                      <w:szCs w:val="21"/>
                      <w:highlight w:val="none"/>
                      <w:lang w:val="en-US" w:eastAsia="zh-CN"/>
                    </w:rPr>
                  </w:pPr>
                  <w:r>
                    <w:rPr>
                      <w:rFonts w:hint="eastAsia"/>
                      <w:b/>
                      <w:bCs/>
                      <w:color w:val="auto"/>
                      <w:spacing w:val="6"/>
                      <w:szCs w:val="21"/>
                      <w:highlight w:val="none"/>
                      <w:lang w:val="en-US" w:eastAsia="zh-CN"/>
                    </w:rPr>
                    <w:t>2</w:t>
                  </w:r>
                </w:p>
              </w:tc>
              <w:tc>
                <w:tcPr>
                  <w:tcW w:w="1003" w:type="dxa"/>
                  <w:tcBorders>
                    <w:tl2br w:val="nil"/>
                    <w:tr2bl w:val="nil"/>
                  </w:tcBorders>
                  <w:shd w:val="clear" w:color="auto" w:fill="auto"/>
                  <w:noWrap w:val="0"/>
                  <w:vAlign w:val="center"/>
                </w:tcPr>
                <w:p w14:paraId="54A21572">
                  <w:pPr>
                    <w:spacing w:before="51" w:line="240" w:lineRule="auto"/>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eastAsia="宋体"/>
                      <w:color w:val="auto"/>
                      <w:spacing w:val="-10"/>
                      <w:szCs w:val="21"/>
                      <w:highlight w:val="none"/>
                    </w:rPr>
                    <w:t>硝酸</w:t>
                  </w:r>
                </w:p>
              </w:tc>
              <w:tc>
                <w:tcPr>
                  <w:tcW w:w="6261" w:type="dxa"/>
                  <w:tcBorders>
                    <w:tl2br w:val="nil"/>
                    <w:tr2bl w:val="nil"/>
                  </w:tcBorders>
                  <w:shd w:val="clear" w:color="auto" w:fill="auto"/>
                  <w:noWrap w:val="0"/>
                  <w:vAlign w:val="top"/>
                </w:tcPr>
                <w:p w14:paraId="6ADBD5A6">
                  <w:pPr>
                    <w:spacing w:before="51" w:line="240" w:lineRule="auto"/>
                    <w:jc w:val="both"/>
                    <w:rPr>
                      <w:rFonts w:hint="default" w:ascii="Times New Roman" w:hAnsi="Times New Roman" w:eastAsia="宋体" w:cs="Times New Roman"/>
                      <w:color w:val="auto"/>
                      <w:kern w:val="2"/>
                      <w:sz w:val="21"/>
                      <w:szCs w:val="21"/>
                      <w:highlight w:val="none"/>
                      <w:shd w:val="clear" w:color="auto" w:fill="FFFFFF"/>
                      <w:lang w:val="en-US" w:eastAsia="zh-CN" w:bidi="ar-SA"/>
                    </w:rPr>
                  </w:pPr>
                  <w:r>
                    <w:rPr>
                      <w:color w:val="auto"/>
                      <w:szCs w:val="21"/>
                      <w:highlight w:val="none"/>
                      <w:shd w:val="clear" w:color="auto" w:fill="FFFFFF"/>
                    </w:rPr>
                    <w:t>硝酸是一种具有强氧化性、腐蚀性的强酸。化学式:HNO</w:t>
                  </w:r>
                  <w:r>
                    <w:rPr>
                      <w:color w:val="auto"/>
                      <w:szCs w:val="21"/>
                      <w:highlight w:val="none"/>
                      <w:shd w:val="clear" w:color="auto" w:fill="FFFFFF"/>
                      <w:vertAlign w:val="subscript"/>
                    </w:rPr>
                    <w:t>3</w:t>
                  </w:r>
                  <w:r>
                    <w:rPr>
                      <w:color w:val="auto"/>
                      <w:szCs w:val="21"/>
                      <w:highlight w:val="none"/>
                      <w:shd w:val="clear" w:color="auto" w:fill="FFFFFF"/>
                    </w:rPr>
                    <w:t>。熔点:-42℃，沸点:78℃，易溶于水，常温下纯硝酸溶液无色透明。硝酸不稳定，遇光或热会分解而放出二氧化氮，分解产生的二氧化氮溶于硝酸，从而使外观带有浅黄色 ，应在棕色瓶中于阴暗处避光保存，也可保存在磨砂外层塑料瓶中(不太建议)，严禁与还原剂接触。</w:t>
                  </w:r>
                </w:p>
              </w:tc>
            </w:tr>
            <w:tr w14:paraId="152BDC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3A3E5716">
                  <w:pPr>
                    <w:spacing w:before="53" w:line="240" w:lineRule="auto"/>
                    <w:jc w:val="center"/>
                    <w:rPr>
                      <w:rFonts w:hint="eastAsia" w:eastAsia="宋体"/>
                      <w:b/>
                      <w:bCs/>
                      <w:color w:val="auto"/>
                      <w:spacing w:val="6"/>
                      <w:szCs w:val="21"/>
                      <w:highlight w:val="none"/>
                      <w:lang w:val="en-US" w:eastAsia="zh-CN"/>
                    </w:rPr>
                  </w:pPr>
                  <w:r>
                    <w:rPr>
                      <w:rFonts w:hint="eastAsia"/>
                      <w:b/>
                      <w:bCs/>
                      <w:color w:val="auto"/>
                      <w:spacing w:val="6"/>
                      <w:szCs w:val="21"/>
                      <w:highlight w:val="none"/>
                      <w:lang w:val="en-US" w:eastAsia="zh-CN"/>
                    </w:rPr>
                    <w:t>3</w:t>
                  </w:r>
                </w:p>
              </w:tc>
              <w:tc>
                <w:tcPr>
                  <w:tcW w:w="1003" w:type="dxa"/>
                  <w:tcBorders>
                    <w:tl2br w:val="nil"/>
                    <w:tr2bl w:val="nil"/>
                  </w:tcBorders>
                  <w:shd w:val="clear" w:color="auto" w:fill="auto"/>
                  <w:noWrap w:val="0"/>
                  <w:vAlign w:val="center"/>
                </w:tcPr>
                <w:p w14:paraId="4E394BFA">
                  <w:pPr>
                    <w:spacing w:before="53" w:line="240" w:lineRule="auto"/>
                    <w:jc w:val="center"/>
                    <w:rPr>
                      <w:rFonts w:hint="default" w:ascii="Times New Roman" w:hAnsi="Times New Roman" w:eastAsia="宋体" w:cs="Times New Roman"/>
                      <w:color w:val="auto"/>
                      <w:spacing w:val="6"/>
                      <w:kern w:val="2"/>
                      <w:sz w:val="21"/>
                      <w:szCs w:val="21"/>
                      <w:highlight w:val="none"/>
                      <w:lang w:val="en-US" w:eastAsia="zh-CN" w:bidi="ar-SA"/>
                    </w:rPr>
                  </w:pPr>
                  <w:r>
                    <w:rPr>
                      <w:rFonts w:hint="eastAsia"/>
                      <w:color w:val="auto"/>
                      <w:spacing w:val="6"/>
                      <w:szCs w:val="21"/>
                      <w:highlight w:val="none"/>
                    </w:rPr>
                    <w:t>硫酸</w:t>
                  </w:r>
                </w:p>
              </w:tc>
              <w:tc>
                <w:tcPr>
                  <w:tcW w:w="6261" w:type="dxa"/>
                  <w:tcBorders>
                    <w:tl2br w:val="nil"/>
                    <w:tr2bl w:val="nil"/>
                  </w:tcBorders>
                  <w:shd w:val="clear" w:color="auto" w:fill="auto"/>
                  <w:noWrap w:val="0"/>
                  <w:vAlign w:val="top"/>
                </w:tcPr>
                <w:p w14:paraId="47F15388">
                  <w:pPr>
                    <w:spacing w:before="51" w:line="240" w:lineRule="auto"/>
                    <w:jc w:val="both"/>
                    <w:rPr>
                      <w:rFonts w:hint="default" w:ascii="Times New Roman" w:hAnsi="Times New Roman" w:eastAsia="宋体" w:cs="Times New Roman"/>
                      <w:color w:val="auto"/>
                      <w:kern w:val="2"/>
                      <w:sz w:val="21"/>
                      <w:szCs w:val="21"/>
                      <w:highlight w:val="none"/>
                      <w:shd w:val="clear" w:color="auto" w:fill="FFFFFF"/>
                      <w:lang w:val="en-US" w:eastAsia="zh-CN" w:bidi="ar-SA"/>
                    </w:rPr>
                  </w:pPr>
                  <w:r>
                    <w:rPr>
                      <w:color w:val="auto"/>
                      <w:szCs w:val="21"/>
                      <w:highlight w:val="none"/>
                      <w:shd w:val="clear" w:color="auto" w:fill="FFFFFF"/>
                    </w:rPr>
                    <w:t>硫酸(化学式:H₂SO₄)，硫的最重要的含氧酸。无水硫酸为无色油状液体，10.36℃时结晶，通常使用的是它的各种不同浓度的水溶液，用塔式法和接触法制取。前者所得为粗制稀硫酸，质量分数一般在75%左右;后者可得质量分数98.3%的纯浓硫酸，沸点338℃，相对密度1.84。</w:t>
                  </w:r>
                </w:p>
              </w:tc>
            </w:tr>
            <w:tr w14:paraId="3CAEC7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4E9191CD">
                  <w:pPr>
                    <w:spacing w:before="53" w:line="240" w:lineRule="auto"/>
                    <w:jc w:val="center"/>
                    <w:rPr>
                      <w:rFonts w:hint="eastAsia" w:eastAsia="宋体"/>
                      <w:b/>
                      <w:bCs/>
                      <w:color w:val="auto"/>
                      <w:spacing w:val="6"/>
                      <w:szCs w:val="21"/>
                      <w:highlight w:val="none"/>
                      <w:lang w:val="en-US" w:eastAsia="zh-CN"/>
                    </w:rPr>
                  </w:pPr>
                  <w:r>
                    <w:rPr>
                      <w:rFonts w:hint="eastAsia"/>
                      <w:b/>
                      <w:bCs/>
                      <w:color w:val="auto"/>
                      <w:spacing w:val="6"/>
                      <w:szCs w:val="21"/>
                      <w:highlight w:val="none"/>
                      <w:lang w:val="en-US" w:eastAsia="zh-CN"/>
                    </w:rPr>
                    <w:t>4</w:t>
                  </w:r>
                </w:p>
              </w:tc>
              <w:tc>
                <w:tcPr>
                  <w:tcW w:w="1003" w:type="dxa"/>
                  <w:tcBorders>
                    <w:tl2br w:val="nil"/>
                    <w:tr2bl w:val="nil"/>
                  </w:tcBorders>
                  <w:shd w:val="clear" w:color="auto" w:fill="auto"/>
                  <w:noWrap w:val="0"/>
                  <w:vAlign w:val="center"/>
                </w:tcPr>
                <w:p w14:paraId="44642C82">
                  <w:pPr>
                    <w:spacing w:before="51" w:line="240" w:lineRule="auto"/>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eastAsia="宋体"/>
                      <w:color w:val="auto"/>
                      <w:spacing w:val="-10"/>
                      <w:szCs w:val="21"/>
                      <w:highlight w:val="none"/>
                      <w:lang w:val="en-US" w:eastAsia="zh-CN"/>
                    </w:rPr>
                    <w:t>氨水</w:t>
                  </w:r>
                </w:p>
              </w:tc>
              <w:tc>
                <w:tcPr>
                  <w:tcW w:w="6261" w:type="dxa"/>
                  <w:tcBorders>
                    <w:tl2br w:val="nil"/>
                    <w:tr2bl w:val="nil"/>
                  </w:tcBorders>
                  <w:shd w:val="clear" w:color="auto" w:fill="auto"/>
                  <w:noWrap w:val="0"/>
                  <w:vAlign w:val="top"/>
                </w:tcPr>
                <w:p w14:paraId="7DE089B2">
                  <w:pPr>
                    <w:spacing w:before="51" w:line="240" w:lineRule="auto"/>
                    <w:jc w:val="both"/>
                    <w:rPr>
                      <w:rFonts w:eastAsia="宋体"/>
                      <w:color w:val="auto"/>
                      <w:szCs w:val="21"/>
                      <w:highlight w:val="none"/>
                      <w:shd w:val="clear" w:color="auto" w:fill="FFFFFF"/>
                    </w:rPr>
                  </w:pPr>
                  <w:r>
                    <w:rPr>
                      <w:rFonts w:hint="eastAsia" w:eastAsia="宋体"/>
                      <w:color w:val="auto"/>
                      <w:szCs w:val="21"/>
                      <w:highlight w:val="none"/>
                      <w:shd w:val="clear" w:color="auto" w:fill="FFFFFF"/>
                      <w:lang w:val="en-US" w:eastAsia="zh-CN"/>
                    </w:rPr>
                    <w:t>溶于水、易挥发，对眼、鼻、皮肤有刺激性和腐蚀性，能使人窒息，</w:t>
                  </w:r>
                </w:p>
                <w:p w14:paraId="3CFD3AEE">
                  <w:pPr>
                    <w:spacing w:before="51" w:line="240" w:lineRule="auto"/>
                    <w:jc w:val="both"/>
                    <w:rPr>
                      <w:rFonts w:ascii="Times New Roman" w:hAnsi="Times New Roman" w:eastAsia="宋体" w:cs="Times New Roman"/>
                      <w:color w:val="auto"/>
                      <w:kern w:val="2"/>
                      <w:sz w:val="21"/>
                      <w:szCs w:val="21"/>
                      <w:highlight w:val="none"/>
                      <w:shd w:val="clear" w:color="auto" w:fill="FFFFFF"/>
                      <w:lang w:val="en-US" w:eastAsia="zh-CN" w:bidi="ar-SA"/>
                    </w:rPr>
                  </w:pPr>
                  <w:r>
                    <w:rPr>
                      <w:rFonts w:hint="eastAsia" w:eastAsia="宋体"/>
                      <w:color w:val="auto"/>
                      <w:szCs w:val="21"/>
                      <w:highlight w:val="none"/>
                      <w:shd w:val="clear" w:color="auto" w:fill="FFFFFF"/>
                      <w:lang w:val="en-US" w:eastAsia="zh-CN"/>
                    </w:rPr>
                    <w:t>熔点</w:t>
                  </w:r>
                  <w:r>
                    <w:rPr>
                      <w:rFonts w:hint="default" w:eastAsia="宋体"/>
                      <w:color w:val="auto"/>
                      <w:szCs w:val="21"/>
                      <w:highlight w:val="none"/>
                      <w:shd w:val="clear" w:color="auto" w:fill="FFFFFF"/>
                      <w:lang w:val="en-US" w:eastAsia="zh-CN"/>
                    </w:rPr>
                    <w:t>-77℃</w:t>
                  </w:r>
                  <w:r>
                    <w:rPr>
                      <w:rFonts w:hint="eastAsia" w:eastAsia="宋体"/>
                      <w:color w:val="auto"/>
                      <w:szCs w:val="21"/>
                      <w:highlight w:val="none"/>
                      <w:shd w:val="clear" w:color="auto" w:fill="FFFFFF"/>
                      <w:lang w:val="en-US" w:eastAsia="zh-CN"/>
                    </w:rPr>
                    <w:t xml:space="preserve">，沸点 </w:t>
                  </w:r>
                  <w:r>
                    <w:rPr>
                      <w:rFonts w:hint="default" w:eastAsia="宋体"/>
                      <w:color w:val="auto"/>
                      <w:szCs w:val="21"/>
                      <w:highlight w:val="none"/>
                      <w:shd w:val="clear" w:color="auto" w:fill="FFFFFF"/>
                      <w:lang w:val="en-US" w:eastAsia="zh-CN"/>
                    </w:rPr>
                    <w:t>36℃</w:t>
                  </w:r>
                  <w:r>
                    <w:rPr>
                      <w:rFonts w:hint="eastAsia" w:eastAsia="宋体"/>
                      <w:color w:val="auto"/>
                      <w:szCs w:val="21"/>
                      <w:highlight w:val="none"/>
                      <w:shd w:val="clear" w:color="auto" w:fill="FFFFFF"/>
                      <w:lang w:val="en-US" w:eastAsia="zh-CN"/>
                    </w:rPr>
                    <w:t>，密度</w:t>
                  </w:r>
                  <w:r>
                    <w:rPr>
                      <w:rFonts w:hint="default" w:eastAsia="宋体"/>
                      <w:color w:val="auto"/>
                      <w:szCs w:val="21"/>
                      <w:highlight w:val="none"/>
                      <w:shd w:val="clear" w:color="auto" w:fill="FFFFFF"/>
                      <w:lang w:val="en-US" w:eastAsia="zh-CN"/>
                    </w:rPr>
                    <w:t>0.91g/cm3</w:t>
                  </w:r>
                  <w:r>
                    <w:rPr>
                      <w:rFonts w:hint="eastAsia" w:eastAsia="宋体"/>
                      <w:color w:val="auto"/>
                      <w:szCs w:val="21"/>
                      <w:highlight w:val="none"/>
                      <w:shd w:val="clear" w:color="auto" w:fill="FFFFFF"/>
                      <w:lang w:val="en-US" w:eastAsia="zh-CN"/>
                    </w:rPr>
                    <w:t>，氨水由氨气通入水中制得。</w:t>
                  </w:r>
                </w:p>
              </w:tc>
            </w:tr>
            <w:tr w14:paraId="1DFDDF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557AC202">
                  <w:pPr>
                    <w:spacing w:before="53" w:line="240" w:lineRule="auto"/>
                    <w:jc w:val="center"/>
                    <w:rPr>
                      <w:rFonts w:hint="eastAsia" w:eastAsia="宋体"/>
                      <w:b/>
                      <w:bCs/>
                      <w:color w:val="auto"/>
                      <w:spacing w:val="6"/>
                      <w:szCs w:val="21"/>
                      <w:highlight w:val="none"/>
                      <w:lang w:val="en-US" w:eastAsia="zh-CN"/>
                    </w:rPr>
                  </w:pPr>
                  <w:r>
                    <w:rPr>
                      <w:rFonts w:hint="eastAsia"/>
                      <w:b/>
                      <w:bCs/>
                      <w:color w:val="auto"/>
                      <w:spacing w:val="6"/>
                      <w:szCs w:val="21"/>
                      <w:highlight w:val="none"/>
                      <w:lang w:val="en-US" w:eastAsia="zh-CN"/>
                    </w:rPr>
                    <w:t>5</w:t>
                  </w:r>
                </w:p>
              </w:tc>
              <w:tc>
                <w:tcPr>
                  <w:tcW w:w="1003" w:type="dxa"/>
                  <w:tcBorders>
                    <w:tl2br w:val="nil"/>
                    <w:tr2bl w:val="nil"/>
                  </w:tcBorders>
                  <w:shd w:val="clear" w:color="auto" w:fill="auto"/>
                  <w:noWrap w:val="0"/>
                  <w:vAlign w:val="center"/>
                </w:tcPr>
                <w:p w14:paraId="49E5866A">
                  <w:pPr>
                    <w:spacing w:before="53" w:line="240" w:lineRule="auto"/>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eastAsia="Times New Roman"/>
                      <w:color w:val="auto"/>
                      <w:spacing w:val="6"/>
                      <w:szCs w:val="21"/>
                      <w:highlight w:val="none"/>
                    </w:rPr>
                    <w:t>甲醇</w:t>
                  </w:r>
                </w:p>
              </w:tc>
              <w:tc>
                <w:tcPr>
                  <w:tcW w:w="6261" w:type="dxa"/>
                  <w:tcBorders>
                    <w:tl2br w:val="nil"/>
                    <w:tr2bl w:val="nil"/>
                  </w:tcBorders>
                  <w:shd w:val="clear" w:color="auto" w:fill="auto"/>
                  <w:noWrap w:val="0"/>
                  <w:vAlign w:val="top"/>
                </w:tcPr>
                <w:p w14:paraId="4BBA1E21">
                  <w:pPr>
                    <w:spacing w:before="51" w:line="240" w:lineRule="auto"/>
                    <w:jc w:val="both"/>
                    <w:rPr>
                      <w:rFonts w:hint="default" w:ascii="Times New Roman" w:hAnsi="Times New Roman" w:eastAsia="宋体" w:cs="Times New Roman"/>
                      <w:color w:val="auto"/>
                      <w:kern w:val="2"/>
                      <w:sz w:val="21"/>
                      <w:szCs w:val="21"/>
                      <w:highlight w:val="none"/>
                      <w:shd w:val="clear" w:color="auto" w:fill="FFFFFF"/>
                      <w:lang w:val="en-US" w:eastAsia="zh-CN" w:bidi="ar-SA"/>
                    </w:rPr>
                  </w:pPr>
                  <w:r>
                    <w:rPr>
                      <w:color w:val="auto"/>
                      <w:szCs w:val="21"/>
                      <w:highlight w:val="none"/>
                      <w:shd w:val="clear" w:color="auto" w:fill="FFFFFF"/>
                    </w:rPr>
                    <w:t>无色透明液体，有刺激性气味。熔点-97.8.沸点(C)↓64.7。易燃，其蒸气与空气可形成爆炸性混合物，遇明火、高热能引起燃烧、爆炸，与氧化剂接触发生化学反应或引起燃烧，在火场中，受热的容器有爆炸危险，能在较低处扩散到相当远的地方，遇明火会引着回燃，燃烧分解一氧化碳、二氧化碳。</w:t>
                  </w:r>
                </w:p>
              </w:tc>
            </w:tr>
            <w:tr w14:paraId="3187EC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6E6D60CE">
                  <w:pPr>
                    <w:spacing w:before="51" w:line="240" w:lineRule="auto"/>
                    <w:jc w:val="center"/>
                    <w:rPr>
                      <w:rFonts w:hint="eastAsia" w:eastAsia="宋体"/>
                      <w:color w:val="auto"/>
                      <w:spacing w:val="-10"/>
                      <w:szCs w:val="21"/>
                      <w:highlight w:val="none"/>
                      <w:lang w:val="en-US" w:eastAsia="zh-CN"/>
                    </w:rPr>
                  </w:pPr>
                  <w:r>
                    <w:rPr>
                      <w:rFonts w:hint="eastAsia"/>
                      <w:color w:val="auto"/>
                      <w:spacing w:val="-10"/>
                      <w:szCs w:val="21"/>
                      <w:highlight w:val="none"/>
                      <w:lang w:val="en-US" w:eastAsia="zh-CN"/>
                    </w:rPr>
                    <w:t>6</w:t>
                  </w:r>
                </w:p>
              </w:tc>
              <w:tc>
                <w:tcPr>
                  <w:tcW w:w="1003" w:type="dxa"/>
                  <w:tcBorders>
                    <w:tl2br w:val="nil"/>
                    <w:tr2bl w:val="nil"/>
                  </w:tcBorders>
                  <w:noWrap w:val="0"/>
                  <w:vAlign w:val="center"/>
                </w:tcPr>
                <w:p w14:paraId="70B83428">
                  <w:pPr>
                    <w:spacing w:before="52" w:line="240" w:lineRule="auto"/>
                    <w:jc w:val="center"/>
                    <w:rPr>
                      <w:color w:val="auto"/>
                      <w:szCs w:val="21"/>
                      <w:highlight w:val="none"/>
                    </w:rPr>
                  </w:pPr>
                  <w:r>
                    <w:rPr>
                      <w:color w:val="auto"/>
                      <w:spacing w:val="-6"/>
                      <w:szCs w:val="21"/>
                      <w:highlight w:val="none"/>
                    </w:rPr>
                    <w:t>乙</w:t>
                  </w:r>
                  <w:r>
                    <w:rPr>
                      <w:color w:val="auto"/>
                      <w:spacing w:val="-5"/>
                      <w:szCs w:val="21"/>
                      <w:highlight w:val="none"/>
                    </w:rPr>
                    <w:t>醇</w:t>
                  </w:r>
                </w:p>
              </w:tc>
              <w:tc>
                <w:tcPr>
                  <w:tcW w:w="6261" w:type="dxa"/>
                  <w:tcBorders>
                    <w:tl2br w:val="nil"/>
                    <w:tr2bl w:val="nil"/>
                  </w:tcBorders>
                  <w:noWrap w:val="0"/>
                  <w:vAlign w:val="top"/>
                </w:tcPr>
                <w:p w14:paraId="5DFBAC95">
                  <w:pPr>
                    <w:spacing w:before="53" w:line="240" w:lineRule="auto"/>
                    <w:jc w:val="both"/>
                    <w:rPr>
                      <w:color w:val="auto"/>
                      <w:spacing w:val="6"/>
                      <w:szCs w:val="21"/>
                      <w:highlight w:val="none"/>
                    </w:rPr>
                  </w:pPr>
                  <w:r>
                    <w:rPr>
                      <w:color w:val="auto"/>
                      <w:spacing w:val="6"/>
                      <w:szCs w:val="21"/>
                      <w:highlight w:val="none"/>
                    </w:rPr>
                    <w:t>易燃、易挥发的无色透明液体，它的水溶液具有酒香的气味，并略带刺激。有酒的气味和刺激的辛辣滋味，微甘。乙醇液体密度是0.789g/cm</w:t>
                  </w:r>
                  <w:r>
                    <w:rPr>
                      <w:color w:val="auto"/>
                      <w:spacing w:val="6"/>
                      <w:szCs w:val="21"/>
                      <w:highlight w:val="none"/>
                      <w:vertAlign w:val="superscript"/>
                    </w:rPr>
                    <w:t>3</w:t>
                  </w:r>
                  <w:r>
                    <w:rPr>
                      <w:color w:val="auto"/>
                      <w:spacing w:val="6"/>
                      <w:szCs w:val="21"/>
                      <w:highlight w:val="none"/>
                    </w:rPr>
                    <w:t>(20℃)，乙醇气体密度为1.59kg/m</w:t>
                  </w:r>
                  <w:r>
                    <w:rPr>
                      <w:color w:val="auto"/>
                      <w:spacing w:val="6"/>
                      <w:szCs w:val="21"/>
                      <w:highlight w:val="none"/>
                      <w:vertAlign w:val="superscript"/>
                    </w:rPr>
                    <w:t>3</w:t>
                  </w:r>
                  <w:r>
                    <w:rPr>
                      <w:color w:val="auto"/>
                      <w:spacing w:val="6"/>
                      <w:szCs w:val="21"/>
                      <w:highlight w:val="none"/>
                    </w:rPr>
                    <w:t>，沸点是78.3℃，熔点是-114.1℃，易燃，其蒸气能与空气形成爆炸性混合物，能与水以任意比互溶。能与氯仿、乙醚、甲醇、丙酮和其他多数有机溶剂混溶。</w:t>
                  </w:r>
                </w:p>
              </w:tc>
            </w:tr>
            <w:tr w14:paraId="186732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73E500F2">
                  <w:pPr>
                    <w:spacing w:before="51" w:line="240" w:lineRule="auto"/>
                    <w:jc w:val="center"/>
                    <w:rPr>
                      <w:rFonts w:hint="eastAsia" w:eastAsia="宋体"/>
                      <w:color w:val="auto"/>
                      <w:spacing w:val="-10"/>
                      <w:szCs w:val="21"/>
                      <w:highlight w:val="none"/>
                      <w:lang w:val="en-US" w:eastAsia="zh-CN"/>
                    </w:rPr>
                  </w:pPr>
                  <w:r>
                    <w:rPr>
                      <w:rFonts w:hint="eastAsia"/>
                      <w:color w:val="auto"/>
                      <w:spacing w:val="-10"/>
                      <w:szCs w:val="21"/>
                      <w:highlight w:val="none"/>
                      <w:lang w:val="en-US" w:eastAsia="zh-CN"/>
                    </w:rPr>
                    <w:t>7</w:t>
                  </w:r>
                </w:p>
              </w:tc>
              <w:tc>
                <w:tcPr>
                  <w:tcW w:w="1003" w:type="dxa"/>
                  <w:tcBorders>
                    <w:tl2br w:val="nil"/>
                    <w:tr2bl w:val="nil"/>
                  </w:tcBorders>
                  <w:shd w:val="clear" w:color="auto" w:fill="auto"/>
                  <w:noWrap w:val="0"/>
                  <w:vAlign w:val="center"/>
                </w:tcPr>
                <w:p w14:paraId="0159699F">
                  <w:pPr>
                    <w:spacing w:before="51" w:line="240" w:lineRule="auto"/>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Cs w:val="21"/>
                      <w:highlight w:val="none"/>
                      <w:lang w:val="en-US" w:eastAsia="zh-CN"/>
                    </w:rPr>
                    <w:t>乙酸</w:t>
                  </w:r>
                </w:p>
              </w:tc>
              <w:tc>
                <w:tcPr>
                  <w:tcW w:w="6261" w:type="dxa"/>
                  <w:tcBorders>
                    <w:tl2br w:val="nil"/>
                    <w:tr2bl w:val="nil"/>
                  </w:tcBorders>
                  <w:shd w:val="clear" w:color="auto" w:fill="auto"/>
                  <w:noWrap w:val="0"/>
                  <w:vAlign w:val="top"/>
                </w:tcPr>
                <w:p w14:paraId="62B3D974">
                  <w:pPr>
                    <w:spacing w:before="51" w:line="240" w:lineRule="auto"/>
                    <w:jc w:val="both"/>
                    <w:rPr>
                      <w:rFonts w:hint="eastAsia" w:ascii="Times New Roman" w:hAnsi="Times New Roman" w:eastAsia="宋体" w:cs="Times New Roman"/>
                      <w:color w:val="auto"/>
                      <w:kern w:val="2"/>
                      <w:sz w:val="21"/>
                      <w:szCs w:val="21"/>
                      <w:highlight w:val="none"/>
                      <w:shd w:val="clear" w:color="auto" w:fill="FFFFFF"/>
                      <w:lang w:val="en-US" w:eastAsia="zh-CN" w:bidi="ar-SA"/>
                    </w:rPr>
                  </w:pPr>
                  <w:r>
                    <w:rPr>
                      <w:rFonts w:hint="eastAsia" w:eastAsia="宋体"/>
                      <w:color w:val="auto"/>
                      <w:szCs w:val="21"/>
                      <w:highlight w:val="none"/>
                      <w:shd w:val="clear" w:color="auto" w:fill="FFFFFF"/>
                      <w:lang w:val="en-US" w:eastAsia="zh-CN"/>
                    </w:rPr>
                    <w:t>纯乙酸（冰醋酸）</w:t>
                  </w:r>
                  <w:r>
                    <w:rPr>
                      <w:rFonts w:hint="default" w:eastAsia="宋体"/>
                      <w:color w:val="auto"/>
                      <w:szCs w:val="21"/>
                      <w:highlight w:val="none"/>
                      <w:shd w:val="clear" w:color="auto" w:fill="FFFFFF"/>
                      <w:lang w:val="en-US" w:eastAsia="zh-CN"/>
                    </w:rPr>
                    <w:t>：常温（20℃）下为无色透明液体，低温（&lt;16.6℃）时凝结为白色针状晶体（因凝固点接近室温，外观似冰，有强烈刺激性气味，气味易扩散，浓度过高时会刺激呼吸道黏膜。</w:t>
                  </w:r>
                </w:p>
              </w:tc>
            </w:tr>
            <w:tr w14:paraId="032790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shd w:val="clear"/>
                  <w:noWrap w:val="0"/>
                  <w:vAlign w:val="center"/>
                </w:tcPr>
                <w:p w14:paraId="287944D7">
                  <w:pPr>
                    <w:spacing w:before="51" w:line="240" w:lineRule="auto"/>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Cs w:val="21"/>
                      <w:highlight w:val="none"/>
                      <w:lang w:val="en-US" w:eastAsia="zh-CN"/>
                    </w:rPr>
                    <w:t>8</w:t>
                  </w:r>
                </w:p>
              </w:tc>
              <w:tc>
                <w:tcPr>
                  <w:tcW w:w="1003" w:type="dxa"/>
                  <w:tcBorders>
                    <w:tl2br w:val="nil"/>
                    <w:tr2bl w:val="nil"/>
                  </w:tcBorders>
                  <w:shd w:val="clear"/>
                  <w:noWrap w:val="0"/>
                  <w:vAlign w:val="center"/>
                </w:tcPr>
                <w:p w14:paraId="23B2AF5E">
                  <w:pPr>
                    <w:spacing w:before="53" w:line="240" w:lineRule="auto"/>
                    <w:jc w:val="center"/>
                    <w:rPr>
                      <w:rFonts w:hint="default"/>
                      <w:color w:val="auto"/>
                      <w:spacing w:val="6"/>
                      <w:szCs w:val="21"/>
                      <w:highlight w:val="none"/>
                    </w:rPr>
                  </w:pPr>
                  <w:r>
                    <w:rPr>
                      <w:rFonts w:hint="default"/>
                      <w:color w:val="auto"/>
                      <w:spacing w:val="6"/>
                      <w:szCs w:val="21"/>
                      <w:highlight w:val="none"/>
                    </w:rPr>
                    <w:t>乙酸</w:t>
                  </w:r>
                </w:p>
                <w:p w14:paraId="07756CEB">
                  <w:pPr>
                    <w:spacing w:before="53" w:line="240" w:lineRule="auto"/>
                    <w:jc w:val="center"/>
                    <w:rPr>
                      <w:rFonts w:hint="eastAsia" w:ascii="Times New Roman" w:hAnsi="Times New Roman" w:eastAsia="宋体" w:cs="Times New Roman"/>
                      <w:color w:val="auto"/>
                      <w:spacing w:val="6"/>
                      <w:kern w:val="2"/>
                      <w:sz w:val="21"/>
                      <w:szCs w:val="21"/>
                      <w:highlight w:val="none"/>
                      <w:lang w:val="en-US" w:eastAsia="zh-CN" w:bidi="ar-SA"/>
                    </w:rPr>
                  </w:pPr>
                  <w:r>
                    <w:rPr>
                      <w:rFonts w:hint="default"/>
                      <w:color w:val="auto"/>
                      <w:spacing w:val="6"/>
                      <w:szCs w:val="21"/>
                      <w:highlight w:val="none"/>
                    </w:rPr>
                    <w:t>乙酯</w:t>
                  </w:r>
                </w:p>
              </w:tc>
              <w:tc>
                <w:tcPr>
                  <w:tcW w:w="6261" w:type="dxa"/>
                  <w:tcBorders>
                    <w:tl2br w:val="nil"/>
                    <w:tr2bl w:val="nil"/>
                  </w:tcBorders>
                  <w:shd w:val="clear"/>
                  <w:noWrap w:val="0"/>
                  <w:vAlign w:val="top"/>
                </w:tcPr>
                <w:p w14:paraId="3DA7EDA3">
                  <w:pPr>
                    <w:spacing w:before="53" w:line="240" w:lineRule="auto"/>
                    <w:jc w:val="both"/>
                    <w:rPr>
                      <w:rFonts w:hint="eastAsia" w:ascii="Times New Roman" w:hAnsi="Times New Roman" w:eastAsia="宋体" w:cs="Times New Roman"/>
                      <w:color w:val="auto"/>
                      <w:spacing w:val="6"/>
                      <w:kern w:val="2"/>
                      <w:sz w:val="21"/>
                      <w:szCs w:val="21"/>
                      <w:highlight w:val="none"/>
                      <w:lang w:val="en-US" w:eastAsia="zh-CN" w:bidi="ar-SA"/>
                    </w:rPr>
                  </w:pPr>
                  <w:r>
                    <w:rPr>
                      <w:rFonts w:hint="default"/>
                      <w:color w:val="auto"/>
                      <w:spacing w:val="6"/>
                      <w:szCs w:val="21"/>
                      <w:highlight w:val="none"/>
                    </w:rPr>
                    <w:t>是无色透明液体，低毒性，有甜味，浓度较高时有刺激性气味，易挥发，对空气敏感，能吸水分，使其缓慢水解而呈酸性反应。能与氯仿、乙醇、丙酮和乙醚混溶，溶于水(10%ml/ml)。能溶解某些金属盐类(如氯化锂、氯化钴、氯化锌、氯化铁等)反应。易燃，蒸气能与空气形成爆炸性混合物。</w:t>
                  </w:r>
                </w:p>
              </w:tc>
            </w:tr>
            <w:tr w14:paraId="6E459D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shd w:val="clear"/>
                  <w:noWrap w:val="0"/>
                  <w:vAlign w:val="center"/>
                </w:tcPr>
                <w:p w14:paraId="5BE33311">
                  <w:pPr>
                    <w:spacing w:before="51" w:line="240" w:lineRule="auto"/>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Cs w:val="21"/>
                      <w:highlight w:val="none"/>
                      <w:lang w:val="en-US" w:eastAsia="zh-CN"/>
                    </w:rPr>
                    <w:t>9</w:t>
                  </w:r>
                </w:p>
              </w:tc>
              <w:tc>
                <w:tcPr>
                  <w:tcW w:w="1003" w:type="dxa"/>
                  <w:tcBorders>
                    <w:tl2br w:val="nil"/>
                    <w:tr2bl w:val="nil"/>
                  </w:tcBorders>
                  <w:shd w:val="clear"/>
                  <w:noWrap w:val="0"/>
                  <w:vAlign w:val="center"/>
                </w:tcPr>
                <w:p w14:paraId="70F94BF0">
                  <w:pPr>
                    <w:spacing w:before="51" w:line="240" w:lineRule="auto"/>
                    <w:jc w:val="center"/>
                    <w:rPr>
                      <w:rFonts w:hint="eastAsia" w:ascii="Times New Roman" w:hAnsi="Times New Roman" w:eastAsia="宋体" w:cs="Times New Roman"/>
                      <w:color w:val="auto"/>
                      <w:kern w:val="2"/>
                      <w:sz w:val="21"/>
                      <w:szCs w:val="21"/>
                      <w:highlight w:val="none"/>
                      <w:lang w:val="en-US" w:eastAsia="zh-CN" w:bidi="ar-SA"/>
                    </w:rPr>
                  </w:pPr>
                  <w:r>
                    <w:rPr>
                      <w:color w:val="auto"/>
                      <w:spacing w:val="-6"/>
                      <w:szCs w:val="21"/>
                      <w:highlight w:val="none"/>
                    </w:rPr>
                    <w:t>乙</w:t>
                  </w:r>
                  <w:r>
                    <w:rPr>
                      <w:color w:val="auto"/>
                      <w:spacing w:val="-5"/>
                      <w:szCs w:val="21"/>
                      <w:highlight w:val="none"/>
                    </w:rPr>
                    <w:t>醚</w:t>
                  </w:r>
                </w:p>
              </w:tc>
              <w:tc>
                <w:tcPr>
                  <w:tcW w:w="6261" w:type="dxa"/>
                  <w:tcBorders>
                    <w:tl2br w:val="nil"/>
                    <w:tr2bl w:val="nil"/>
                  </w:tcBorders>
                  <w:shd w:val="clear"/>
                  <w:noWrap w:val="0"/>
                  <w:vAlign w:val="top"/>
                </w:tcPr>
                <w:p w14:paraId="1BAC446C">
                  <w:pPr>
                    <w:spacing w:before="51" w:line="240" w:lineRule="auto"/>
                    <w:jc w:val="left"/>
                    <w:rPr>
                      <w:rFonts w:hint="eastAsia" w:ascii="Times New Roman" w:hAnsi="Times New Roman" w:eastAsia="宋体" w:cs="Times New Roman"/>
                      <w:color w:val="auto"/>
                      <w:spacing w:val="-10"/>
                      <w:kern w:val="2"/>
                      <w:sz w:val="21"/>
                      <w:szCs w:val="21"/>
                      <w:highlight w:val="none"/>
                      <w:lang w:val="en-US" w:eastAsia="zh-CN" w:bidi="ar-SA"/>
                    </w:rPr>
                  </w:pPr>
                  <w:r>
                    <w:rPr>
                      <w:color w:val="auto"/>
                      <w:spacing w:val="-10"/>
                      <w:szCs w:val="21"/>
                      <w:highlight w:val="none"/>
                    </w:rPr>
                    <w:t>是一种有机化合物，化学式为C</w:t>
                  </w:r>
                  <w:r>
                    <w:rPr>
                      <w:color w:val="auto"/>
                      <w:spacing w:val="-10"/>
                      <w:szCs w:val="21"/>
                      <w:highlight w:val="none"/>
                      <w:vertAlign w:val="subscript"/>
                    </w:rPr>
                    <w:t>2</w:t>
                  </w:r>
                  <w:r>
                    <w:rPr>
                      <w:color w:val="auto"/>
                      <w:spacing w:val="-10"/>
                      <w:szCs w:val="21"/>
                      <w:highlight w:val="none"/>
                    </w:rPr>
                    <w:t>H</w:t>
                  </w:r>
                  <w:r>
                    <w:rPr>
                      <w:color w:val="auto"/>
                      <w:spacing w:val="-10"/>
                      <w:szCs w:val="21"/>
                      <w:highlight w:val="none"/>
                      <w:vertAlign w:val="subscript"/>
                    </w:rPr>
                    <w:t>5</w:t>
                  </w:r>
                  <w:r>
                    <w:rPr>
                      <w:color w:val="auto"/>
                      <w:spacing w:val="-10"/>
                      <w:szCs w:val="21"/>
                      <w:highlight w:val="none"/>
                    </w:rPr>
                    <w:t>OC</w:t>
                  </w:r>
                  <w:r>
                    <w:rPr>
                      <w:color w:val="auto"/>
                      <w:spacing w:val="-10"/>
                      <w:szCs w:val="21"/>
                      <w:highlight w:val="none"/>
                      <w:vertAlign w:val="subscript"/>
                    </w:rPr>
                    <w:t>2</w:t>
                  </w:r>
                  <w:r>
                    <w:rPr>
                      <w:color w:val="auto"/>
                      <w:spacing w:val="-10"/>
                      <w:szCs w:val="21"/>
                      <w:highlight w:val="none"/>
                    </w:rPr>
                    <w:t>H</w:t>
                  </w:r>
                  <w:r>
                    <w:rPr>
                      <w:color w:val="auto"/>
                      <w:spacing w:val="-10"/>
                      <w:szCs w:val="21"/>
                      <w:highlight w:val="none"/>
                      <w:vertAlign w:val="subscript"/>
                    </w:rPr>
                    <w:t>5</w:t>
                  </w:r>
                  <w:r>
                    <w:rPr>
                      <w:color w:val="auto"/>
                      <w:spacing w:val="-10"/>
                      <w:szCs w:val="21"/>
                      <w:highlight w:val="none"/>
                    </w:rPr>
                    <w:t>，为无色透明液体，具有特殊刺激气味。带甜味。极易挥发。其蒸汽重于空气。在空气的作用下能氧化成过氧化物、醛和乙酸，暴露于光线下能促进其氧化。主要用作优良溶剂。毛纺、棉纺工业用作油污洁净剂。火药工业用于制造无烟火药。医学用作麻醉剂。</w:t>
                  </w:r>
                </w:p>
              </w:tc>
            </w:tr>
            <w:tr w14:paraId="016DE7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shd w:val="clear"/>
                  <w:noWrap w:val="0"/>
                  <w:vAlign w:val="center"/>
                </w:tcPr>
                <w:p w14:paraId="26F4527F">
                  <w:pPr>
                    <w:spacing w:before="51" w:line="240" w:lineRule="auto"/>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Cs w:val="21"/>
                      <w:highlight w:val="none"/>
                      <w:lang w:val="en-US" w:eastAsia="zh-CN"/>
                    </w:rPr>
                    <w:t>10</w:t>
                  </w:r>
                </w:p>
              </w:tc>
              <w:tc>
                <w:tcPr>
                  <w:tcW w:w="1003" w:type="dxa"/>
                  <w:tcBorders>
                    <w:tl2br w:val="nil"/>
                    <w:tr2bl w:val="nil"/>
                  </w:tcBorders>
                  <w:shd w:val="clear"/>
                  <w:noWrap w:val="0"/>
                  <w:vAlign w:val="center"/>
                </w:tcPr>
                <w:p w14:paraId="5F918670">
                  <w:pPr>
                    <w:spacing w:before="51" w:line="240" w:lineRule="auto"/>
                    <w:jc w:val="center"/>
                    <w:rPr>
                      <w:rFonts w:hint="eastAsia" w:ascii="Times New Roman" w:hAnsi="Times New Roman" w:eastAsia="宋体" w:cs="Times New Roman"/>
                      <w:color w:val="auto"/>
                      <w:spacing w:val="-6"/>
                      <w:kern w:val="2"/>
                      <w:sz w:val="21"/>
                      <w:szCs w:val="21"/>
                      <w:highlight w:val="none"/>
                      <w:lang w:val="en-US" w:eastAsia="zh-CN" w:bidi="ar-SA"/>
                    </w:rPr>
                  </w:pPr>
                  <w:r>
                    <w:rPr>
                      <w:rFonts w:hint="default" w:eastAsia="宋体"/>
                      <w:color w:val="auto"/>
                      <w:spacing w:val="-10"/>
                      <w:szCs w:val="21"/>
                      <w:highlight w:val="none"/>
                      <w:lang w:val="en-US" w:eastAsia="zh-CN"/>
                    </w:rPr>
                    <w:t>正己烷</w:t>
                  </w:r>
                </w:p>
              </w:tc>
              <w:tc>
                <w:tcPr>
                  <w:tcW w:w="6261" w:type="dxa"/>
                  <w:tcBorders>
                    <w:tl2br w:val="nil"/>
                    <w:tr2bl w:val="nil"/>
                  </w:tcBorders>
                  <w:shd w:val="clear"/>
                  <w:noWrap w:val="0"/>
                  <w:vAlign w:val="top"/>
                </w:tcPr>
                <w:p w14:paraId="70AF5061">
                  <w:pPr>
                    <w:spacing w:before="51" w:line="240" w:lineRule="auto"/>
                    <w:jc w:val="left"/>
                    <w:rPr>
                      <w:rFonts w:hint="eastAsia" w:ascii="Times New Roman" w:hAnsi="Times New Roman" w:eastAsia="宋体" w:cs="Times New Roman"/>
                      <w:color w:val="auto"/>
                      <w:spacing w:val="-10"/>
                      <w:kern w:val="2"/>
                      <w:sz w:val="21"/>
                      <w:szCs w:val="21"/>
                      <w:highlight w:val="none"/>
                      <w:lang w:val="en-US" w:eastAsia="zh-CN" w:bidi="ar-SA"/>
                    </w:rPr>
                  </w:pPr>
                  <w:r>
                    <w:rPr>
                      <w:rFonts w:hint="default" w:eastAsia="宋体"/>
                      <w:color w:val="auto"/>
                      <w:spacing w:val="-10"/>
                      <w:szCs w:val="21"/>
                      <w:highlight w:val="none"/>
                      <w:lang w:val="en-US" w:eastAsia="zh-CN"/>
                    </w:rPr>
                    <w:t>无色、易挥发的直链烷烃，是典型的非极性有机溶剂。</w:t>
                  </w:r>
                  <w:r>
                    <w:rPr>
                      <w:rFonts w:hint="default" w:eastAsia="宋体"/>
                      <w:color w:val="auto"/>
                      <w:spacing w:val="-10"/>
                      <w:szCs w:val="21"/>
                      <w:highlight w:val="none"/>
                    </w:rPr>
                    <w:t>外观与气味：常温下为无色透明液体，具有微弱的特殊气味。沸点约 68.7℃，熔点约 -95.3℃，常温下易挥发。密度：20℃时密度约为 0.659 g/cm³，挥发性与蒸气压：挥发性强，20℃时蒸气压约 17.3 kPa，易形成可燃蒸气。</w:t>
                  </w:r>
                </w:p>
              </w:tc>
            </w:tr>
            <w:tr w14:paraId="3999C8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shd w:val="clear" w:color="auto" w:fill="auto"/>
                  <w:noWrap w:val="0"/>
                  <w:vAlign w:val="center"/>
                </w:tcPr>
                <w:p w14:paraId="676C86E7">
                  <w:pPr>
                    <w:spacing w:before="51" w:line="240" w:lineRule="auto"/>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Cs w:val="21"/>
                      <w:highlight w:val="none"/>
                      <w:lang w:val="en-US" w:eastAsia="zh-CN"/>
                    </w:rPr>
                    <w:t>11</w:t>
                  </w:r>
                </w:p>
              </w:tc>
              <w:tc>
                <w:tcPr>
                  <w:tcW w:w="1003" w:type="dxa"/>
                  <w:tcBorders>
                    <w:tl2br w:val="nil"/>
                    <w:tr2bl w:val="nil"/>
                  </w:tcBorders>
                  <w:shd w:val="clear"/>
                  <w:noWrap w:val="0"/>
                  <w:vAlign w:val="center"/>
                </w:tcPr>
                <w:p w14:paraId="092EA156">
                  <w:pPr>
                    <w:spacing w:before="51" w:line="240" w:lineRule="auto"/>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default" w:eastAsia="宋体"/>
                      <w:color w:val="auto"/>
                      <w:spacing w:val="-10"/>
                      <w:szCs w:val="21"/>
                      <w:highlight w:val="none"/>
                      <w:lang w:val="en-US" w:eastAsia="zh-CN"/>
                    </w:rPr>
                    <w:t>丙酮</w:t>
                  </w:r>
                </w:p>
              </w:tc>
              <w:tc>
                <w:tcPr>
                  <w:tcW w:w="6261" w:type="dxa"/>
                  <w:tcBorders>
                    <w:tl2br w:val="nil"/>
                    <w:tr2bl w:val="nil"/>
                  </w:tcBorders>
                  <w:shd w:val="clear"/>
                  <w:noWrap w:val="0"/>
                  <w:vAlign w:val="top"/>
                </w:tcPr>
                <w:p w14:paraId="22751643">
                  <w:pPr>
                    <w:spacing w:before="51" w:line="240" w:lineRule="auto"/>
                    <w:jc w:val="left"/>
                    <w:rPr>
                      <w:rFonts w:hint="eastAsia" w:ascii="Times New Roman" w:hAnsi="Times New Roman" w:eastAsia="宋体" w:cs="Times New Roman"/>
                      <w:color w:val="auto"/>
                      <w:spacing w:val="-10"/>
                      <w:kern w:val="2"/>
                      <w:sz w:val="21"/>
                      <w:szCs w:val="21"/>
                      <w:highlight w:val="none"/>
                      <w:lang w:val="en-US" w:eastAsia="zh-CN" w:bidi="ar-SA"/>
                    </w:rPr>
                  </w:pPr>
                  <w:r>
                    <w:rPr>
                      <w:rFonts w:hint="default" w:eastAsia="宋体"/>
                      <w:color w:val="auto"/>
                      <w:spacing w:val="-10"/>
                      <w:szCs w:val="21"/>
                      <w:highlight w:val="none"/>
                      <w:lang w:val="en-US" w:eastAsia="zh-CN"/>
                    </w:rPr>
                    <w:t>无色、易挥发的极性有机溶剂</w:t>
                  </w:r>
                  <w:r>
                    <w:rPr>
                      <w:rFonts w:hint="eastAsia" w:eastAsia="宋体"/>
                      <w:color w:val="auto"/>
                      <w:spacing w:val="-10"/>
                      <w:szCs w:val="21"/>
                      <w:highlight w:val="none"/>
                      <w:lang w:val="en-US" w:eastAsia="zh-CN"/>
                    </w:rPr>
                    <w:t>，</w:t>
                  </w:r>
                  <w:r>
                    <w:rPr>
                      <w:rFonts w:hint="default" w:eastAsia="宋体"/>
                      <w:color w:val="auto"/>
                      <w:spacing w:val="-10"/>
                      <w:szCs w:val="21"/>
                      <w:highlight w:val="none"/>
                      <w:lang w:val="en-US" w:eastAsia="zh-CN"/>
                    </w:rPr>
                    <w:t>外观与气味：常温下为透明液体，具有独特的辛辣甜味，气味易辨识。沸点与熔点：沸点约 56.5℃，熔点约 -94.9℃，沸点低，常温下极易挥发。密度：20℃时密度约 0.789 g/cm³，小于水，且能与水以任意比例互溶。溶解性：溶解性极强，除与水混溶外，还能溶解乙醇、乙醚、氯仿、油脂、树脂、橡胶等多种有机物，是工业中常用的 “万能溶剂” 之一。蒸气压：挥发性强，20℃时蒸气压约 24.6 kPa，易在空气中形成高浓度蒸气。</w:t>
                  </w:r>
                </w:p>
              </w:tc>
            </w:tr>
            <w:tr w14:paraId="117260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shd w:val="clear" w:color="auto" w:fill="auto"/>
                  <w:noWrap w:val="0"/>
                  <w:vAlign w:val="center"/>
                </w:tcPr>
                <w:p w14:paraId="7511D49E">
                  <w:pPr>
                    <w:spacing w:before="51" w:line="240" w:lineRule="auto"/>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Cs w:val="21"/>
                      <w:highlight w:val="none"/>
                      <w:lang w:val="en-US" w:eastAsia="zh-CN"/>
                    </w:rPr>
                    <w:t>12</w:t>
                  </w:r>
                </w:p>
              </w:tc>
              <w:tc>
                <w:tcPr>
                  <w:tcW w:w="1003" w:type="dxa"/>
                  <w:tcBorders>
                    <w:tl2br w:val="nil"/>
                    <w:tr2bl w:val="nil"/>
                  </w:tcBorders>
                  <w:shd w:val="clear" w:color="auto" w:fill="auto"/>
                  <w:noWrap w:val="0"/>
                  <w:vAlign w:val="center"/>
                </w:tcPr>
                <w:p w14:paraId="743E05D3">
                  <w:pPr>
                    <w:spacing w:before="51" w:line="240" w:lineRule="auto"/>
                    <w:jc w:val="center"/>
                    <w:rPr>
                      <w:rFonts w:hint="default" w:ascii="Times New Roman" w:hAnsi="Times New Roman" w:eastAsia="宋体" w:cs="Times New Roman"/>
                      <w:color w:val="auto"/>
                      <w:kern w:val="2"/>
                      <w:sz w:val="21"/>
                      <w:szCs w:val="21"/>
                      <w:highlight w:val="none"/>
                      <w:shd w:val="clear" w:color="auto" w:fill="FFFFFF"/>
                      <w:lang w:val="en-US" w:eastAsia="zh-CN" w:bidi="ar-SA"/>
                    </w:rPr>
                  </w:pPr>
                  <w:r>
                    <w:rPr>
                      <w:rFonts w:hint="eastAsia" w:eastAsia="宋体"/>
                      <w:color w:val="auto"/>
                      <w:szCs w:val="21"/>
                      <w:highlight w:val="none"/>
                      <w:shd w:val="clear" w:color="auto" w:fill="FFFFFF"/>
                      <w:lang w:val="en-US" w:eastAsia="zh-CN"/>
                    </w:rPr>
                    <w:t>氢氧化钠</w:t>
                  </w:r>
                </w:p>
              </w:tc>
              <w:tc>
                <w:tcPr>
                  <w:tcW w:w="6261" w:type="dxa"/>
                  <w:tcBorders>
                    <w:tl2br w:val="nil"/>
                    <w:tr2bl w:val="nil"/>
                  </w:tcBorders>
                  <w:shd w:val="clear" w:color="auto" w:fill="auto"/>
                  <w:noWrap w:val="0"/>
                  <w:vAlign w:val="top"/>
                </w:tcPr>
                <w:p w14:paraId="0E90BB3A">
                  <w:pPr>
                    <w:spacing w:before="51" w:line="240" w:lineRule="auto"/>
                    <w:jc w:val="both"/>
                    <w:rPr>
                      <w:rFonts w:hint="eastAsia" w:ascii="Times New Roman" w:hAnsi="Times New Roman" w:eastAsia="宋体" w:cs="Times New Roman"/>
                      <w:color w:val="auto"/>
                      <w:kern w:val="2"/>
                      <w:sz w:val="21"/>
                      <w:szCs w:val="21"/>
                      <w:highlight w:val="none"/>
                      <w:shd w:val="clear" w:color="auto" w:fill="FFFFFF"/>
                      <w:lang w:val="en-US" w:eastAsia="zh-CN" w:bidi="ar-SA"/>
                    </w:rPr>
                  </w:pPr>
                  <w:r>
                    <w:rPr>
                      <w:rFonts w:eastAsia="宋体"/>
                      <w:color w:val="auto"/>
                      <w:szCs w:val="21"/>
                      <w:highlight w:val="none"/>
                      <w:shd w:val="clear" w:color="auto" w:fill="FFFFFF"/>
                    </w:rPr>
                    <w:t>俗称</w:t>
                  </w:r>
                  <w:r>
                    <w:rPr>
                      <w:rFonts w:hint="eastAsia" w:eastAsia="宋体"/>
                      <w:color w:val="auto"/>
                      <w:szCs w:val="21"/>
                      <w:highlight w:val="none"/>
                      <w:shd w:val="clear" w:color="auto" w:fill="FFFFFF"/>
                      <w:lang w:eastAsia="zh-CN"/>
                    </w:rPr>
                    <w:t>“</w:t>
                  </w:r>
                  <w:r>
                    <w:rPr>
                      <w:rFonts w:eastAsia="宋体"/>
                      <w:color w:val="auto"/>
                      <w:szCs w:val="21"/>
                      <w:highlight w:val="none"/>
                      <w:shd w:val="clear" w:color="auto" w:fill="FFFFFF"/>
                    </w:rPr>
                    <w:t>苛性钠</w:t>
                  </w:r>
                  <w:r>
                    <w:rPr>
                      <w:rFonts w:hint="eastAsia" w:eastAsia="宋体"/>
                      <w:color w:val="auto"/>
                      <w:szCs w:val="21"/>
                      <w:highlight w:val="none"/>
                      <w:shd w:val="clear" w:color="auto" w:fill="FFFFFF"/>
                      <w:lang w:eastAsia="zh-CN"/>
                    </w:rPr>
                    <w:t>”“</w:t>
                  </w:r>
                  <w:r>
                    <w:rPr>
                      <w:rFonts w:eastAsia="宋体"/>
                      <w:color w:val="auto"/>
                      <w:szCs w:val="21"/>
                      <w:highlight w:val="none"/>
                      <w:shd w:val="clear" w:color="auto" w:fill="FFFFFF"/>
                    </w:rPr>
                    <w:t>火碱</w:t>
                  </w:r>
                  <w:r>
                    <w:rPr>
                      <w:rFonts w:hint="eastAsia" w:eastAsia="宋体"/>
                      <w:color w:val="auto"/>
                      <w:szCs w:val="21"/>
                      <w:highlight w:val="none"/>
                      <w:shd w:val="clear" w:color="auto" w:fill="FFFFFF"/>
                      <w:lang w:eastAsia="zh-CN"/>
                    </w:rPr>
                    <w:t>”</w:t>
                  </w:r>
                  <w:r>
                    <w:rPr>
                      <w:rFonts w:eastAsia="宋体"/>
                      <w:color w:val="auto"/>
                      <w:szCs w:val="21"/>
                      <w:highlight w:val="none"/>
                      <w:shd w:val="clear" w:color="auto" w:fill="FFFFFF"/>
                    </w:rPr>
                    <w:t>，是一种具有强腐蚀性的强碱</w:t>
                  </w:r>
                  <w:r>
                    <w:rPr>
                      <w:rFonts w:hint="eastAsia" w:eastAsia="宋体"/>
                      <w:color w:val="auto"/>
                      <w:szCs w:val="21"/>
                      <w:highlight w:val="none"/>
                      <w:shd w:val="clear" w:color="auto" w:fill="FFFFFF"/>
                      <w:lang w:eastAsia="zh-CN"/>
                    </w:rPr>
                    <w:t>，</w:t>
                  </w:r>
                  <w:r>
                    <w:rPr>
                      <w:rFonts w:eastAsia="宋体"/>
                      <w:color w:val="auto"/>
                      <w:szCs w:val="21"/>
                      <w:highlight w:val="none"/>
                      <w:shd w:val="clear" w:color="auto" w:fill="FFFFFF"/>
                    </w:rPr>
                    <w:t>强腐蚀性，危害皮肤黏膜，需严格防护，接触后立即用清水冲洗并就医</w:t>
                  </w:r>
                  <w:r>
                    <w:rPr>
                      <w:rFonts w:hint="eastAsia" w:eastAsia="宋体"/>
                      <w:color w:val="auto"/>
                      <w:szCs w:val="21"/>
                      <w:highlight w:val="none"/>
                      <w:shd w:val="clear" w:color="auto" w:fill="FFFFFF"/>
                      <w:lang w:eastAsia="zh-CN"/>
                    </w:rPr>
                    <w:t>。</w:t>
                  </w:r>
                </w:p>
              </w:tc>
            </w:tr>
            <w:tr w14:paraId="227991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shd w:val="clear" w:color="auto" w:fill="auto"/>
                  <w:noWrap w:val="0"/>
                  <w:vAlign w:val="center"/>
                </w:tcPr>
                <w:p w14:paraId="198E5228">
                  <w:pPr>
                    <w:spacing w:before="51" w:line="240" w:lineRule="auto"/>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Cs w:val="21"/>
                      <w:highlight w:val="none"/>
                      <w:lang w:val="en-US" w:eastAsia="zh-CN"/>
                    </w:rPr>
                    <w:t>13</w:t>
                  </w:r>
                </w:p>
              </w:tc>
              <w:tc>
                <w:tcPr>
                  <w:tcW w:w="1003" w:type="dxa"/>
                  <w:tcBorders>
                    <w:tl2br w:val="nil"/>
                    <w:tr2bl w:val="nil"/>
                  </w:tcBorders>
                  <w:shd w:val="clear" w:color="auto" w:fill="auto"/>
                  <w:noWrap w:val="0"/>
                  <w:vAlign w:val="center"/>
                </w:tcPr>
                <w:p w14:paraId="51EC6E9C">
                  <w:pPr>
                    <w:spacing w:before="53" w:line="264"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草酸</w:t>
                  </w:r>
                </w:p>
              </w:tc>
              <w:tc>
                <w:tcPr>
                  <w:tcW w:w="6261" w:type="dxa"/>
                  <w:tcBorders>
                    <w:tl2br w:val="nil"/>
                    <w:tr2bl w:val="nil"/>
                  </w:tcBorders>
                  <w:noWrap w:val="0"/>
                  <w:vAlign w:val="top"/>
                </w:tcPr>
                <w:p w14:paraId="5EF7AEA3">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密度1.8±0.1g/cm</w:t>
                  </w:r>
                  <w:r>
                    <w:rPr>
                      <w:rFonts w:hint="default" w:ascii="Times New Roman" w:hAnsi="Times New Roman" w:eastAsia="宋体" w:cs="Times New Roman"/>
                      <w:color w:val="auto"/>
                      <w:szCs w:val="21"/>
                      <w:highlight w:val="none"/>
                      <w:shd w:val="clear" w:color="auto" w:fill="FFFFFF"/>
                      <w:vertAlign w:val="superscript"/>
                      <w:lang w:val="en-US" w:eastAsia="zh-CN"/>
                    </w:rPr>
                    <w:t>3</w:t>
                  </w:r>
                  <w:r>
                    <w:rPr>
                      <w:rFonts w:hint="eastAsia" w:ascii="Times New Roman" w:hAnsi="Times New Roman" w:cs="Times New Roman"/>
                      <w:color w:val="auto"/>
                      <w:szCs w:val="21"/>
                      <w:highlight w:val="none"/>
                      <w:shd w:val="clear" w:color="auto" w:fill="FFFFFF"/>
                      <w:vertAlign w:val="baseline"/>
                      <w:lang w:val="en-US" w:eastAsia="zh-CN"/>
                    </w:rPr>
                    <w:t>、</w:t>
                  </w:r>
                  <w:r>
                    <w:rPr>
                      <w:rFonts w:hint="default" w:ascii="Times New Roman" w:hAnsi="Times New Roman" w:eastAsia="宋体" w:cs="Times New Roman"/>
                      <w:color w:val="auto"/>
                      <w:szCs w:val="21"/>
                      <w:highlight w:val="none"/>
                      <w:shd w:val="clear" w:color="auto" w:fill="FFFFFF"/>
                      <w:lang w:val="en-US" w:eastAsia="zh-CN"/>
                    </w:rPr>
                    <w:t>沸点365.1±25.0°Cat760mmHg</w:t>
                  </w:r>
                  <w:r>
                    <w:rPr>
                      <w:rFonts w:hint="eastAsia" w:ascii="Times New Roman" w:hAnsi="Times New Roman"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熔点189.5°C(dec.)(lit.)</w:t>
                  </w:r>
                  <w:r>
                    <w:rPr>
                      <w:rFonts w:hint="eastAsia" w:ascii="Times New Roman" w:hAnsi="Times New Roman"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分子式C2H2O4</w:t>
                  </w:r>
                  <w:r>
                    <w:rPr>
                      <w:rFonts w:hint="eastAsia" w:ascii="Times New Roman" w:hAnsi="Times New Roman"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分子量90.035</w:t>
                  </w:r>
                  <w:r>
                    <w:rPr>
                      <w:rFonts w:hint="eastAsia" w:ascii="Times New Roman" w:hAnsi="Times New Roman"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闪点188.8±19.7°C</w:t>
                  </w:r>
                  <w:r>
                    <w:rPr>
                      <w:rFonts w:hint="eastAsia" w:ascii="Times New Roman" w:hAnsi="Times New Roman"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外观性状无气味的白色固体</w:t>
                  </w:r>
                  <w:r>
                    <w:rPr>
                      <w:rFonts w:hint="eastAsia" w:ascii="Times New Roman" w:hAnsi="Times New Roman"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蒸汽密度4.4(vsair)</w:t>
                  </w:r>
                </w:p>
                <w:p w14:paraId="6F0E9FA9">
                  <w:pPr>
                    <w:spacing w:before="51" w:line="240" w:lineRule="auto"/>
                    <w:jc w:val="both"/>
                    <w:rPr>
                      <w:rFonts w:hint="eastAsia" w:eastAsia="宋体"/>
                      <w:color w:val="auto"/>
                      <w:spacing w:val="6"/>
                      <w:szCs w:val="21"/>
                      <w:highlight w:val="none"/>
                      <w:lang w:eastAsia="zh-CN"/>
                    </w:rPr>
                  </w:pPr>
                  <w:r>
                    <w:rPr>
                      <w:rFonts w:hint="default" w:ascii="Times New Roman" w:hAnsi="Times New Roman" w:eastAsia="宋体" w:cs="Times New Roman"/>
                      <w:color w:val="auto"/>
                      <w:szCs w:val="21"/>
                      <w:highlight w:val="none"/>
                      <w:shd w:val="clear" w:color="auto" w:fill="FFFFFF"/>
                      <w:lang w:val="en-US" w:eastAsia="zh-CN"/>
                    </w:rPr>
                    <w:t>蒸汽压0.0±1.7mmHgat25°C</w:t>
                  </w:r>
                  <w:r>
                    <w:rPr>
                      <w:rFonts w:hint="eastAsia" w:ascii="Times New Roman" w:hAnsi="Times New Roman" w:cs="Times New Roman"/>
                      <w:color w:val="auto"/>
                      <w:szCs w:val="21"/>
                      <w:highlight w:val="none"/>
                      <w:shd w:val="clear" w:color="auto" w:fill="FFFFFF"/>
                      <w:lang w:val="en-US" w:eastAsia="zh-CN"/>
                    </w:rPr>
                    <w:t>。</w:t>
                  </w:r>
                </w:p>
              </w:tc>
            </w:tr>
            <w:tr w14:paraId="103227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shd w:val="clear" w:color="auto" w:fill="auto"/>
                  <w:noWrap w:val="0"/>
                  <w:vAlign w:val="center"/>
                </w:tcPr>
                <w:p w14:paraId="385367AE">
                  <w:pPr>
                    <w:spacing w:before="51" w:line="240" w:lineRule="auto"/>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Cs w:val="21"/>
                      <w:highlight w:val="none"/>
                      <w:lang w:val="en-US" w:eastAsia="zh-CN"/>
                    </w:rPr>
                    <w:t>14</w:t>
                  </w:r>
                </w:p>
              </w:tc>
              <w:tc>
                <w:tcPr>
                  <w:tcW w:w="1003" w:type="dxa"/>
                  <w:tcBorders>
                    <w:tl2br w:val="nil"/>
                    <w:tr2bl w:val="nil"/>
                  </w:tcBorders>
                  <w:shd w:val="clear" w:color="auto" w:fill="auto"/>
                  <w:noWrap w:val="0"/>
                  <w:vAlign w:val="center"/>
                </w:tcPr>
                <w:p w14:paraId="02077D9D">
                  <w:pPr>
                    <w:spacing w:before="53" w:line="262"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高锰酸钾</w:t>
                  </w:r>
                </w:p>
              </w:tc>
              <w:tc>
                <w:tcPr>
                  <w:tcW w:w="6261" w:type="dxa"/>
                  <w:tcBorders>
                    <w:tl2br w:val="nil"/>
                    <w:tr2bl w:val="nil"/>
                  </w:tcBorders>
                  <w:noWrap w:val="0"/>
                  <w:vAlign w:val="top"/>
                </w:tcPr>
                <w:p w14:paraId="2D5AEA63">
                  <w:pPr>
                    <w:spacing w:before="51" w:line="240" w:lineRule="auto"/>
                    <w:jc w:val="both"/>
                    <w:rPr>
                      <w:rFonts w:hint="eastAsia"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外观：黑紫色结晶，带蓝色的金属光泽。受热易分解，在240°C左右时发生分解反应，生成锰酸钾、二氧化锰和氧气等</w:t>
                  </w:r>
                  <w:r>
                    <w:rPr>
                      <w:rFonts w:hint="eastAsia" w:ascii="Times New Roman" w:hAnsi="Times New Roman" w:cs="Times New Roman"/>
                      <w:color w:val="auto"/>
                      <w:szCs w:val="21"/>
                      <w:highlight w:val="none"/>
                      <w:shd w:val="clear" w:color="auto" w:fill="FFFFFF"/>
                      <w:lang w:val="en-US" w:eastAsia="zh-CN"/>
                    </w:rPr>
                    <w:t>。</w:t>
                  </w:r>
                </w:p>
              </w:tc>
            </w:tr>
            <w:tr w14:paraId="489539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shd w:val="clear" w:color="auto" w:fill="auto"/>
                  <w:noWrap w:val="0"/>
                  <w:vAlign w:val="center"/>
                </w:tcPr>
                <w:p w14:paraId="3D2BDE5F">
                  <w:pPr>
                    <w:spacing w:before="51" w:line="240" w:lineRule="auto"/>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Cs w:val="21"/>
                      <w:highlight w:val="none"/>
                      <w:lang w:val="en-US" w:eastAsia="zh-CN"/>
                    </w:rPr>
                    <w:t>15</w:t>
                  </w:r>
                </w:p>
              </w:tc>
              <w:tc>
                <w:tcPr>
                  <w:tcW w:w="1003" w:type="dxa"/>
                  <w:tcBorders>
                    <w:tl2br w:val="nil"/>
                    <w:tr2bl w:val="nil"/>
                  </w:tcBorders>
                  <w:shd w:val="clear" w:color="auto" w:fill="auto"/>
                  <w:noWrap w:val="0"/>
                  <w:vAlign w:val="center"/>
                </w:tcPr>
                <w:p w14:paraId="4FEB73A7">
                  <w:pPr>
                    <w:spacing w:before="53" w:line="22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过氧化氢</w:t>
                  </w:r>
                </w:p>
              </w:tc>
              <w:tc>
                <w:tcPr>
                  <w:tcW w:w="6261" w:type="dxa"/>
                  <w:tcBorders>
                    <w:tl2br w:val="nil"/>
                    <w:tr2bl w:val="nil"/>
                  </w:tcBorders>
                  <w:noWrap w:val="0"/>
                  <w:vAlign w:val="top"/>
                </w:tcPr>
                <w:p w14:paraId="3448D9FF">
                  <w:pPr>
                    <w:spacing w:before="51" w:line="240" w:lineRule="auto"/>
                    <w:jc w:val="both"/>
                    <w:rPr>
                      <w:rFonts w:hint="eastAsia"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是一种强氧化剂，其氧化能力受 pH 影响很大，在酸性溶液中氧化能力最强。在酸性介质中，其还原产物为二价锰离子（Mn²⁺）</w:t>
                  </w:r>
                  <w:r>
                    <w:rPr>
                      <w:rFonts w:hint="eastAsia" w:ascii="Times New Roman" w:hAnsi="Times New Roman" w:cs="Times New Roman"/>
                      <w:color w:val="auto"/>
                      <w:szCs w:val="21"/>
                      <w:highlight w:val="none"/>
                      <w:shd w:val="clear" w:color="auto" w:fill="FFFFFF"/>
                      <w:lang w:val="en-US" w:eastAsia="zh-CN"/>
                    </w:rPr>
                    <w:t>。</w:t>
                  </w:r>
                </w:p>
              </w:tc>
            </w:tr>
            <w:tr w14:paraId="1CDC3C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shd w:val="clear" w:color="auto" w:fill="auto"/>
                  <w:noWrap w:val="0"/>
                  <w:vAlign w:val="center"/>
                </w:tcPr>
                <w:p w14:paraId="2DD06162">
                  <w:pPr>
                    <w:spacing w:before="51" w:line="240" w:lineRule="auto"/>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Cs w:val="21"/>
                      <w:highlight w:val="none"/>
                      <w:lang w:val="en-US" w:eastAsia="zh-CN"/>
                    </w:rPr>
                    <w:t>16</w:t>
                  </w:r>
                </w:p>
              </w:tc>
              <w:tc>
                <w:tcPr>
                  <w:tcW w:w="1003" w:type="dxa"/>
                  <w:tcBorders>
                    <w:tl2br w:val="nil"/>
                    <w:tr2bl w:val="nil"/>
                  </w:tcBorders>
                  <w:shd w:val="clear" w:color="auto" w:fill="auto"/>
                  <w:noWrap w:val="0"/>
                  <w:vAlign w:val="center"/>
                </w:tcPr>
                <w:p w14:paraId="19AEE639">
                  <w:pPr>
                    <w:spacing w:before="52" w:line="229"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铬酸钾</w:t>
                  </w:r>
                </w:p>
              </w:tc>
              <w:tc>
                <w:tcPr>
                  <w:tcW w:w="6261" w:type="dxa"/>
                  <w:tcBorders>
                    <w:tl2br w:val="nil"/>
                    <w:tr2bl w:val="nil"/>
                  </w:tcBorders>
                  <w:noWrap w:val="0"/>
                  <w:vAlign w:val="top"/>
                </w:tcPr>
                <w:p w14:paraId="1A9366ED">
                  <w:pPr>
                    <w:spacing w:before="51" w:line="240" w:lineRule="auto"/>
                    <w:jc w:val="both"/>
                    <w:rPr>
                      <w:rFonts w:hint="eastAsia"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铬酸钾(化学式:K2CrO4)是一个黄色固体，是</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"https://baike.so.com/doc/5710042-7117149.html"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铬酸</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所成的钾盐，用于鉴别氯离子。铬酸钾中铬为六价，属于二级</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"https://baike.so.com/doc/5696479-5909184.html"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致癌物质</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，吸入或吞食会导致癌症。</w:t>
                  </w:r>
                </w:p>
              </w:tc>
            </w:tr>
            <w:tr w14:paraId="539D7E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shd w:val="clear" w:color="auto" w:fill="auto"/>
                  <w:noWrap w:val="0"/>
                  <w:vAlign w:val="center"/>
                </w:tcPr>
                <w:p w14:paraId="2F97EAC5">
                  <w:pPr>
                    <w:spacing w:before="51" w:line="240" w:lineRule="auto"/>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Cs w:val="21"/>
                      <w:highlight w:val="none"/>
                      <w:lang w:val="en-US" w:eastAsia="zh-CN"/>
                    </w:rPr>
                    <w:t>17</w:t>
                  </w:r>
                </w:p>
              </w:tc>
              <w:tc>
                <w:tcPr>
                  <w:tcW w:w="1003" w:type="dxa"/>
                  <w:tcBorders>
                    <w:tl2br w:val="nil"/>
                    <w:tr2bl w:val="nil"/>
                  </w:tcBorders>
                  <w:shd w:val="clear" w:color="auto" w:fill="auto"/>
                  <w:noWrap w:val="0"/>
                  <w:vAlign w:val="center"/>
                </w:tcPr>
                <w:p w14:paraId="0C30B59C">
                  <w:pPr>
                    <w:spacing w:before="55" w:line="228" w:lineRule="auto"/>
                    <w:jc w:val="center"/>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酚酞</w:t>
                  </w:r>
                </w:p>
              </w:tc>
              <w:tc>
                <w:tcPr>
                  <w:tcW w:w="6261" w:type="dxa"/>
                  <w:tcBorders>
                    <w:tl2br w:val="nil"/>
                    <w:tr2bl w:val="nil"/>
                  </w:tcBorders>
                  <w:noWrap w:val="0"/>
                  <w:vAlign w:val="top"/>
                </w:tcPr>
                <w:p w14:paraId="3D5224EB">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酚酞是一种常用的酸碱指示剂，外观：白色或浅黄色的结晶性粉末。</w:t>
                  </w:r>
                </w:p>
                <w:p w14:paraId="3D79B447">
                  <w:pPr>
                    <w:spacing w:before="51" w:line="240" w:lineRule="auto"/>
                    <w:jc w:val="both"/>
                    <w:rPr>
                      <w:rFonts w:hint="eastAsia"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气味：无臭。熔点：约262-263℃，超过熔点会分解。溶解性：难溶于水，20℃时在水中溶解度仅约 0.02g/100mL；易溶于乙醇、乙醚等有机溶剂，也可溶于稀碱溶液。稳定性：常温下在干燥状态下较稳定，但长时间暴露于光和空气中可能会缓慢变质；遇强氧化剂（如高锰酸钾）会被氧化破坏，失去指示剂功能</w:t>
                  </w:r>
                  <w:r>
                    <w:rPr>
                      <w:rFonts w:hint="eastAsia" w:ascii="Times New Roman" w:hAnsi="Times New Roman" w:cs="Times New Roman"/>
                      <w:color w:val="auto"/>
                      <w:szCs w:val="21"/>
                      <w:highlight w:val="none"/>
                      <w:shd w:val="clear" w:color="auto" w:fill="FFFFFF"/>
                      <w:lang w:val="en-US" w:eastAsia="zh-CN"/>
                    </w:rPr>
                    <w:t>。</w:t>
                  </w:r>
                </w:p>
              </w:tc>
            </w:tr>
            <w:tr w14:paraId="0D295C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shd w:val="clear" w:color="auto" w:fill="auto"/>
                  <w:noWrap w:val="0"/>
                  <w:vAlign w:val="center"/>
                </w:tcPr>
                <w:p w14:paraId="78702614">
                  <w:pPr>
                    <w:spacing w:before="51" w:line="240" w:lineRule="auto"/>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Cs w:val="21"/>
                      <w:highlight w:val="none"/>
                      <w:lang w:val="en-US" w:eastAsia="zh-CN"/>
                    </w:rPr>
                    <w:t>18</w:t>
                  </w:r>
                </w:p>
              </w:tc>
              <w:tc>
                <w:tcPr>
                  <w:tcW w:w="1003" w:type="dxa"/>
                  <w:tcBorders>
                    <w:tl2br w:val="nil"/>
                    <w:tr2bl w:val="nil"/>
                  </w:tcBorders>
                  <w:shd w:val="clear" w:color="auto" w:fill="auto"/>
                  <w:noWrap w:val="0"/>
                  <w:vAlign w:val="center"/>
                </w:tcPr>
                <w:p w14:paraId="0B8E2251">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硝酸银</w:t>
                  </w:r>
                </w:p>
              </w:tc>
              <w:tc>
                <w:tcPr>
                  <w:tcW w:w="6261" w:type="dxa"/>
                  <w:tcBorders>
                    <w:tl2br w:val="nil"/>
                    <w:tr2bl w:val="nil"/>
                  </w:tcBorders>
                  <w:noWrap w:val="0"/>
                  <w:vAlign w:val="top"/>
                </w:tcPr>
                <w:p w14:paraId="464FE182">
                  <w:pPr>
                    <w:spacing w:before="51" w:line="240" w:lineRule="auto"/>
                    <w:jc w:val="both"/>
                    <w:rPr>
                      <w:rFonts w:hint="eastAsia"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硝酸银是一种重要的无机银盐，外观：无色透明的斜方晶系片状晶体，或白色结晶性粉末。气味：无臭。熔点：212℃，温度超过熔点后会分解。溶解性：易溶于水，20℃时溶解度约为 222 g/100 mL；可溶于氨水、甘油，微溶于乙醇，不溶于浓硝酸。稳定性：常温下在干燥环境中稳定，但对光敏感，见光后会逐渐分解为银、二氧化氮和氧气，因此需存放在棕色试剂瓶中，避光保存。腐蚀性：具有一定腐蚀性，接触皮肤会使其变黑（因分解出银单质），对黏膜有刺激作用，操作时需避免直接接触。</w:t>
                  </w:r>
                </w:p>
              </w:tc>
            </w:tr>
            <w:tr w14:paraId="244795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shd w:val="clear" w:color="auto" w:fill="auto"/>
                  <w:noWrap w:val="0"/>
                  <w:vAlign w:val="center"/>
                </w:tcPr>
                <w:p w14:paraId="0C6AFF1B">
                  <w:pPr>
                    <w:spacing w:before="51" w:line="240" w:lineRule="auto"/>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Cs w:val="21"/>
                      <w:highlight w:val="none"/>
                      <w:lang w:val="en-US" w:eastAsia="zh-CN"/>
                    </w:rPr>
                    <w:t>19</w:t>
                  </w:r>
                </w:p>
              </w:tc>
              <w:tc>
                <w:tcPr>
                  <w:tcW w:w="1003" w:type="dxa"/>
                  <w:tcBorders>
                    <w:tl2br w:val="nil"/>
                    <w:tr2bl w:val="nil"/>
                  </w:tcBorders>
                  <w:shd w:val="clear" w:color="auto" w:fill="auto"/>
                  <w:noWrap w:val="0"/>
                  <w:vAlign w:val="center"/>
                </w:tcPr>
                <w:p w14:paraId="223A824F">
                  <w:pPr>
                    <w:spacing w:before="52" w:line="229"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碳酸氢钠</w:t>
                  </w:r>
                </w:p>
              </w:tc>
              <w:tc>
                <w:tcPr>
                  <w:tcW w:w="6261" w:type="dxa"/>
                  <w:tcBorders>
                    <w:tl2br w:val="nil"/>
                    <w:tr2bl w:val="nil"/>
                  </w:tcBorders>
                  <w:noWrap w:val="0"/>
                  <w:vAlign w:val="top"/>
                </w:tcPr>
                <w:p w14:paraId="758DFA74">
                  <w:pPr>
                    <w:spacing w:before="51" w:line="240" w:lineRule="auto"/>
                    <w:jc w:val="both"/>
                    <w:rPr>
                      <w:rFonts w:hint="eastAsia" w:ascii="Times New Roman" w:hAnsi="Times New Roman" w:eastAsia="宋体" w:cs="Times New Roman"/>
                      <w:b w:val="0"/>
                      <w:bCs w:val="0"/>
                      <w:color w:val="auto"/>
                      <w:kern w:val="2"/>
                      <w:sz w:val="21"/>
                      <w:szCs w:val="21"/>
                      <w:highlight w:val="none"/>
                      <w:shd w:val="clear" w:color="auto" w:fill="FFFFFF"/>
                      <w:lang w:val="en-US" w:eastAsia="zh-CN" w:bidi="ar-SA"/>
                    </w:rPr>
                  </w:pPr>
                  <w:r>
                    <w:rPr>
                      <w:rFonts w:hint="default" w:ascii="Times New Roman" w:hAnsi="Times New Roman" w:eastAsia="宋体" w:cs="Times New Roman"/>
                      <w:b w:val="0"/>
                      <w:bCs w:val="0"/>
                      <w:color w:val="auto"/>
                      <w:kern w:val="2"/>
                      <w:sz w:val="21"/>
                      <w:szCs w:val="21"/>
                      <w:highlight w:val="none"/>
                      <w:shd w:val="clear" w:color="auto" w:fill="FFFFFF"/>
                      <w:lang w:val="en-US" w:eastAsia="zh-CN" w:bidi="ar-SA"/>
                    </w:rPr>
                    <w:t>外观：白色结晶性粉末，无臭。溶解性：易溶于水，20℃时溶解度约为 9.6 g/100 mL；不溶于乙醇、乙醚等有机溶剂。熔点：无明确熔点，受热易分解，通常在 50℃以上开始逐渐分解。热不稳定性：这是其最核心的化学性质之一。受热易分解，温度超过 270℃时会完全分解，生成碳酸钠、水和二氧化碳</w:t>
                  </w:r>
                  <w:r>
                    <w:rPr>
                      <w:rFonts w:hint="eastAsia" w:ascii="Times New Roman" w:hAnsi="Times New Roman" w:eastAsia="宋体" w:cs="Times New Roman"/>
                      <w:b w:val="0"/>
                      <w:bCs w:val="0"/>
                      <w:color w:val="auto"/>
                      <w:kern w:val="2"/>
                      <w:sz w:val="21"/>
                      <w:szCs w:val="21"/>
                      <w:highlight w:val="none"/>
                      <w:shd w:val="clear" w:color="auto" w:fill="FFFFFF"/>
                      <w:lang w:val="en-US" w:eastAsia="zh-CN" w:bidi="ar-SA"/>
                    </w:rPr>
                    <w:t>。</w:t>
                  </w:r>
                  <w:r>
                    <w:rPr>
                      <w:rFonts w:hint="default" w:ascii="Times New Roman" w:hAnsi="Times New Roman" w:eastAsia="宋体" w:cs="Times New Roman"/>
                      <w:b w:val="0"/>
                      <w:bCs w:val="0"/>
                      <w:color w:val="auto"/>
                      <w:kern w:val="2"/>
                      <w:sz w:val="21"/>
                      <w:szCs w:val="21"/>
                      <w:highlight w:val="none"/>
                      <w:shd w:val="clear" w:color="auto" w:fill="FFFFFF"/>
                      <w:lang w:val="en-US" w:eastAsia="zh-CN" w:bidi="ar-SA"/>
                    </w:rPr>
                    <w:t>与酸反应：作为弱酸盐，能与盐酸、硫酸等强酸快速反应，生成相应的盐、水和二氧化碳气体，反应过程伴随气泡产生。与碱反应：可与氢氧化钠、氢氧化钾等强碱反应，生成正盐和水</w:t>
                  </w:r>
                  <w:r>
                    <w:rPr>
                      <w:rFonts w:hint="eastAsia" w:ascii="Times New Roman" w:hAnsi="Times New Roman" w:eastAsia="宋体" w:cs="Times New Roman"/>
                      <w:b w:val="0"/>
                      <w:bCs w:val="0"/>
                      <w:color w:val="auto"/>
                      <w:kern w:val="2"/>
                      <w:sz w:val="21"/>
                      <w:szCs w:val="21"/>
                      <w:highlight w:val="none"/>
                      <w:shd w:val="clear" w:color="auto" w:fill="FFFFFF"/>
                      <w:lang w:val="en-US" w:eastAsia="zh-CN" w:bidi="ar-SA"/>
                    </w:rPr>
                    <w:t>。</w:t>
                  </w:r>
                </w:p>
              </w:tc>
            </w:tr>
            <w:tr w14:paraId="25A036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shd w:val="clear" w:color="auto" w:fill="auto"/>
                  <w:noWrap w:val="0"/>
                  <w:vAlign w:val="center"/>
                </w:tcPr>
                <w:p w14:paraId="2387F98A">
                  <w:pPr>
                    <w:spacing w:before="51" w:line="240" w:lineRule="auto"/>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Cs w:val="21"/>
                      <w:highlight w:val="none"/>
                      <w:lang w:val="en-US" w:eastAsia="zh-CN"/>
                    </w:rPr>
                    <w:t>20</w:t>
                  </w:r>
                </w:p>
              </w:tc>
              <w:tc>
                <w:tcPr>
                  <w:tcW w:w="1003" w:type="dxa"/>
                  <w:tcBorders>
                    <w:tl2br w:val="nil"/>
                    <w:tr2bl w:val="nil"/>
                  </w:tcBorders>
                  <w:shd w:val="clear" w:color="auto" w:fill="auto"/>
                  <w:noWrap w:val="0"/>
                  <w:vAlign w:val="center"/>
                </w:tcPr>
                <w:p w14:paraId="16728D2D">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碳酸钠</w:t>
                  </w:r>
                </w:p>
              </w:tc>
              <w:tc>
                <w:tcPr>
                  <w:tcW w:w="6261" w:type="dxa"/>
                  <w:tcBorders>
                    <w:tl2br w:val="nil"/>
                    <w:tr2bl w:val="nil"/>
                  </w:tcBorders>
                  <w:noWrap w:val="0"/>
                  <w:vAlign w:val="top"/>
                </w:tcPr>
                <w:p w14:paraId="1CAFEEAD">
                  <w:pPr>
                    <w:spacing w:before="51" w:line="240" w:lineRule="auto"/>
                    <w:jc w:val="both"/>
                    <w:rPr>
                      <w:rFonts w:hint="eastAsia" w:ascii="Times New Roman" w:hAnsi="Times New Roman" w:eastAsia="宋体" w:cs="Times New Roman"/>
                      <w:b w:val="0"/>
                      <w:bCs w:val="0"/>
                      <w:color w:val="auto"/>
                      <w:kern w:val="2"/>
                      <w:sz w:val="21"/>
                      <w:szCs w:val="21"/>
                      <w:highlight w:val="none"/>
                      <w:shd w:val="clear" w:color="auto" w:fill="FFFFFF"/>
                      <w:lang w:val="en-US" w:eastAsia="zh-CN" w:bidi="ar-SA"/>
                    </w:rPr>
                  </w:pPr>
                  <w:r>
                    <w:rPr>
                      <w:rFonts w:hint="default" w:ascii="Times New Roman" w:hAnsi="Times New Roman" w:eastAsia="宋体" w:cs="Times New Roman"/>
                      <w:b w:val="0"/>
                      <w:bCs w:val="0"/>
                      <w:color w:val="auto"/>
                      <w:kern w:val="2"/>
                      <w:sz w:val="21"/>
                      <w:szCs w:val="21"/>
                      <w:highlight w:val="none"/>
                      <w:shd w:val="clear" w:color="auto" w:fill="FFFFFF"/>
                      <w:lang w:val="en-US" w:eastAsia="zh-CN" w:bidi="ar-SA"/>
                    </w:rPr>
                    <w:t>即碳酸氢钠(Sodium Bicarbonate)，俗称</w:t>
                  </w:r>
                  <w:r>
                    <w:rPr>
                      <w:rFonts w:hint="eastAsia" w:ascii="Times New Roman" w:hAnsi="Times New Roman" w:eastAsia="宋体" w:cs="Times New Roman"/>
                      <w:b w:val="0"/>
                      <w:bCs w:val="0"/>
                      <w:color w:val="auto"/>
                      <w:kern w:val="2"/>
                      <w:sz w:val="21"/>
                      <w:szCs w:val="21"/>
                      <w:highlight w:val="none"/>
                      <w:shd w:val="clear" w:color="auto" w:fill="FFFFFF"/>
                      <w:lang w:val="en-US" w:eastAsia="zh-CN" w:bidi="ar-SA"/>
                    </w:rPr>
                    <w:t>“</w:t>
                  </w:r>
                  <w:r>
                    <w:rPr>
                      <w:rFonts w:hint="default" w:ascii="Times New Roman" w:hAnsi="Times New Roman" w:eastAsia="宋体" w:cs="Times New Roman"/>
                      <w:b w:val="0"/>
                      <w:bCs w:val="0"/>
                      <w:color w:val="auto"/>
                      <w:kern w:val="2"/>
                      <w:sz w:val="21"/>
                      <w:szCs w:val="21"/>
                      <w:highlight w:val="none"/>
                      <w:shd w:val="clear" w:color="auto" w:fill="FFFFFF"/>
                      <w:lang w:val="en-US" w:eastAsia="zh-CN" w:bidi="ar-SA"/>
                    </w:rPr>
                    <w:t>小苏打</w:t>
                  </w:r>
                  <w:r>
                    <w:rPr>
                      <w:rFonts w:hint="eastAsia" w:ascii="Times New Roman" w:hAnsi="Times New Roman" w:eastAsia="宋体" w:cs="Times New Roman"/>
                      <w:b w:val="0"/>
                      <w:bCs w:val="0"/>
                      <w:color w:val="auto"/>
                      <w:kern w:val="2"/>
                      <w:sz w:val="21"/>
                      <w:szCs w:val="21"/>
                      <w:highlight w:val="none"/>
                      <w:shd w:val="clear" w:color="auto" w:fill="FFFFFF"/>
                      <w:lang w:val="en-US" w:eastAsia="zh-CN" w:bidi="ar-SA"/>
                    </w:rPr>
                    <w:t>”</w:t>
                  </w:r>
                  <w:r>
                    <w:rPr>
                      <w:rFonts w:hint="default" w:ascii="Times New Roman" w:hAnsi="Times New Roman" w:eastAsia="宋体" w:cs="Times New Roman"/>
                      <w:b w:val="0"/>
                      <w:bCs w:val="0"/>
                      <w:color w:val="auto"/>
                      <w:kern w:val="2"/>
                      <w:sz w:val="21"/>
                      <w:szCs w:val="21"/>
                      <w:highlight w:val="none"/>
                      <w:shd w:val="clear" w:color="auto" w:fill="FFFFFF"/>
                      <w:lang w:val="en-US" w:eastAsia="zh-CN" w:bidi="ar-SA"/>
                    </w:rPr>
                    <w:t>、</w:t>
                  </w:r>
                  <w:r>
                    <w:rPr>
                      <w:rFonts w:hint="eastAsia" w:ascii="Times New Roman" w:hAnsi="Times New Roman" w:eastAsia="宋体" w:cs="Times New Roman"/>
                      <w:b w:val="0"/>
                      <w:bCs w:val="0"/>
                      <w:color w:val="auto"/>
                      <w:kern w:val="2"/>
                      <w:sz w:val="21"/>
                      <w:szCs w:val="21"/>
                      <w:highlight w:val="none"/>
                      <w:shd w:val="clear" w:color="auto" w:fill="FFFFFF"/>
                      <w:lang w:val="en-US" w:eastAsia="zh-CN" w:bidi="ar-SA"/>
                    </w:rPr>
                    <w:t>“</w:t>
                  </w:r>
                  <w:r>
                    <w:rPr>
                      <w:rFonts w:hint="default" w:ascii="Times New Roman" w:hAnsi="Times New Roman" w:eastAsia="宋体" w:cs="Times New Roman"/>
                      <w:b w:val="0"/>
                      <w:bCs w:val="0"/>
                      <w:color w:val="auto"/>
                      <w:kern w:val="2"/>
                      <w:sz w:val="21"/>
                      <w:szCs w:val="21"/>
                      <w:highlight w:val="none"/>
                      <w:shd w:val="clear" w:color="auto" w:fill="FFFFFF"/>
                      <w:lang w:val="en-US" w:eastAsia="zh-CN" w:bidi="ar-SA"/>
                    </w:rPr>
                    <w:t>苏打粉</w:t>
                  </w:r>
                  <w:r>
                    <w:rPr>
                      <w:rFonts w:hint="eastAsia" w:ascii="Times New Roman" w:hAnsi="Times New Roman" w:eastAsia="宋体" w:cs="Times New Roman"/>
                      <w:b w:val="0"/>
                      <w:bCs w:val="0"/>
                      <w:color w:val="auto"/>
                      <w:kern w:val="2"/>
                      <w:sz w:val="21"/>
                      <w:szCs w:val="21"/>
                      <w:highlight w:val="none"/>
                      <w:shd w:val="clear" w:color="auto" w:fill="FFFFFF"/>
                      <w:lang w:val="en-US" w:eastAsia="zh-CN" w:bidi="ar-SA"/>
                    </w:rPr>
                    <w:t>”</w:t>
                  </w:r>
                  <w:r>
                    <w:rPr>
                      <w:rFonts w:hint="default" w:ascii="Times New Roman" w:hAnsi="Times New Roman" w:eastAsia="宋体" w:cs="Times New Roman"/>
                      <w:b w:val="0"/>
                      <w:bCs w:val="0"/>
                      <w:color w:val="auto"/>
                      <w:kern w:val="2"/>
                      <w:sz w:val="21"/>
                      <w:szCs w:val="21"/>
                      <w:highlight w:val="none"/>
                      <w:shd w:val="clear" w:color="auto" w:fill="FFFFFF"/>
                      <w:lang w:val="en-US" w:eastAsia="zh-CN" w:bidi="ar-SA"/>
                    </w:rPr>
                    <w:t>、</w:t>
                  </w:r>
                  <w:r>
                    <w:rPr>
                      <w:rFonts w:hint="eastAsia" w:ascii="Times New Roman" w:hAnsi="Times New Roman" w:eastAsia="宋体" w:cs="Times New Roman"/>
                      <w:b w:val="0"/>
                      <w:bCs w:val="0"/>
                      <w:color w:val="auto"/>
                      <w:kern w:val="2"/>
                      <w:sz w:val="21"/>
                      <w:szCs w:val="21"/>
                      <w:highlight w:val="none"/>
                      <w:shd w:val="clear" w:color="auto" w:fill="FFFFFF"/>
                      <w:lang w:val="en-US" w:eastAsia="zh-CN" w:bidi="ar-SA"/>
                    </w:rPr>
                    <w:t>“</w:t>
                  </w:r>
                  <w:r>
                    <w:rPr>
                      <w:rFonts w:hint="default" w:ascii="Times New Roman" w:hAnsi="Times New Roman" w:eastAsia="宋体" w:cs="Times New Roman"/>
                      <w:b w:val="0"/>
                      <w:bCs w:val="0"/>
                      <w:color w:val="auto"/>
                      <w:kern w:val="2"/>
                      <w:sz w:val="21"/>
                      <w:szCs w:val="21"/>
                      <w:highlight w:val="none"/>
                      <w:shd w:val="clear" w:color="auto" w:fill="FFFFFF"/>
                      <w:lang w:val="en-US" w:eastAsia="zh-CN" w:bidi="ar-SA"/>
                    </w:rPr>
                    <w:t>重曹</w:t>
                  </w:r>
                  <w:r>
                    <w:rPr>
                      <w:rFonts w:hint="eastAsia" w:ascii="Times New Roman" w:hAnsi="Times New Roman" w:eastAsia="宋体" w:cs="Times New Roman"/>
                      <w:b w:val="0"/>
                      <w:bCs w:val="0"/>
                      <w:color w:val="auto"/>
                      <w:kern w:val="2"/>
                      <w:sz w:val="21"/>
                      <w:szCs w:val="21"/>
                      <w:highlight w:val="none"/>
                      <w:shd w:val="clear" w:color="auto" w:fill="FFFFFF"/>
                      <w:lang w:val="en-US" w:eastAsia="zh-CN" w:bidi="ar-SA"/>
                    </w:rPr>
                    <w:t>”</w:t>
                  </w:r>
                  <w:r>
                    <w:rPr>
                      <w:rFonts w:hint="default" w:ascii="Times New Roman" w:hAnsi="Times New Roman" w:eastAsia="宋体" w:cs="Times New Roman"/>
                      <w:b w:val="0"/>
                      <w:bCs w:val="0"/>
                      <w:color w:val="auto"/>
                      <w:kern w:val="2"/>
                      <w:sz w:val="21"/>
                      <w:szCs w:val="21"/>
                      <w:highlight w:val="none"/>
                      <w:shd w:val="clear" w:color="auto" w:fill="FFFFFF"/>
                      <w:lang w:val="en-US" w:eastAsia="zh-CN" w:bidi="ar-SA"/>
                    </w:rPr>
                    <w:t>，白色细小</w:t>
                  </w:r>
                  <w:r>
                    <w:rPr>
                      <w:rFonts w:hint="default" w:ascii="Times New Roman" w:hAnsi="Times New Roman" w:eastAsia="宋体" w:cs="Times New Roman"/>
                      <w:b w:val="0"/>
                      <w:bCs w:val="0"/>
                      <w:color w:val="auto"/>
                      <w:kern w:val="2"/>
                      <w:sz w:val="21"/>
                      <w:szCs w:val="21"/>
                      <w:highlight w:val="none"/>
                      <w:shd w:val="clear" w:color="auto" w:fill="FFFFFF"/>
                      <w:lang w:val="en-US" w:eastAsia="zh-CN" w:bidi="ar-SA"/>
                    </w:rPr>
                    <w:fldChar w:fldCharType="begin"/>
                  </w:r>
                  <w:r>
                    <w:rPr>
                      <w:rFonts w:hint="default" w:ascii="Times New Roman" w:hAnsi="Times New Roman" w:eastAsia="宋体" w:cs="Times New Roman"/>
                      <w:b w:val="0"/>
                      <w:bCs w:val="0"/>
                      <w:color w:val="auto"/>
                      <w:kern w:val="2"/>
                      <w:sz w:val="21"/>
                      <w:szCs w:val="21"/>
                      <w:highlight w:val="none"/>
                      <w:shd w:val="clear" w:color="auto" w:fill="FFFFFF"/>
                      <w:lang w:val="en-US" w:eastAsia="zh-CN" w:bidi="ar-SA"/>
                    </w:rPr>
                    <w:instrText xml:space="preserve"> HYPERLINK "https://baike.so.com/doc/191492.html" \t "https://baike.so.com/doc/_blank" </w:instrText>
                  </w:r>
                  <w:r>
                    <w:rPr>
                      <w:rFonts w:hint="default" w:ascii="Times New Roman" w:hAnsi="Times New Roman" w:eastAsia="宋体" w:cs="Times New Roman"/>
                      <w:b w:val="0"/>
                      <w:bCs w:val="0"/>
                      <w:color w:val="auto"/>
                      <w:kern w:val="2"/>
                      <w:sz w:val="21"/>
                      <w:szCs w:val="21"/>
                      <w:highlight w:val="none"/>
                      <w:shd w:val="clear" w:color="auto" w:fill="FFFFFF"/>
                      <w:lang w:val="en-US" w:eastAsia="zh-CN" w:bidi="ar-SA"/>
                    </w:rPr>
                    <w:fldChar w:fldCharType="separate"/>
                  </w:r>
                  <w:r>
                    <w:rPr>
                      <w:rFonts w:hint="default" w:ascii="Times New Roman" w:hAnsi="Times New Roman" w:eastAsia="宋体" w:cs="Times New Roman"/>
                      <w:b w:val="0"/>
                      <w:bCs w:val="0"/>
                      <w:color w:val="auto"/>
                      <w:kern w:val="2"/>
                      <w:sz w:val="21"/>
                      <w:szCs w:val="21"/>
                      <w:highlight w:val="none"/>
                      <w:shd w:val="clear" w:color="auto" w:fill="FFFFFF"/>
                      <w:lang w:val="en-US" w:eastAsia="zh-CN" w:bidi="ar-SA"/>
                    </w:rPr>
                    <w:t>晶体</w:t>
                  </w:r>
                  <w:r>
                    <w:rPr>
                      <w:rFonts w:hint="default" w:ascii="Times New Roman" w:hAnsi="Times New Roman" w:eastAsia="宋体" w:cs="Times New Roman"/>
                      <w:b w:val="0"/>
                      <w:bCs w:val="0"/>
                      <w:color w:val="auto"/>
                      <w:kern w:val="2"/>
                      <w:sz w:val="21"/>
                      <w:szCs w:val="21"/>
                      <w:highlight w:val="none"/>
                      <w:shd w:val="clear" w:color="auto" w:fill="FFFFFF"/>
                      <w:lang w:val="en-US" w:eastAsia="zh-CN" w:bidi="ar-SA"/>
                    </w:rPr>
                    <w:fldChar w:fldCharType="end"/>
                  </w:r>
                  <w:r>
                    <w:rPr>
                      <w:rFonts w:hint="default" w:ascii="Times New Roman" w:hAnsi="Times New Roman" w:eastAsia="宋体" w:cs="Times New Roman"/>
                      <w:b w:val="0"/>
                      <w:bCs w:val="0"/>
                      <w:color w:val="auto"/>
                      <w:kern w:val="2"/>
                      <w:sz w:val="21"/>
                      <w:szCs w:val="21"/>
                      <w:highlight w:val="none"/>
                      <w:shd w:val="clear" w:color="auto" w:fill="FFFFFF"/>
                      <w:lang w:val="en-US" w:eastAsia="zh-CN" w:bidi="ar-SA"/>
                    </w:rPr>
                    <w:t>，在水中的</w:t>
                  </w:r>
                  <w:r>
                    <w:rPr>
                      <w:rFonts w:hint="default" w:ascii="Times New Roman" w:hAnsi="Times New Roman" w:eastAsia="宋体" w:cs="Times New Roman"/>
                      <w:b w:val="0"/>
                      <w:bCs w:val="0"/>
                      <w:color w:val="auto"/>
                      <w:kern w:val="2"/>
                      <w:sz w:val="21"/>
                      <w:szCs w:val="21"/>
                      <w:highlight w:val="none"/>
                      <w:shd w:val="clear" w:color="auto" w:fill="FFFFFF"/>
                      <w:lang w:val="en-US" w:eastAsia="zh-CN" w:bidi="ar-SA"/>
                    </w:rPr>
                    <w:fldChar w:fldCharType="begin"/>
                  </w:r>
                  <w:r>
                    <w:rPr>
                      <w:rFonts w:hint="default" w:ascii="Times New Roman" w:hAnsi="Times New Roman" w:eastAsia="宋体" w:cs="Times New Roman"/>
                      <w:b w:val="0"/>
                      <w:bCs w:val="0"/>
                      <w:color w:val="auto"/>
                      <w:kern w:val="2"/>
                      <w:sz w:val="21"/>
                      <w:szCs w:val="21"/>
                      <w:highlight w:val="none"/>
                      <w:shd w:val="clear" w:color="auto" w:fill="FFFFFF"/>
                      <w:lang w:val="en-US" w:eastAsia="zh-CN" w:bidi="ar-SA"/>
                    </w:rPr>
                    <w:instrText xml:space="preserve"> HYPERLINK "https://baike.so.com/doc/2049215.html" \t "https://baike.so.com/doc/_blank" </w:instrText>
                  </w:r>
                  <w:r>
                    <w:rPr>
                      <w:rFonts w:hint="default" w:ascii="Times New Roman" w:hAnsi="Times New Roman" w:eastAsia="宋体" w:cs="Times New Roman"/>
                      <w:b w:val="0"/>
                      <w:bCs w:val="0"/>
                      <w:color w:val="auto"/>
                      <w:kern w:val="2"/>
                      <w:sz w:val="21"/>
                      <w:szCs w:val="21"/>
                      <w:highlight w:val="none"/>
                      <w:shd w:val="clear" w:color="auto" w:fill="FFFFFF"/>
                      <w:lang w:val="en-US" w:eastAsia="zh-CN" w:bidi="ar-SA"/>
                    </w:rPr>
                    <w:fldChar w:fldCharType="separate"/>
                  </w:r>
                  <w:r>
                    <w:rPr>
                      <w:rFonts w:hint="default" w:ascii="Times New Roman" w:hAnsi="Times New Roman" w:eastAsia="宋体" w:cs="Times New Roman"/>
                      <w:b w:val="0"/>
                      <w:bCs w:val="0"/>
                      <w:color w:val="auto"/>
                      <w:kern w:val="2"/>
                      <w:sz w:val="21"/>
                      <w:szCs w:val="21"/>
                      <w:highlight w:val="none"/>
                      <w:shd w:val="clear" w:color="auto" w:fill="FFFFFF"/>
                      <w:lang w:val="en-US" w:eastAsia="zh-CN" w:bidi="ar-SA"/>
                    </w:rPr>
                    <w:t>溶解度</w:t>
                  </w:r>
                  <w:r>
                    <w:rPr>
                      <w:rFonts w:hint="default" w:ascii="Times New Roman" w:hAnsi="Times New Roman" w:eastAsia="宋体" w:cs="Times New Roman"/>
                      <w:b w:val="0"/>
                      <w:bCs w:val="0"/>
                      <w:color w:val="auto"/>
                      <w:kern w:val="2"/>
                      <w:sz w:val="21"/>
                      <w:szCs w:val="21"/>
                      <w:highlight w:val="none"/>
                      <w:shd w:val="clear" w:color="auto" w:fill="FFFFFF"/>
                      <w:lang w:val="en-US" w:eastAsia="zh-CN" w:bidi="ar-SA"/>
                    </w:rPr>
                    <w:fldChar w:fldCharType="end"/>
                  </w:r>
                  <w:r>
                    <w:rPr>
                      <w:rFonts w:hint="default" w:ascii="Times New Roman" w:hAnsi="Times New Roman" w:eastAsia="宋体" w:cs="Times New Roman"/>
                      <w:b w:val="0"/>
                      <w:bCs w:val="0"/>
                      <w:color w:val="auto"/>
                      <w:kern w:val="2"/>
                      <w:sz w:val="21"/>
                      <w:szCs w:val="21"/>
                      <w:highlight w:val="none"/>
                      <w:shd w:val="clear" w:color="auto" w:fill="FFFFFF"/>
                      <w:lang w:val="en-US" w:eastAsia="zh-CN" w:bidi="ar-SA"/>
                    </w:rPr>
                    <w:t>小于碳酸钠。是一种工业用化学品，可能存在毒性。固体50℃以上开始逐渐分解生成碳酸钠、二氧化碳和水，440℃时完全分解。碳酸氢钠是强碱与弱酸中和后生成的酸式盐，溶于水时呈现弱碱性。此特性可使其作为食品制作过程中的膨松剂。碳酸氢钠在作用后会残留碳酸钠，使用过多会使成品有碱味。</w:t>
                  </w:r>
                </w:p>
              </w:tc>
            </w:tr>
            <w:tr w14:paraId="60748B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shd w:val="clear" w:color="auto" w:fill="auto"/>
                  <w:noWrap w:val="0"/>
                  <w:vAlign w:val="center"/>
                </w:tcPr>
                <w:p w14:paraId="58FB164D">
                  <w:pPr>
                    <w:spacing w:before="51" w:line="240" w:lineRule="auto"/>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Cs w:val="21"/>
                      <w:highlight w:val="none"/>
                      <w:lang w:val="en-US" w:eastAsia="zh-CN"/>
                    </w:rPr>
                    <w:t>21</w:t>
                  </w:r>
                </w:p>
              </w:tc>
              <w:tc>
                <w:tcPr>
                  <w:tcW w:w="1003" w:type="dxa"/>
                  <w:tcBorders>
                    <w:tl2br w:val="nil"/>
                    <w:tr2bl w:val="nil"/>
                  </w:tcBorders>
                  <w:shd w:val="clear" w:color="auto" w:fill="auto"/>
                  <w:noWrap w:val="0"/>
                  <w:vAlign w:val="center"/>
                </w:tcPr>
                <w:p w14:paraId="4FFA96C0">
                  <w:pPr>
                    <w:spacing w:before="53" w:line="228" w:lineRule="auto"/>
                    <w:jc w:val="center"/>
                    <w:rPr>
                      <w:rFonts w:ascii="Times New Roman" w:hAnsi="Times New Roman" w:eastAsia="Times New Roman"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酒石酸</w:t>
                  </w:r>
                </w:p>
              </w:tc>
              <w:tc>
                <w:tcPr>
                  <w:tcW w:w="6261" w:type="dxa"/>
                  <w:tcBorders>
                    <w:tl2br w:val="nil"/>
                    <w:tr2bl w:val="nil"/>
                  </w:tcBorders>
                  <w:noWrap w:val="0"/>
                  <w:vAlign w:val="top"/>
                </w:tcPr>
                <w:p w14:paraId="6A2FAB3C">
                  <w:pPr>
                    <w:spacing w:before="51" w:line="240" w:lineRule="auto"/>
                    <w:jc w:val="both"/>
                    <w:rPr>
                      <w:rFonts w:hint="eastAsia" w:ascii="Times New Roman" w:hAnsi="Times New Roman" w:eastAsia="宋体" w:cs="Times New Roman"/>
                      <w:b w:val="0"/>
                      <w:bCs w:val="0"/>
                      <w:color w:val="auto"/>
                      <w:kern w:val="2"/>
                      <w:sz w:val="21"/>
                      <w:szCs w:val="21"/>
                      <w:highlight w:val="none"/>
                      <w:shd w:val="clear" w:color="auto" w:fill="FFFFFF"/>
                      <w:lang w:val="en-US" w:eastAsia="zh-CN" w:bidi="ar-SA"/>
                    </w:rPr>
                  </w:pPr>
                  <w:r>
                    <w:rPr>
                      <w:rFonts w:hint="default" w:ascii="Times New Roman" w:hAnsi="Times New Roman" w:eastAsia="宋体" w:cs="Times New Roman"/>
                      <w:b w:val="0"/>
                      <w:bCs w:val="0"/>
                      <w:color w:val="auto"/>
                      <w:kern w:val="2"/>
                      <w:sz w:val="21"/>
                      <w:szCs w:val="21"/>
                      <w:highlight w:val="none"/>
                      <w:shd w:val="clear" w:color="auto" w:fill="FFFFFF"/>
                      <w:lang w:val="en-US" w:eastAsia="zh-CN" w:bidi="ar-SA"/>
                    </w:rPr>
                    <w:t>外观：通常为无色透明或白色的结晶性粉末，也可能呈无色针状晶体。气味与味道：无臭，味酸。溶解性：易溶于水，20℃时溶解度约为 139 g/100 mL；也易溶于乙醇、甲醇，微溶于乙醚，不溶于氯仿。密度：无水酒石酸密度约为 1.7598 g/cm³（20℃时），含结晶水的酒石酸密度会略低。光学活性：天然存在的酒石酸（如 L - 酒石酸）具有旋光性，能使偏振光的振动平面发生旋转；而 DL - 酒石酸（外消旋体）无旋光性。</w:t>
                  </w:r>
                </w:p>
              </w:tc>
            </w:tr>
            <w:tr w14:paraId="56E93F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shd w:val="clear" w:color="auto" w:fill="auto"/>
                  <w:noWrap w:val="0"/>
                  <w:vAlign w:val="center"/>
                </w:tcPr>
                <w:p w14:paraId="0E43ED5C">
                  <w:pPr>
                    <w:spacing w:before="51" w:line="240" w:lineRule="auto"/>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Cs w:val="21"/>
                      <w:highlight w:val="none"/>
                      <w:lang w:val="en-US" w:eastAsia="zh-CN"/>
                    </w:rPr>
                    <w:t>22</w:t>
                  </w:r>
                </w:p>
              </w:tc>
              <w:tc>
                <w:tcPr>
                  <w:tcW w:w="1003" w:type="dxa"/>
                  <w:tcBorders>
                    <w:tl2br w:val="nil"/>
                    <w:tr2bl w:val="nil"/>
                  </w:tcBorders>
                  <w:shd w:val="clear" w:color="auto" w:fill="auto"/>
                  <w:noWrap w:val="0"/>
                  <w:vAlign w:val="center"/>
                </w:tcPr>
                <w:p w14:paraId="7A484853">
                  <w:pPr>
                    <w:spacing w:before="52" w:line="229" w:lineRule="auto"/>
                    <w:jc w:val="center"/>
                    <w:rPr>
                      <w:rFonts w:ascii="Times New Roman" w:hAnsi="Times New Roman" w:eastAsia="Times New Roman"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乙酸锌</w:t>
                  </w:r>
                </w:p>
              </w:tc>
              <w:tc>
                <w:tcPr>
                  <w:tcW w:w="6261" w:type="dxa"/>
                  <w:tcBorders>
                    <w:tl2br w:val="nil"/>
                    <w:tr2bl w:val="nil"/>
                  </w:tcBorders>
                  <w:noWrap w:val="0"/>
                  <w:vAlign w:val="top"/>
                </w:tcPr>
                <w:p w14:paraId="166459A1">
                  <w:pPr>
                    <w:spacing w:before="51" w:line="240" w:lineRule="auto"/>
                    <w:jc w:val="both"/>
                    <w:rPr>
                      <w:rFonts w:hint="eastAsia" w:ascii="Times New Roman" w:hAnsi="Times New Roman" w:eastAsia="宋体" w:cs="Times New Roman"/>
                      <w:b w:val="0"/>
                      <w:bCs w:val="0"/>
                      <w:color w:val="auto"/>
                      <w:kern w:val="2"/>
                      <w:sz w:val="21"/>
                      <w:szCs w:val="21"/>
                      <w:highlight w:val="none"/>
                      <w:shd w:val="clear" w:color="auto" w:fill="FFFFFF"/>
                      <w:lang w:val="en-US" w:eastAsia="zh-CN" w:bidi="ar-SA"/>
                    </w:rPr>
                  </w:pPr>
                  <w:r>
                    <w:rPr>
                      <w:rFonts w:hint="default" w:ascii="Times New Roman" w:hAnsi="Times New Roman" w:eastAsia="宋体" w:cs="Times New Roman"/>
                      <w:b w:val="0"/>
                      <w:bCs w:val="0"/>
                      <w:color w:val="auto"/>
                      <w:kern w:val="2"/>
                      <w:sz w:val="21"/>
                      <w:szCs w:val="21"/>
                      <w:highlight w:val="none"/>
                      <w:shd w:val="clear" w:color="auto" w:fill="FFFFFF"/>
                      <w:lang w:val="en-US" w:eastAsia="zh-CN" w:bidi="ar-SA"/>
                    </w:rPr>
                    <w:t>外观：通常为白色单斜片状晶体或白色结晶性粉末，无臭。溶解性：易溶于水，20℃时溶解度约为 43 g/100 mL；可溶于乙醇，微溶于乙醚和丙酮，不溶于苯。熔点：无水乙酸锌熔点约为 237℃，加热至更高温度（约 300℃）会分解。热分解性：受热易分解，温度超过 300℃时，会分解生成氧化锌、乙酸酐、二氧化碳和甲烷等产物，无明确沸点。</w:t>
                  </w:r>
                </w:p>
              </w:tc>
            </w:tr>
            <w:tr w14:paraId="424806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shd w:val="clear" w:color="auto" w:fill="auto"/>
                  <w:noWrap w:val="0"/>
                  <w:vAlign w:val="center"/>
                </w:tcPr>
                <w:p w14:paraId="40620BA7">
                  <w:pPr>
                    <w:spacing w:before="51" w:line="240" w:lineRule="auto"/>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s="Times New Roman"/>
                      <w:color w:val="auto"/>
                      <w:spacing w:val="-10"/>
                      <w:kern w:val="2"/>
                      <w:sz w:val="21"/>
                      <w:szCs w:val="21"/>
                      <w:highlight w:val="none"/>
                      <w:lang w:val="en-US" w:eastAsia="zh-CN" w:bidi="ar-SA"/>
                    </w:rPr>
                    <w:t>23</w:t>
                  </w:r>
                </w:p>
              </w:tc>
              <w:tc>
                <w:tcPr>
                  <w:tcW w:w="1003" w:type="dxa"/>
                  <w:tcBorders>
                    <w:tl2br w:val="nil"/>
                    <w:tr2bl w:val="nil"/>
                  </w:tcBorders>
                  <w:shd w:val="clear" w:color="auto" w:fill="auto"/>
                  <w:noWrap w:val="0"/>
                  <w:vAlign w:val="center"/>
                </w:tcPr>
                <w:p w14:paraId="2DFDB6A3">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甲基橙</w:t>
                  </w:r>
                </w:p>
              </w:tc>
              <w:tc>
                <w:tcPr>
                  <w:tcW w:w="6261" w:type="dxa"/>
                  <w:tcBorders>
                    <w:tl2br w:val="nil"/>
                    <w:tr2bl w:val="nil"/>
                  </w:tcBorders>
                  <w:noWrap w:val="0"/>
                  <w:vAlign w:val="top"/>
                </w:tcPr>
                <w:p w14:paraId="3EED1DE5">
                  <w:pPr>
                    <w:spacing w:before="51" w:line="240" w:lineRule="auto"/>
                    <w:jc w:val="both"/>
                    <w:rPr>
                      <w:rFonts w:hint="eastAsia" w:ascii="Times New Roman" w:hAnsi="Times New Roman" w:eastAsia="宋体" w:cs="Times New Roman"/>
                      <w:b w:val="0"/>
                      <w:bCs w:val="0"/>
                      <w:color w:val="auto"/>
                      <w:kern w:val="2"/>
                      <w:sz w:val="21"/>
                      <w:szCs w:val="21"/>
                      <w:highlight w:val="none"/>
                      <w:shd w:val="clear" w:color="auto" w:fill="FFFFFF"/>
                      <w:lang w:val="en-US" w:eastAsia="zh-CN" w:bidi="ar-SA"/>
                    </w:rPr>
                  </w:pPr>
                  <w:r>
                    <w:rPr>
                      <w:rFonts w:hint="default" w:ascii="Times New Roman" w:hAnsi="Times New Roman" w:eastAsia="宋体" w:cs="Times New Roman"/>
                      <w:b w:val="0"/>
                      <w:bCs w:val="0"/>
                      <w:color w:val="auto"/>
                      <w:kern w:val="2"/>
                      <w:sz w:val="21"/>
                      <w:szCs w:val="21"/>
                      <w:highlight w:val="none"/>
                      <w:shd w:val="clear" w:color="auto" w:fill="FFFFFF"/>
                      <w:lang w:val="en-US" w:eastAsia="zh-CN" w:bidi="ar-SA"/>
                    </w:rPr>
                    <w:t>外观：通常为橙黄色的鳞状晶体或粉末，无臭。溶解性：易溶于热水，20℃时在水中溶解度约为 0.2g/100mL；微溶于冷水，不溶于乙醇、乙醚等有机溶剂。熔点：约 300℃，超过熔点会分解，无明确沸点。稳定性：常温下干燥状态较稳定，但长期暴露于光和空气中可能缓慢褪色，影响指示效果，需密封避光保存。</w:t>
                  </w:r>
                </w:p>
              </w:tc>
            </w:tr>
            <w:tr w14:paraId="1F5112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shd w:val="clear" w:color="auto" w:fill="auto"/>
                  <w:noWrap w:val="0"/>
                  <w:vAlign w:val="center"/>
                </w:tcPr>
                <w:p w14:paraId="100DE9BB">
                  <w:pPr>
                    <w:spacing w:before="51" w:line="240" w:lineRule="auto"/>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s="Times New Roman"/>
                      <w:color w:val="auto"/>
                      <w:spacing w:val="-10"/>
                      <w:kern w:val="2"/>
                      <w:sz w:val="21"/>
                      <w:szCs w:val="21"/>
                      <w:highlight w:val="none"/>
                      <w:lang w:val="en-US" w:eastAsia="zh-CN" w:bidi="ar-SA"/>
                    </w:rPr>
                    <w:t>24</w:t>
                  </w:r>
                </w:p>
              </w:tc>
              <w:tc>
                <w:tcPr>
                  <w:tcW w:w="1003" w:type="dxa"/>
                  <w:tcBorders>
                    <w:tl2br w:val="nil"/>
                    <w:tr2bl w:val="nil"/>
                  </w:tcBorders>
                  <w:shd w:val="clear" w:color="auto" w:fill="auto"/>
                  <w:noWrap w:val="0"/>
                  <w:vAlign w:val="center"/>
                </w:tcPr>
                <w:p w14:paraId="7A272CA5">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氯化铁</w:t>
                  </w:r>
                </w:p>
              </w:tc>
              <w:tc>
                <w:tcPr>
                  <w:tcW w:w="6261" w:type="dxa"/>
                  <w:tcBorders>
                    <w:tl2br w:val="nil"/>
                    <w:tr2bl w:val="nil"/>
                  </w:tcBorders>
                  <w:noWrap w:val="0"/>
                  <w:vAlign w:val="top"/>
                </w:tcPr>
                <w:p w14:paraId="5154B878">
                  <w:pPr>
                    <w:spacing w:before="53" w:line="240" w:lineRule="auto"/>
                    <w:jc w:val="both"/>
                    <w:rPr>
                      <w:rFonts w:hint="eastAsia" w:ascii="Times New Roman" w:hAnsi="Times New Roman" w:eastAsia="宋体" w:cs="Times New Roman"/>
                      <w:b w:val="0"/>
                      <w:bCs w:val="0"/>
                      <w:color w:val="auto"/>
                      <w:kern w:val="2"/>
                      <w:sz w:val="21"/>
                      <w:szCs w:val="21"/>
                      <w:highlight w:val="none"/>
                      <w:shd w:val="clear" w:color="auto" w:fill="FFFFFF"/>
                      <w:lang w:val="en-US" w:eastAsia="zh-CN" w:bidi="ar-SA"/>
                    </w:rPr>
                  </w:pPr>
                  <w:r>
                    <w:rPr>
                      <w:rFonts w:hint="default" w:ascii="Times New Roman" w:hAnsi="Times New Roman" w:eastAsia="宋体" w:cs="Times New Roman"/>
                      <w:b w:val="0"/>
                      <w:bCs w:val="0"/>
                      <w:color w:val="auto"/>
                      <w:kern w:val="2"/>
                      <w:sz w:val="21"/>
                      <w:szCs w:val="21"/>
                      <w:highlight w:val="none"/>
                      <w:shd w:val="clear" w:color="auto" w:fill="FFFFFF"/>
                      <w:lang w:val="en-US" w:eastAsia="zh-CN" w:bidi="ar-SA"/>
                    </w:rPr>
                    <w:t>强氧化性：作为铁 (Ⅲ) 盐，具有较强氧化性，能与多种还</w:t>
                  </w:r>
                </w:p>
              </w:tc>
            </w:tr>
            <w:tr w14:paraId="7040BA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shd w:val="clear" w:color="auto" w:fill="auto"/>
                  <w:noWrap w:val="0"/>
                  <w:vAlign w:val="center"/>
                </w:tcPr>
                <w:p w14:paraId="08E30F8A">
                  <w:pPr>
                    <w:spacing w:before="51" w:line="240" w:lineRule="auto"/>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s="Times New Roman"/>
                      <w:color w:val="auto"/>
                      <w:spacing w:val="-10"/>
                      <w:kern w:val="2"/>
                      <w:sz w:val="21"/>
                      <w:szCs w:val="21"/>
                      <w:highlight w:val="none"/>
                      <w:lang w:val="en-US" w:eastAsia="zh-CN" w:bidi="ar-SA"/>
                    </w:rPr>
                    <w:t>25</w:t>
                  </w:r>
                </w:p>
              </w:tc>
              <w:tc>
                <w:tcPr>
                  <w:tcW w:w="1003" w:type="dxa"/>
                  <w:tcBorders>
                    <w:tl2br w:val="nil"/>
                    <w:tr2bl w:val="nil"/>
                  </w:tcBorders>
                  <w:shd w:val="clear" w:color="auto" w:fill="auto"/>
                  <w:noWrap w:val="0"/>
                  <w:vAlign w:val="center"/>
                </w:tcPr>
                <w:p w14:paraId="07EF330E">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硫代硫酸钠</w:t>
                  </w:r>
                </w:p>
              </w:tc>
              <w:tc>
                <w:tcPr>
                  <w:tcW w:w="6261" w:type="dxa"/>
                  <w:tcBorders>
                    <w:tl2br w:val="nil"/>
                    <w:tr2bl w:val="nil"/>
                  </w:tcBorders>
                  <w:noWrap w:val="0"/>
                  <w:vAlign w:val="top"/>
                </w:tcPr>
                <w:p w14:paraId="0AA95831">
                  <w:pPr>
                    <w:spacing w:before="51" w:line="240" w:lineRule="auto"/>
                    <w:jc w:val="both"/>
                    <w:rPr>
                      <w:rFonts w:hint="eastAsia" w:ascii="Times New Roman" w:hAnsi="Times New Roman" w:eastAsia="宋体" w:cs="Times New Roman"/>
                      <w:b w:val="0"/>
                      <w:bCs w:val="0"/>
                      <w:color w:val="auto"/>
                      <w:kern w:val="2"/>
                      <w:sz w:val="21"/>
                      <w:szCs w:val="21"/>
                      <w:highlight w:val="none"/>
                      <w:shd w:val="clear" w:color="auto" w:fill="FFFFFF"/>
                      <w:lang w:val="en-US" w:eastAsia="zh-CN" w:bidi="ar-SA"/>
                    </w:rPr>
                  </w:pPr>
                  <w:r>
                    <w:rPr>
                      <w:rFonts w:hint="default" w:ascii="Times New Roman" w:hAnsi="Times New Roman" w:eastAsia="宋体" w:cs="Times New Roman"/>
                      <w:b w:val="0"/>
                      <w:bCs w:val="0"/>
                      <w:color w:val="auto"/>
                      <w:kern w:val="2"/>
                      <w:sz w:val="21"/>
                      <w:szCs w:val="21"/>
                      <w:highlight w:val="none"/>
                      <w:shd w:val="clear" w:color="auto" w:fill="FFFFFF"/>
                      <w:lang w:val="en-US" w:eastAsia="zh-CN" w:bidi="ar-SA"/>
                    </w:rPr>
                    <w:t>外观：常见的是五水合硫代硫酸钠（Na₂S₂O₃・5H₂O），为无色透明的单斜晶体；无水硫代硫酸钠为白色结晶性粉末，无臭。溶解性：易溶于水，20℃时溶解度约 70.1 g/100 mL，溶液呈弱碱性；不溶于乙醇、乙醚等有机溶剂。熔点：五水合硫代硫酸钠在 48.2℃时会失去结晶水，生成无水物；无水硫代硫酸钠熔点约为 486℃（分解），无明确沸点。稳定性：常温下干燥状态较稳定，但易吸潮结块；暴露于空气中会缓慢氧化，生成硫酸钠和硫。还原性：这是其核心化学性质，能与多种氧化剂发生反应。</w:t>
                  </w:r>
                </w:p>
              </w:tc>
            </w:tr>
            <w:tr w14:paraId="212488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shd w:val="clear" w:color="auto" w:fill="auto"/>
                  <w:noWrap w:val="0"/>
                  <w:vAlign w:val="center"/>
                </w:tcPr>
                <w:p w14:paraId="2B391499">
                  <w:pPr>
                    <w:spacing w:before="51" w:line="240" w:lineRule="auto"/>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Cs w:val="21"/>
                      <w:highlight w:val="none"/>
                      <w:lang w:val="en-US" w:eastAsia="zh-CN"/>
                    </w:rPr>
                    <w:t>26</w:t>
                  </w:r>
                </w:p>
              </w:tc>
              <w:tc>
                <w:tcPr>
                  <w:tcW w:w="1003" w:type="dxa"/>
                  <w:tcBorders>
                    <w:tl2br w:val="nil"/>
                    <w:tr2bl w:val="nil"/>
                  </w:tcBorders>
                  <w:shd w:val="clear" w:color="auto" w:fill="auto"/>
                  <w:noWrap w:val="0"/>
                  <w:vAlign w:val="center"/>
                </w:tcPr>
                <w:p w14:paraId="686D9734">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硫酸锌</w:t>
                  </w:r>
                </w:p>
              </w:tc>
              <w:tc>
                <w:tcPr>
                  <w:tcW w:w="6261" w:type="dxa"/>
                  <w:tcBorders>
                    <w:tl2br w:val="nil"/>
                    <w:tr2bl w:val="nil"/>
                  </w:tcBorders>
                  <w:noWrap w:val="0"/>
                  <w:vAlign w:val="top"/>
                </w:tcPr>
                <w:p w14:paraId="2265B100">
                  <w:pPr>
                    <w:spacing w:before="51" w:line="240" w:lineRule="auto"/>
                    <w:jc w:val="both"/>
                    <w:rPr>
                      <w:rFonts w:hint="eastAsia" w:ascii="Times New Roman" w:hAnsi="Times New Roman" w:eastAsia="宋体" w:cs="Times New Roman"/>
                      <w:b w:val="0"/>
                      <w:bCs w:val="0"/>
                      <w:color w:val="auto"/>
                      <w:kern w:val="2"/>
                      <w:sz w:val="21"/>
                      <w:szCs w:val="21"/>
                      <w:highlight w:val="none"/>
                      <w:shd w:val="clear" w:color="auto" w:fill="FFFFFF"/>
                      <w:lang w:val="en-US" w:eastAsia="zh-CN" w:bidi="ar-SA"/>
                    </w:rPr>
                  </w:pPr>
                  <w:r>
                    <w:rPr>
                      <w:rFonts w:hint="default" w:ascii="Times New Roman" w:hAnsi="Times New Roman" w:eastAsia="宋体" w:cs="Times New Roman"/>
                      <w:b w:val="0"/>
                      <w:bCs w:val="0"/>
                      <w:color w:val="auto"/>
                      <w:kern w:val="2"/>
                      <w:sz w:val="21"/>
                      <w:szCs w:val="21"/>
                      <w:highlight w:val="none"/>
                      <w:shd w:val="clear" w:color="auto" w:fill="FFFFFF"/>
                      <w:lang w:val="en-US" w:eastAsia="zh-CN" w:bidi="ar-SA"/>
                    </w:rPr>
                    <w:t>外观：常见的七水合硫酸锌（ZnSO₄・7H₂O）为无色透明的针状或棱柱状晶体，或白色结晶性粉末；无水硫酸锌为白色粉末，无臭。溶解性：易溶于水，20℃时溶解度约 54.2 g/100 mL，溶解后溶液呈中性或弱酸性；微溶于乙醇、甘油，不溶于丙酮、乙醚等有机溶剂。熔点与结晶水：七水合硫酸锌在 39℃时失去部分结晶水，100℃时失去全部结晶水生成无水硫酸锌；无水硫酸锌熔点约 1000℃，高温下会分解。</w:t>
                  </w:r>
                </w:p>
              </w:tc>
            </w:tr>
            <w:tr w14:paraId="5C7A1E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shd w:val="clear" w:color="auto" w:fill="auto"/>
                  <w:noWrap w:val="0"/>
                  <w:vAlign w:val="center"/>
                </w:tcPr>
                <w:p w14:paraId="68F39A0C">
                  <w:pPr>
                    <w:spacing w:before="51" w:line="240" w:lineRule="auto"/>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Cs w:val="21"/>
                      <w:highlight w:val="none"/>
                      <w:lang w:val="en-US" w:eastAsia="zh-CN"/>
                    </w:rPr>
                    <w:t>27</w:t>
                  </w:r>
                </w:p>
              </w:tc>
              <w:tc>
                <w:tcPr>
                  <w:tcW w:w="1003" w:type="dxa"/>
                  <w:tcBorders>
                    <w:tl2br w:val="nil"/>
                    <w:tr2bl w:val="nil"/>
                  </w:tcBorders>
                  <w:shd w:val="clear" w:color="auto" w:fill="auto"/>
                  <w:noWrap w:val="0"/>
                  <w:vAlign w:val="center"/>
                </w:tcPr>
                <w:p w14:paraId="57851A09">
                  <w:pPr>
                    <w:spacing w:before="52" w:line="229"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四硼酸钠</w:t>
                  </w:r>
                </w:p>
              </w:tc>
              <w:tc>
                <w:tcPr>
                  <w:tcW w:w="6261" w:type="dxa"/>
                  <w:tcBorders>
                    <w:tl2br w:val="nil"/>
                    <w:tr2bl w:val="nil"/>
                  </w:tcBorders>
                  <w:noWrap w:val="0"/>
                  <w:vAlign w:val="top"/>
                </w:tcPr>
                <w:p w14:paraId="4FCF6813">
                  <w:pPr>
                    <w:spacing w:before="51" w:line="240" w:lineRule="auto"/>
                    <w:jc w:val="both"/>
                    <w:rPr>
                      <w:rFonts w:hint="eastAsia" w:ascii="Times New Roman" w:hAnsi="Times New Roman" w:eastAsia="宋体" w:cs="Times New Roman"/>
                      <w:b w:val="0"/>
                      <w:bCs w:val="0"/>
                      <w:color w:val="auto"/>
                      <w:kern w:val="2"/>
                      <w:sz w:val="21"/>
                      <w:szCs w:val="21"/>
                      <w:highlight w:val="none"/>
                      <w:shd w:val="clear" w:color="auto" w:fill="FFFFFF"/>
                      <w:lang w:val="en-US" w:eastAsia="zh-CN" w:bidi="ar-SA"/>
                    </w:rPr>
                  </w:pPr>
                  <w:r>
                    <w:rPr>
                      <w:rFonts w:hint="default" w:ascii="Times New Roman" w:hAnsi="Times New Roman" w:eastAsia="宋体" w:cs="Times New Roman"/>
                      <w:b w:val="0"/>
                      <w:bCs w:val="0"/>
                      <w:color w:val="auto"/>
                      <w:kern w:val="2"/>
                      <w:sz w:val="21"/>
                      <w:szCs w:val="21"/>
                      <w:highlight w:val="none"/>
                      <w:shd w:val="clear" w:color="auto" w:fill="FFFFFF"/>
                      <w:lang w:val="en-US" w:eastAsia="zh-CN" w:bidi="ar-SA"/>
                    </w:rPr>
                    <w:t>外观：常见的十水合四硼酸钠（Na₂B₄O₇・10H₂O）为无色透明或白色的结晶性粉末，也可能呈无色柱状晶体，无臭。溶解性：易溶于水，20℃时溶解度约 2.7 g/100 mL，水温升高时溶解度显著增加；不溶于乙醇、乙醚等有机溶剂，微溶于甘油。</w:t>
                  </w:r>
                </w:p>
              </w:tc>
            </w:tr>
            <w:tr w14:paraId="7304F1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shd w:val="clear" w:color="auto" w:fill="auto"/>
                  <w:noWrap w:val="0"/>
                  <w:vAlign w:val="center"/>
                </w:tcPr>
                <w:p w14:paraId="727D6A99">
                  <w:pPr>
                    <w:spacing w:before="51" w:line="240" w:lineRule="auto"/>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s="Times New Roman"/>
                      <w:color w:val="auto"/>
                      <w:spacing w:val="-10"/>
                      <w:kern w:val="2"/>
                      <w:sz w:val="21"/>
                      <w:szCs w:val="21"/>
                      <w:highlight w:val="none"/>
                      <w:lang w:val="en-US" w:eastAsia="zh-CN" w:bidi="ar-SA"/>
                    </w:rPr>
                    <w:t>28</w:t>
                  </w:r>
                </w:p>
              </w:tc>
              <w:tc>
                <w:tcPr>
                  <w:tcW w:w="1003" w:type="dxa"/>
                  <w:tcBorders>
                    <w:tl2br w:val="nil"/>
                    <w:tr2bl w:val="nil"/>
                  </w:tcBorders>
                  <w:shd w:val="clear" w:color="auto" w:fill="auto"/>
                  <w:noWrap w:val="0"/>
                  <w:vAlign w:val="center"/>
                </w:tcPr>
                <w:p w14:paraId="5611CD0C">
                  <w:pPr>
                    <w:spacing w:before="53" w:line="240" w:lineRule="auto"/>
                    <w:jc w:val="center"/>
                    <w:rPr>
                      <w:rFonts w:hint="eastAsia"/>
                      <w:color w:val="auto"/>
                      <w:spacing w:val="6"/>
                      <w:szCs w:val="21"/>
                      <w:highlight w:val="none"/>
                      <w:lang w:val="en-US" w:eastAsia="zh-CN"/>
                    </w:rPr>
                  </w:pPr>
                  <w:r>
                    <w:rPr>
                      <w:rFonts w:hint="eastAsia"/>
                      <w:color w:val="auto"/>
                      <w:spacing w:val="6"/>
                      <w:szCs w:val="21"/>
                      <w:highlight w:val="none"/>
                      <w:lang w:val="en-US" w:eastAsia="zh-CN"/>
                    </w:rPr>
                    <w:t>酒石酸钾钠</w:t>
                  </w:r>
                </w:p>
              </w:tc>
              <w:tc>
                <w:tcPr>
                  <w:tcW w:w="6261" w:type="dxa"/>
                  <w:tcBorders>
                    <w:tl2br w:val="nil"/>
                    <w:tr2bl w:val="nil"/>
                  </w:tcBorders>
                  <w:shd w:val="clear" w:color="auto" w:fill="auto"/>
                  <w:noWrap w:val="0"/>
                  <w:vAlign w:val="top"/>
                </w:tcPr>
                <w:p w14:paraId="7AE60E50">
                  <w:pPr>
                    <w:spacing w:before="51" w:line="240" w:lineRule="auto"/>
                    <w:jc w:val="both"/>
                    <w:rPr>
                      <w:rFonts w:hint="eastAsia" w:ascii="Times New Roman" w:hAnsi="Times New Roman" w:cs="Times New Roman"/>
                      <w:color w:val="auto"/>
                      <w:szCs w:val="21"/>
                      <w:highlight w:val="none"/>
                      <w:shd w:val="clear" w:color="auto" w:fill="FFFFFF"/>
                      <w:lang w:eastAsia="zh-CN"/>
                    </w:rPr>
                  </w:pPr>
                  <w:r>
                    <w:rPr>
                      <w:rFonts w:hint="default" w:ascii="Times New Roman" w:hAnsi="Times New Roman" w:cs="Times New Roman"/>
                      <w:color w:val="auto"/>
                      <w:szCs w:val="21"/>
                      <w:highlight w:val="none"/>
                      <w:shd w:val="clear" w:color="auto" w:fill="FFFFFF"/>
                    </w:rPr>
                    <w:t>无色半透明结晶或白色结晶粉末</w:t>
                  </w:r>
                  <w:r>
                    <w:rPr>
                      <w:rFonts w:hint="eastAsia" w:ascii="Times New Roman" w:hAnsi="Times New Roman" w:cs="Times New Roman"/>
                      <w:color w:val="auto"/>
                      <w:szCs w:val="21"/>
                      <w:highlight w:val="none"/>
                      <w:shd w:val="clear" w:color="auto" w:fill="FFFFFF"/>
                      <w:lang w:eastAsia="zh-CN"/>
                    </w:rPr>
                    <w:t>，</w:t>
                  </w:r>
                  <w:r>
                    <w:rPr>
                      <w:rFonts w:hint="default" w:ascii="Times New Roman" w:hAnsi="Times New Roman" w:cs="Times New Roman"/>
                      <w:color w:val="auto"/>
                      <w:szCs w:val="21"/>
                      <w:highlight w:val="none"/>
                      <w:shd w:val="clear" w:color="auto" w:fill="FFFFFF"/>
                    </w:rPr>
                    <w:t>密度：1.79g/cm³</w:t>
                  </w:r>
                  <w:r>
                    <w:rPr>
                      <w:rFonts w:hint="eastAsia" w:ascii="Times New Roman" w:hAnsi="Times New Roman" w:cs="Times New Roman"/>
                      <w:color w:val="auto"/>
                      <w:szCs w:val="21"/>
                      <w:highlight w:val="none"/>
                      <w:shd w:val="clear" w:color="auto" w:fill="FFFFFF"/>
                      <w:lang w:eastAsia="zh-CN"/>
                    </w:rPr>
                    <w:t>，</w:t>
                  </w:r>
                  <w:r>
                    <w:rPr>
                      <w:rFonts w:hint="default" w:ascii="Times New Roman" w:hAnsi="Times New Roman" w:cs="Times New Roman"/>
                      <w:color w:val="auto"/>
                      <w:szCs w:val="21"/>
                      <w:highlight w:val="none"/>
                      <w:shd w:val="clear" w:color="auto" w:fill="FFFFFF"/>
                    </w:rPr>
                    <w:t>熔点：75℃</w:t>
                  </w:r>
                  <w:r>
                    <w:rPr>
                      <w:rFonts w:hint="eastAsia" w:ascii="Times New Roman" w:hAnsi="Times New Roman" w:cs="Times New Roman"/>
                      <w:color w:val="auto"/>
                      <w:szCs w:val="21"/>
                      <w:highlight w:val="none"/>
                      <w:shd w:val="clear" w:color="auto" w:fill="FFFFFF"/>
                      <w:lang w:eastAsia="zh-CN"/>
                    </w:rPr>
                    <w:t>，</w:t>
                  </w:r>
                </w:p>
                <w:p w14:paraId="2D076145">
                  <w:pPr>
                    <w:spacing w:before="51" w:line="240" w:lineRule="auto"/>
                    <w:jc w:val="both"/>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易溶于水，不溶于乙醇</w:t>
                  </w:r>
                  <w:r>
                    <w:rPr>
                      <w:rFonts w:hint="eastAsia" w:ascii="Times New Roman" w:hAnsi="Times New Roman" w:cs="Times New Roman"/>
                      <w:color w:val="auto"/>
                      <w:szCs w:val="21"/>
                      <w:highlight w:val="none"/>
                      <w:shd w:val="clear" w:color="auto" w:fill="FFFFFF"/>
                      <w:lang w:eastAsia="zh-CN"/>
                    </w:rPr>
                    <w:t>，</w:t>
                  </w:r>
                  <w:r>
                    <w:rPr>
                      <w:rFonts w:hint="default" w:ascii="Times New Roman" w:hAnsi="Times New Roman" w:cs="Times New Roman"/>
                      <w:color w:val="auto"/>
                      <w:szCs w:val="21"/>
                      <w:highlight w:val="none"/>
                      <w:shd w:val="clear" w:color="auto" w:fill="FFFFFF"/>
                    </w:rPr>
                    <w:t>在热空气中有风化性，60℃失去部分结晶水，215℃失去全部结晶水</w:t>
                  </w:r>
                  <w:r>
                    <w:rPr>
                      <w:rFonts w:hint="eastAsia" w:ascii="Times New Roman" w:hAnsi="Times New Roman" w:cs="Times New Roman"/>
                      <w:color w:val="auto"/>
                      <w:szCs w:val="21"/>
                      <w:highlight w:val="none"/>
                      <w:shd w:val="clear" w:color="auto" w:fill="FFFFFF"/>
                      <w:lang w:eastAsia="zh-CN"/>
                    </w:rPr>
                    <w:t>，</w:t>
                  </w:r>
                  <w:r>
                    <w:rPr>
                      <w:rFonts w:hint="default" w:ascii="Times New Roman" w:hAnsi="Times New Roman" w:cs="Times New Roman"/>
                      <w:color w:val="auto"/>
                      <w:szCs w:val="21"/>
                      <w:highlight w:val="none"/>
                      <w:shd w:val="clear" w:color="auto" w:fill="FFFFFF"/>
                    </w:rPr>
                    <w:t>水溶液呈微碱性</w:t>
                  </w:r>
                  <w:r>
                    <w:rPr>
                      <w:rFonts w:hint="eastAsia" w:ascii="Times New Roman" w:hAnsi="Times New Roman" w:cs="Times New Roman"/>
                      <w:color w:val="auto"/>
                      <w:szCs w:val="21"/>
                      <w:highlight w:val="none"/>
                      <w:shd w:val="clear" w:color="auto" w:fill="FFFFFF"/>
                      <w:lang w:eastAsia="zh-CN"/>
                    </w:rPr>
                    <w:t>，</w:t>
                  </w:r>
                  <w:r>
                    <w:rPr>
                      <w:rFonts w:hint="default" w:ascii="Times New Roman" w:hAnsi="Times New Roman" w:cs="Times New Roman"/>
                      <w:color w:val="auto"/>
                      <w:szCs w:val="21"/>
                      <w:highlight w:val="none"/>
                      <w:shd w:val="clear" w:color="auto" w:fill="FFFFFF"/>
                    </w:rPr>
                    <w:t>具有一定的还原性，可作为制作镜背银层时的还原剂，也用于配制菲林试剂、双缩脲试剂等。</w:t>
                  </w:r>
                </w:p>
              </w:tc>
            </w:tr>
            <w:tr w14:paraId="2BFBF2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shd w:val="clear" w:color="auto" w:fill="auto"/>
                  <w:noWrap w:val="0"/>
                  <w:vAlign w:val="center"/>
                </w:tcPr>
                <w:p w14:paraId="6B6FFF0B">
                  <w:pPr>
                    <w:spacing w:before="51" w:line="240" w:lineRule="auto"/>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s="Times New Roman"/>
                      <w:color w:val="auto"/>
                      <w:spacing w:val="-10"/>
                      <w:kern w:val="2"/>
                      <w:sz w:val="21"/>
                      <w:szCs w:val="21"/>
                      <w:highlight w:val="none"/>
                      <w:lang w:val="en-US" w:eastAsia="zh-CN" w:bidi="ar-SA"/>
                    </w:rPr>
                    <w:t>29</w:t>
                  </w:r>
                </w:p>
              </w:tc>
              <w:tc>
                <w:tcPr>
                  <w:tcW w:w="1003" w:type="dxa"/>
                  <w:tcBorders>
                    <w:tl2br w:val="nil"/>
                    <w:tr2bl w:val="nil"/>
                  </w:tcBorders>
                  <w:shd w:val="clear" w:color="auto" w:fill="auto"/>
                  <w:noWrap w:val="0"/>
                  <w:vAlign w:val="center"/>
                </w:tcPr>
                <w:p w14:paraId="41F37434">
                  <w:pPr>
                    <w:spacing w:before="51" w:line="240" w:lineRule="auto"/>
                    <w:jc w:val="center"/>
                    <w:rPr>
                      <w:rFonts w:hint="eastAsia" w:ascii="Times New Roman" w:hAnsi="Times New Roman" w:eastAsia="宋体" w:cs="Times New Roman"/>
                      <w:color w:val="auto"/>
                      <w:spacing w:val="-10"/>
                      <w:kern w:val="2"/>
                      <w:sz w:val="21"/>
                      <w:szCs w:val="21"/>
                      <w:highlight w:val="none"/>
                      <w:lang w:val="en-US" w:eastAsia="zh-CN" w:bidi="ar-SA"/>
                    </w:rPr>
                  </w:pPr>
                  <w:r>
                    <w:rPr>
                      <w:rFonts w:eastAsia="Times New Roman"/>
                      <w:color w:val="auto"/>
                      <w:spacing w:val="6"/>
                      <w:szCs w:val="21"/>
                      <w:highlight w:val="none"/>
                    </w:rPr>
                    <w:t>EDTA</w:t>
                  </w:r>
                </w:p>
              </w:tc>
              <w:tc>
                <w:tcPr>
                  <w:tcW w:w="6261" w:type="dxa"/>
                  <w:tcBorders>
                    <w:tl2br w:val="nil"/>
                    <w:tr2bl w:val="nil"/>
                  </w:tcBorders>
                  <w:shd w:val="clear" w:color="auto" w:fill="auto"/>
                  <w:noWrap w:val="0"/>
                  <w:vAlign w:val="top"/>
                </w:tcPr>
                <w:p w14:paraId="6BE182FE">
                  <w:pPr>
                    <w:spacing w:before="51" w:line="240" w:lineRule="auto"/>
                    <w:jc w:val="both"/>
                    <w:rPr>
                      <w:rFonts w:hint="default" w:ascii="Times New Roman" w:hAnsi="Times New Roman" w:eastAsia="宋体" w:cs="Times New Roman"/>
                      <w:color w:val="auto"/>
                      <w:spacing w:val="-10"/>
                      <w:kern w:val="2"/>
                      <w:sz w:val="21"/>
                      <w:szCs w:val="21"/>
                      <w:highlight w:val="none"/>
                      <w:lang w:val="en-US" w:eastAsia="zh-CN" w:bidi="ar-SA"/>
                    </w:rPr>
                  </w:pPr>
                  <w:r>
                    <w:rPr>
                      <w:color w:val="auto"/>
                      <w:szCs w:val="21"/>
                      <w:highlight w:val="none"/>
                      <w:shd w:val="clear" w:color="auto" w:fill="FFFFFF"/>
                    </w:rPr>
                    <w:fldChar w:fldCharType="begin"/>
                  </w:r>
                  <w:r>
                    <w:rPr>
                      <w:color w:val="auto"/>
                      <w:szCs w:val="21"/>
                      <w:highlight w:val="none"/>
                      <w:shd w:val="clear" w:color="auto" w:fill="FFFFFF"/>
                    </w:rPr>
                    <w:instrText xml:space="preserve"> HYPERLINK "https://baike.so.com/doc/1179277-1247376.html" \t "https://baike.so.com/doc/_blank" </w:instrText>
                  </w:r>
                  <w:r>
                    <w:rPr>
                      <w:color w:val="auto"/>
                      <w:szCs w:val="21"/>
                      <w:highlight w:val="none"/>
                      <w:shd w:val="clear" w:color="auto" w:fill="FFFFFF"/>
                    </w:rPr>
                    <w:fldChar w:fldCharType="separate"/>
                  </w:r>
                  <w:r>
                    <w:rPr>
                      <w:rStyle w:val="29"/>
                      <w:color w:val="auto"/>
                      <w:szCs w:val="21"/>
                      <w:highlight w:val="none"/>
                      <w:u w:val="none"/>
                      <w:shd w:val="clear" w:color="auto" w:fill="FFFFFF"/>
                    </w:rPr>
                    <w:t>EDTA</w:t>
                  </w:r>
                  <w:r>
                    <w:rPr>
                      <w:color w:val="auto"/>
                      <w:szCs w:val="21"/>
                      <w:highlight w:val="none"/>
                      <w:shd w:val="clear" w:color="auto" w:fill="FFFFFF"/>
                    </w:rPr>
                    <w:fldChar w:fldCharType="end"/>
                  </w:r>
                  <w:r>
                    <w:rPr>
                      <w:color w:val="auto"/>
                      <w:szCs w:val="21"/>
                      <w:highlight w:val="none"/>
                      <w:shd w:val="clear" w:color="auto" w:fill="FFFFFF"/>
                    </w:rPr>
                    <w:t> 是一种重要的</w:t>
                  </w:r>
                  <w:r>
                    <w:rPr>
                      <w:color w:val="auto"/>
                      <w:szCs w:val="21"/>
                      <w:highlight w:val="none"/>
                      <w:shd w:val="clear" w:color="auto" w:fill="FFFFFF"/>
                    </w:rPr>
                    <w:fldChar w:fldCharType="begin"/>
                  </w:r>
                  <w:r>
                    <w:rPr>
                      <w:color w:val="auto"/>
                      <w:szCs w:val="21"/>
                      <w:highlight w:val="none"/>
                      <w:shd w:val="clear" w:color="auto" w:fill="FFFFFF"/>
                    </w:rPr>
                    <w:instrText xml:space="preserve"> HYPERLINK "https://baike.so.com/doc/6045856-6258872.html" \t "https://baike.so.com/doc/_blank" </w:instrText>
                  </w:r>
                  <w:r>
                    <w:rPr>
                      <w:color w:val="auto"/>
                      <w:szCs w:val="21"/>
                      <w:highlight w:val="none"/>
                      <w:shd w:val="clear" w:color="auto" w:fill="FFFFFF"/>
                    </w:rPr>
                    <w:fldChar w:fldCharType="separate"/>
                  </w:r>
                  <w:r>
                    <w:rPr>
                      <w:rStyle w:val="29"/>
                      <w:color w:val="auto"/>
                      <w:szCs w:val="21"/>
                      <w:highlight w:val="none"/>
                      <w:u w:val="none"/>
                      <w:shd w:val="clear" w:color="auto" w:fill="FFFFFF"/>
                    </w:rPr>
                    <w:t>络合剂</w:t>
                  </w:r>
                  <w:r>
                    <w:rPr>
                      <w:color w:val="auto"/>
                      <w:szCs w:val="21"/>
                      <w:highlight w:val="none"/>
                      <w:shd w:val="clear" w:color="auto" w:fill="FFFFFF"/>
                    </w:rPr>
                    <w:fldChar w:fldCharType="end"/>
                  </w:r>
                  <w:r>
                    <w:rPr>
                      <w:color w:val="auto"/>
                      <w:szCs w:val="21"/>
                      <w:highlight w:val="none"/>
                      <w:shd w:val="clear" w:color="auto" w:fill="FFFFFF"/>
                    </w:rPr>
                    <w:t>。EDTA用途很广，可用作彩色感光材料冲洗加工的漂白</w:t>
                  </w:r>
                  <w:r>
                    <w:rPr>
                      <w:color w:val="auto"/>
                      <w:szCs w:val="21"/>
                      <w:highlight w:val="none"/>
                      <w:shd w:val="clear" w:color="auto" w:fill="FFFFFF"/>
                    </w:rPr>
                    <w:fldChar w:fldCharType="begin"/>
                  </w:r>
                  <w:r>
                    <w:rPr>
                      <w:color w:val="auto"/>
                      <w:szCs w:val="21"/>
                      <w:highlight w:val="none"/>
                      <w:shd w:val="clear" w:color="auto" w:fill="FFFFFF"/>
                    </w:rPr>
                    <w:instrText xml:space="preserve"> HYPERLINK "https://baike.so.com/doc/5137381-5367027.html" \t "https://baike.so.com/doc/_blank" </w:instrText>
                  </w:r>
                  <w:r>
                    <w:rPr>
                      <w:color w:val="auto"/>
                      <w:szCs w:val="21"/>
                      <w:highlight w:val="none"/>
                      <w:shd w:val="clear" w:color="auto" w:fill="FFFFFF"/>
                    </w:rPr>
                    <w:fldChar w:fldCharType="separate"/>
                  </w:r>
                  <w:r>
                    <w:rPr>
                      <w:rStyle w:val="29"/>
                      <w:color w:val="auto"/>
                      <w:szCs w:val="21"/>
                      <w:highlight w:val="none"/>
                      <w:u w:val="none"/>
                      <w:shd w:val="clear" w:color="auto" w:fill="FFFFFF"/>
                    </w:rPr>
                    <w:t>定影液</w:t>
                  </w:r>
                  <w:r>
                    <w:rPr>
                      <w:color w:val="auto"/>
                      <w:szCs w:val="21"/>
                      <w:highlight w:val="none"/>
                      <w:shd w:val="clear" w:color="auto" w:fill="FFFFFF"/>
                    </w:rPr>
                    <w:fldChar w:fldCharType="end"/>
                  </w:r>
                  <w:r>
                    <w:rPr>
                      <w:color w:val="auto"/>
                      <w:szCs w:val="21"/>
                      <w:highlight w:val="none"/>
                      <w:shd w:val="clear" w:color="auto" w:fill="FFFFFF"/>
                    </w:rPr>
                    <w:t>，染色助剂，纤维处理助剂，化妆品添加剂，血液</w:t>
                  </w:r>
                  <w:r>
                    <w:rPr>
                      <w:color w:val="auto"/>
                      <w:szCs w:val="21"/>
                      <w:highlight w:val="none"/>
                      <w:shd w:val="clear" w:color="auto" w:fill="FFFFFF"/>
                    </w:rPr>
                    <w:fldChar w:fldCharType="begin"/>
                  </w:r>
                  <w:r>
                    <w:rPr>
                      <w:color w:val="auto"/>
                      <w:szCs w:val="21"/>
                      <w:highlight w:val="none"/>
                      <w:shd w:val="clear" w:color="auto" w:fill="FFFFFF"/>
                    </w:rPr>
                    <w:instrText xml:space="preserve"> HYPERLINK "https://baike.so.com/doc/6157238-6370454.html" \t "https://baike.so.com/doc/_blank" </w:instrText>
                  </w:r>
                  <w:r>
                    <w:rPr>
                      <w:color w:val="auto"/>
                      <w:szCs w:val="21"/>
                      <w:highlight w:val="none"/>
                      <w:shd w:val="clear" w:color="auto" w:fill="FFFFFF"/>
                    </w:rPr>
                    <w:fldChar w:fldCharType="separate"/>
                  </w:r>
                  <w:r>
                    <w:rPr>
                      <w:rStyle w:val="29"/>
                      <w:color w:val="auto"/>
                      <w:szCs w:val="21"/>
                      <w:highlight w:val="none"/>
                      <w:u w:val="none"/>
                      <w:shd w:val="clear" w:color="auto" w:fill="FFFFFF"/>
                    </w:rPr>
                    <w:t>抗凝剂</w:t>
                  </w:r>
                  <w:r>
                    <w:rPr>
                      <w:color w:val="auto"/>
                      <w:szCs w:val="21"/>
                      <w:highlight w:val="none"/>
                      <w:shd w:val="clear" w:color="auto" w:fill="FFFFFF"/>
                    </w:rPr>
                    <w:fldChar w:fldCharType="end"/>
                  </w:r>
                  <w:r>
                    <w:rPr>
                      <w:color w:val="auto"/>
                      <w:szCs w:val="21"/>
                      <w:highlight w:val="none"/>
                      <w:shd w:val="clear" w:color="auto" w:fill="FFFFFF"/>
                    </w:rPr>
                    <w:t>，洗涤剂，稳定剂，合成橡胶聚合</w:t>
                  </w:r>
                  <w:r>
                    <w:rPr>
                      <w:color w:val="auto"/>
                      <w:szCs w:val="21"/>
                      <w:highlight w:val="none"/>
                      <w:shd w:val="clear" w:color="auto" w:fill="FFFFFF"/>
                    </w:rPr>
                    <w:fldChar w:fldCharType="begin"/>
                  </w:r>
                  <w:r>
                    <w:rPr>
                      <w:color w:val="auto"/>
                      <w:szCs w:val="21"/>
                      <w:highlight w:val="none"/>
                      <w:shd w:val="clear" w:color="auto" w:fill="FFFFFF"/>
                    </w:rPr>
                    <w:instrText xml:space="preserve"> HYPERLINK "https://baike.so.com/doc/391481-414523.html" \t "https://baike.so.com/doc/_blank" </w:instrText>
                  </w:r>
                  <w:r>
                    <w:rPr>
                      <w:color w:val="auto"/>
                      <w:szCs w:val="21"/>
                      <w:highlight w:val="none"/>
                      <w:shd w:val="clear" w:color="auto" w:fill="FFFFFF"/>
                    </w:rPr>
                    <w:fldChar w:fldCharType="separate"/>
                  </w:r>
                  <w:r>
                    <w:rPr>
                      <w:rStyle w:val="29"/>
                      <w:color w:val="auto"/>
                      <w:szCs w:val="21"/>
                      <w:highlight w:val="none"/>
                      <w:u w:val="none"/>
                      <w:shd w:val="clear" w:color="auto" w:fill="FFFFFF"/>
                    </w:rPr>
                    <w:t>引发剂</w:t>
                  </w:r>
                  <w:r>
                    <w:rPr>
                      <w:color w:val="auto"/>
                      <w:szCs w:val="21"/>
                      <w:highlight w:val="none"/>
                      <w:shd w:val="clear" w:color="auto" w:fill="FFFFFF"/>
                    </w:rPr>
                    <w:fldChar w:fldCharType="end"/>
                  </w:r>
                  <w:r>
                    <w:rPr>
                      <w:color w:val="auto"/>
                      <w:szCs w:val="21"/>
                      <w:highlight w:val="none"/>
                      <w:shd w:val="clear" w:color="auto" w:fill="FFFFFF"/>
                    </w:rPr>
                    <w:t>，EDTA是螯合剂的代表性物质。能和</w:t>
                  </w:r>
                  <w:r>
                    <w:rPr>
                      <w:color w:val="auto"/>
                      <w:szCs w:val="21"/>
                      <w:highlight w:val="none"/>
                      <w:shd w:val="clear" w:color="auto" w:fill="FFFFFF"/>
                    </w:rPr>
                    <w:fldChar w:fldCharType="begin"/>
                  </w:r>
                  <w:r>
                    <w:rPr>
                      <w:color w:val="auto"/>
                      <w:szCs w:val="21"/>
                      <w:highlight w:val="none"/>
                      <w:shd w:val="clear" w:color="auto" w:fill="FFFFFF"/>
                    </w:rPr>
                    <w:instrText xml:space="preserve"> HYPERLINK "https://baike.so.com/doc/5004730-5229492.html" \t "https://baike.so.com/doc/_blank" </w:instrText>
                  </w:r>
                  <w:r>
                    <w:rPr>
                      <w:color w:val="auto"/>
                      <w:szCs w:val="21"/>
                      <w:highlight w:val="none"/>
                      <w:shd w:val="clear" w:color="auto" w:fill="FFFFFF"/>
                    </w:rPr>
                    <w:fldChar w:fldCharType="separate"/>
                  </w:r>
                  <w:r>
                    <w:rPr>
                      <w:rStyle w:val="29"/>
                      <w:color w:val="auto"/>
                      <w:szCs w:val="21"/>
                      <w:highlight w:val="none"/>
                      <w:u w:val="none"/>
                      <w:shd w:val="clear" w:color="auto" w:fill="FFFFFF"/>
                    </w:rPr>
                    <w:t>碱金属</w:t>
                  </w:r>
                  <w:r>
                    <w:rPr>
                      <w:color w:val="auto"/>
                      <w:szCs w:val="21"/>
                      <w:highlight w:val="none"/>
                      <w:shd w:val="clear" w:color="auto" w:fill="FFFFFF"/>
                    </w:rPr>
                    <w:fldChar w:fldCharType="end"/>
                  </w:r>
                  <w:r>
                    <w:rPr>
                      <w:color w:val="auto"/>
                      <w:szCs w:val="21"/>
                      <w:highlight w:val="none"/>
                      <w:shd w:val="clear" w:color="auto" w:fill="FFFFFF"/>
                    </w:rPr>
                    <w:t>、稀土元素和</w:t>
                  </w:r>
                  <w:r>
                    <w:rPr>
                      <w:color w:val="auto"/>
                      <w:szCs w:val="21"/>
                      <w:highlight w:val="none"/>
                      <w:shd w:val="clear" w:color="auto" w:fill="FFFFFF"/>
                    </w:rPr>
                    <w:fldChar w:fldCharType="begin"/>
                  </w:r>
                  <w:r>
                    <w:rPr>
                      <w:color w:val="auto"/>
                      <w:szCs w:val="21"/>
                      <w:highlight w:val="none"/>
                      <w:shd w:val="clear" w:color="auto" w:fill="FFFFFF"/>
                    </w:rPr>
                    <w:instrText xml:space="preserve"> HYPERLINK "https://baike.so.com/doc/647060-684895.html" \t "https://baike.so.com/doc/_blank" </w:instrText>
                  </w:r>
                  <w:r>
                    <w:rPr>
                      <w:color w:val="auto"/>
                      <w:szCs w:val="21"/>
                      <w:highlight w:val="none"/>
                      <w:shd w:val="clear" w:color="auto" w:fill="FFFFFF"/>
                    </w:rPr>
                    <w:fldChar w:fldCharType="separate"/>
                  </w:r>
                  <w:r>
                    <w:rPr>
                      <w:rStyle w:val="29"/>
                      <w:color w:val="auto"/>
                      <w:szCs w:val="21"/>
                      <w:highlight w:val="none"/>
                      <w:u w:val="none"/>
                      <w:shd w:val="clear" w:color="auto" w:fill="FFFFFF"/>
                    </w:rPr>
                    <w:t>过渡金属</w:t>
                  </w:r>
                  <w:r>
                    <w:rPr>
                      <w:color w:val="auto"/>
                      <w:szCs w:val="21"/>
                      <w:highlight w:val="none"/>
                      <w:shd w:val="clear" w:color="auto" w:fill="FFFFFF"/>
                    </w:rPr>
                    <w:fldChar w:fldCharType="end"/>
                  </w:r>
                  <w:r>
                    <w:rPr>
                      <w:color w:val="auto"/>
                      <w:szCs w:val="21"/>
                      <w:highlight w:val="none"/>
                      <w:shd w:val="clear" w:color="auto" w:fill="FFFFFF"/>
                    </w:rPr>
                    <w:t>等形成稳定的</w:t>
                  </w:r>
                  <w:r>
                    <w:rPr>
                      <w:color w:val="auto"/>
                      <w:szCs w:val="21"/>
                      <w:highlight w:val="none"/>
                      <w:shd w:val="clear" w:color="auto" w:fill="FFFFFF"/>
                    </w:rPr>
                    <w:fldChar w:fldCharType="begin"/>
                  </w:r>
                  <w:r>
                    <w:rPr>
                      <w:color w:val="auto"/>
                      <w:szCs w:val="21"/>
                      <w:highlight w:val="none"/>
                      <w:shd w:val="clear" w:color="auto" w:fill="FFFFFF"/>
                    </w:rPr>
                    <w:instrText xml:space="preserve"> HYPERLINK "https://baike.so.com/doc/409163-433335.html" \t "https://baike.so.com/doc/_blank" </w:instrText>
                  </w:r>
                  <w:r>
                    <w:rPr>
                      <w:color w:val="auto"/>
                      <w:szCs w:val="21"/>
                      <w:highlight w:val="none"/>
                      <w:shd w:val="clear" w:color="auto" w:fill="FFFFFF"/>
                    </w:rPr>
                    <w:fldChar w:fldCharType="separate"/>
                  </w:r>
                  <w:r>
                    <w:rPr>
                      <w:rStyle w:val="29"/>
                      <w:color w:val="auto"/>
                      <w:szCs w:val="21"/>
                      <w:highlight w:val="none"/>
                      <w:u w:val="none"/>
                      <w:shd w:val="clear" w:color="auto" w:fill="FFFFFF"/>
                    </w:rPr>
                    <w:t>水溶性</w:t>
                  </w:r>
                  <w:r>
                    <w:rPr>
                      <w:color w:val="auto"/>
                      <w:szCs w:val="21"/>
                      <w:highlight w:val="none"/>
                      <w:shd w:val="clear" w:color="auto" w:fill="FFFFFF"/>
                    </w:rPr>
                    <w:fldChar w:fldCharType="end"/>
                  </w:r>
                  <w:r>
                    <w:rPr>
                      <w:color w:val="auto"/>
                      <w:szCs w:val="21"/>
                      <w:highlight w:val="none"/>
                      <w:shd w:val="clear" w:color="auto" w:fill="FFFFFF"/>
                    </w:rPr>
                    <w:t>配合物。</w:t>
                  </w:r>
                </w:p>
              </w:tc>
            </w:tr>
            <w:tr w14:paraId="66A315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shd w:val="clear" w:color="auto" w:fill="auto"/>
                  <w:noWrap w:val="0"/>
                  <w:vAlign w:val="center"/>
                </w:tcPr>
                <w:p w14:paraId="50FFD2D3">
                  <w:pPr>
                    <w:spacing w:before="51" w:line="240" w:lineRule="auto"/>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s="Times New Roman"/>
                      <w:color w:val="auto"/>
                      <w:spacing w:val="-10"/>
                      <w:kern w:val="2"/>
                      <w:sz w:val="21"/>
                      <w:szCs w:val="21"/>
                      <w:highlight w:val="none"/>
                      <w:lang w:val="en-US" w:eastAsia="zh-CN" w:bidi="ar-SA"/>
                    </w:rPr>
                    <w:t>30</w:t>
                  </w:r>
                </w:p>
              </w:tc>
              <w:tc>
                <w:tcPr>
                  <w:tcW w:w="1003" w:type="dxa"/>
                  <w:tcBorders>
                    <w:tl2br w:val="nil"/>
                    <w:tr2bl w:val="nil"/>
                  </w:tcBorders>
                  <w:shd w:val="clear" w:color="auto" w:fill="auto"/>
                  <w:noWrap w:val="0"/>
                  <w:vAlign w:val="center"/>
                </w:tcPr>
                <w:p w14:paraId="50BE183E">
                  <w:pPr>
                    <w:spacing w:before="51" w:line="240" w:lineRule="auto"/>
                    <w:jc w:val="center"/>
                    <w:rPr>
                      <w:rFonts w:ascii="Times New Roman" w:hAnsi="Times New Roman" w:eastAsia="Times New Roman" w:cs="Times New Roman"/>
                      <w:color w:val="auto"/>
                      <w:spacing w:val="6"/>
                      <w:kern w:val="2"/>
                      <w:sz w:val="21"/>
                      <w:szCs w:val="21"/>
                      <w:highlight w:val="none"/>
                      <w:lang w:val="en-US" w:eastAsia="zh-CN" w:bidi="ar-SA"/>
                    </w:rPr>
                  </w:pPr>
                  <w:r>
                    <w:rPr>
                      <w:rFonts w:eastAsia="Times New Roman"/>
                      <w:color w:val="auto"/>
                      <w:spacing w:val="6"/>
                      <w:szCs w:val="21"/>
                      <w:highlight w:val="none"/>
                    </w:rPr>
                    <w:t>氯化铵</w:t>
                  </w:r>
                </w:p>
              </w:tc>
              <w:tc>
                <w:tcPr>
                  <w:tcW w:w="6261" w:type="dxa"/>
                  <w:tcBorders>
                    <w:tl2br w:val="nil"/>
                    <w:tr2bl w:val="nil"/>
                  </w:tcBorders>
                  <w:shd w:val="clear" w:color="auto" w:fill="auto"/>
                  <w:noWrap w:val="0"/>
                  <w:vAlign w:val="top"/>
                </w:tcPr>
                <w:p w14:paraId="5F49973B">
                  <w:pPr>
                    <w:spacing w:before="51" w:line="240" w:lineRule="auto"/>
                    <w:jc w:val="both"/>
                    <w:rPr>
                      <w:rFonts w:ascii="Times New Roman" w:hAnsi="Times New Roman" w:eastAsia="宋体" w:cs="Times New Roman"/>
                      <w:color w:val="auto"/>
                      <w:kern w:val="2"/>
                      <w:sz w:val="21"/>
                      <w:szCs w:val="21"/>
                      <w:highlight w:val="none"/>
                      <w:shd w:val="clear" w:color="auto" w:fill="FFFFFF"/>
                      <w:lang w:val="en-US" w:eastAsia="zh-CN" w:bidi="ar-SA"/>
                    </w:rPr>
                  </w:pPr>
                  <w:r>
                    <w:rPr>
                      <w:color w:val="auto"/>
                      <w:szCs w:val="21"/>
                      <w:highlight w:val="none"/>
                      <w:shd w:val="clear" w:color="auto" w:fill="FFFFFF"/>
                    </w:rPr>
                    <w:t>氯化铵为无色晶体或白色结晶性粉末</w:t>
                  </w:r>
                  <w:r>
                    <w:rPr>
                      <w:rFonts w:hint="eastAsia"/>
                      <w:color w:val="auto"/>
                      <w:szCs w:val="21"/>
                      <w:highlight w:val="none"/>
                      <w:shd w:val="clear" w:color="auto" w:fill="FFFFFF"/>
                    </w:rPr>
                    <w:t>；</w:t>
                  </w:r>
                  <w:r>
                    <w:rPr>
                      <w:color w:val="auto"/>
                      <w:szCs w:val="21"/>
                      <w:highlight w:val="none"/>
                      <w:shd w:val="clear" w:color="auto" w:fill="FFFFFF"/>
                    </w:rPr>
                    <w:t>无臭，味咸、有引湿性。本品在水中</w:t>
                  </w:r>
                  <w:r>
                    <w:rPr>
                      <w:color w:val="auto"/>
                      <w:szCs w:val="21"/>
                      <w:highlight w:val="none"/>
                      <w:shd w:val="clear" w:color="auto" w:fill="FFFFFF"/>
                    </w:rPr>
                    <w:fldChar w:fldCharType="begin"/>
                  </w:r>
                  <w:r>
                    <w:rPr>
                      <w:color w:val="auto"/>
                      <w:szCs w:val="21"/>
                      <w:highlight w:val="none"/>
                      <w:shd w:val="clear" w:color="auto" w:fill="FFFFFF"/>
                    </w:rPr>
                    <w:instrText xml:space="preserve"> HYPERLINK "https://baike.so.com/doc/5249044-5482205.html" \t "https://baike.so.com/doc/_blank" </w:instrText>
                  </w:r>
                  <w:r>
                    <w:rPr>
                      <w:color w:val="auto"/>
                      <w:szCs w:val="21"/>
                      <w:highlight w:val="none"/>
                      <w:shd w:val="clear" w:color="auto" w:fill="FFFFFF"/>
                    </w:rPr>
                    <w:fldChar w:fldCharType="separate"/>
                  </w:r>
                  <w:r>
                    <w:rPr>
                      <w:rStyle w:val="29"/>
                      <w:color w:val="auto"/>
                      <w:szCs w:val="21"/>
                      <w:highlight w:val="none"/>
                      <w:u w:val="none"/>
                      <w:shd w:val="clear" w:color="auto" w:fill="FFFFFF"/>
                    </w:rPr>
                    <w:t>易溶</w:t>
                  </w:r>
                  <w:r>
                    <w:rPr>
                      <w:color w:val="auto"/>
                      <w:szCs w:val="21"/>
                      <w:highlight w:val="none"/>
                      <w:shd w:val="clear" w:color="auto" w:fill="FFFFFF"/>
                    </w:rPr>
                    <w:fldChar w:fldCharType="end"/>
                  </w:r>
                  <w:r>
                    <w:rPr>
                      <w:color w:val="auto"/>
                      <w:szCs w:val="21"/>
                      <w:highlight w:val="none"/>
                      <w:shd w:val="clear" w:color="auto" w:fill="FFFFFF"/>
                    </w:rPr>
                    <w:t>，在</w:t>
                  </w:r>
                  <w:r>
                    <w:rPr>
                      <w:color w:val="auto"/>
                      <w:szCs w:val="21"/>
                      <w:highlight w:val="none"/>
                      <w:shd w:val="clear" w:color="auto" w:fill="FFFFFF"/>
                    </w:rPr>
                    <w:fldChar w:fldCharType="begin"/>
                  </w:r>
                  <w:r>
                    <w:rPr>
                      <w:color w:val="auto"/>
                      <w:szCs w:val="21"/>
                      <w:highlight w:val="none"/>
                      <w:shd w:val="clear" w:color="auto" w:fill="FFFFFF"/>
                    </w:rPr>
                    <w:instrText xml:space="preserve"> HYPERLINK "https://baike.so.com/doc/3036121-3200992.html" \t "https://baike.so.com/doc/_blank" </w:instrText>
                  </w:r>
                  <w:r>
                    <w:rPr>
                      <w:color w:val="auto"/>
                      <w:szCs w:val="21"/>
                      <w:highlight w:val="none"/>
                      <w:shd w:val="clear" w:color="auto" w:fill="FFFFFF"/>
                    </w:rPr>
                    <w:fldChar w:fldCharType="separate"/>
                  </w:r>
                  <w:r>
                    <w:rPr>
                      <w:rStyle w:val="29"/>
                      <w:color w:val="auto"/>
                      <w:szCs w:val="21"/>
                      <w:highlight w:val="none"/>
                      <w:u w:val="none"/>
                      <w:shd w:val="clear" w:color="auto" w:fill="FFFFFF"/>
                    </w:rPr>
                    <w:t>乙醇</w:t>
                  </w:r>
                  <w:r>
                    <w:rPr>
                      <w:color w:val="auto"/>
                      <w:szCs w:val="21"/>
                      <w:highlight w:val="none"/>
                      <w:shd w:val="clear" w:color="auto" w:fill="FFFFFF"/>
                    </w:rPr>
                    <w:fldChar w:fldCharType="end"/>
                  </w:r>
                  <w:r>
                    <w:rPr>
                      <w:color w:val="auto"/>
                      <w:szCs w:val="21"/>
                      <w:highlight w:val="none"/>
                      <w:shd w:val="clear" w:color="auto" w:fill="FFFFFF"/>
                    </w:rPr>
                    <w:t>中微溶。</w:t>
                  </w:r>
                </w:p>
              </w:tc>
            </w:tr>
          </w:tbl>
          <w:p w14:paraId="5A0DB393">
            <w:pPr>
              <w:adjustRightInd w:val="0"/>
              <w:snapToGrid w:val="0"/>
              <w:rPr>
                <w:rFonts w:hint="default" w:ascii="Times New Roman" w:hAnsi="Times New Roman" w:eastAsia="宋体" w:cs="Times New Roman"/>
                <w:b/>
                <w:bCs/>
                <w:color w:val="auto"/>
                <w:sz w:val="24"/>
                <w:highlight w:val="none"/>
              </w:rPr>
            </w:pPr>
          </w:p>
          <w:p w14:paraId="4C5E8EAA">
            <w:pPr>
              <w:numPr>
                <w:ilvl w:val="0"/>
                <w:numId w:val="21"/>
              </w:numPr>
              <w:tabs>
                <w:tab w:val="left" w:pos="0"/>
              </w:tabs>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水平衡分析</w:t>
            </w:r>
          </w:p>
          <w:p w14:paraId="3EF58712">
            <w:pPr>
              <w:numPr>
                <w:ilvl w:val="0"/>
                <w:numId w:val="0"/>
              </w:numPr>
              <w:adjustRightIn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1、给水</w:t>
            </w:r>
          </w:p>
          <w:p w14:paraId="240BCE2D">
            <w:pPr>
              <w:adjustRightInd w:val="0"/>
              <w:snapToGrid w:val="0"/>
              <w:spacing w:line="360" w:lineRule="auto"/>
              <w:ind w:firstLine="480" w:firstLineChars="200"/>
              <w:rPr>
                <w:color w:val="auto"/>
                <w:sz w:val="24"/>
                <w:highlight w:val="none"/>
              </w:rPr>
            </w:pPr>
            <w:r>
              <w:rPr>
                <w:rFonts w:hint="eastAsia"/>
                <w:color w:val="auto"/>
                <w:sz w:val="24"/>
                <w:highlight w:val="none"/>
                <w:lang w:val="en-US" w:eastAsia="zh-CN"/>
              </w:rPr>
              <w:t>本项目用水为生活用水、</w:t>
            </w:r>
            <w:r>
              <w:rPr>
                <w:color w:val="auto"/>
                <w:sz w:val="24"/>
                <w:highlight w:val="none"/>
              </w:rPr>
              <w:t>实验用水</w:t>
            </w:r>
            <w:r>
              <w:rPr>
                <w:rFonts w:hint="eastAsia"/>
                <w:color w:val="auto"/>
                <w:sz w:val="24"/>
                <w:highlight w:val="none"/>
                <w:lang w:val="en-US" w:eastAsia="zh-CN"/>
              </w:rPr>
              <w:t>和地面清洗用水</w:t>
            </w:r>
            <w:r>
              <w:rPr>
                <w:color w:val="auto"/>
                <w:sz w:val="24"/>
                <w:highlight w:val="none"/>
              </w:rPr>
              <w:t>。</w:t>
            </w:r>
          </w:p>
          <w:p w14:paraId="552B7BF5">
            <w:pPr>
              <w:adjustRightInd w:val="0"/>
              <w:snapToGrid w:val="0"/>
              <w:spacing w:line="360" w:lineRule="auto"/>
              <w:ind w:firstLine="480" w:firstLineChars="200"/>
              <w:rPr>
                <w:rFonts w:eastAsia="宋体"/>
                <w:bCs/>
                <w:color w:val="auto"/>
                <w:sz w:val="24"/>
                <w:highlight w:val="none"/>
              </w:rPr>
            </w:pPr>
            <w:r>
              <w:rPr>
                <w:rFonts w:hint="eastAsia"/>
                <w:bCs/>
                <w:color w:val="auto"/>
                <w:sz w:val="24"/>
                <w:highlight w:val="none"/>
                <w:lang w:val="en-US" w:eastAsia="zh-CN"/>
              </w:rPr>
              <w:t>本</w:t>
            </w:r>
            <w:r>
              <w:rPr>
                <w:rFonts w:hint="eastAsia" w:eastAsia="宋体"/>
                <w:bCs/>
                <w:color w:val="auto"/>
                <w:sz w:val="24"/>
                <w:highlight w:val="none"/>
                <w:lang w:val="en-US" w:eastAsia="zh-CN"/>
              </w:rPr>
              <w:t>项目员工</w:t>
            </w:r>
            <w:r>
              <w:rPr>
                <w:rFonts w:hint="eastAsia"/>
                <w:bCs/>
                <w:color w:val="auto"/>
                <w:sz w:val="24"/>
                <w:highlight w:val="none"/>
                <w:lang w:val="en-US" w:eastAsia="zh-CN"/>
              </w:rPr>
              <w:t>30</w:t>
            </w:r>
            <w:r>
              <w:rPr>
                <w:rFonts w:hint="eastAsia" w:eastAsia="宋体"/>
                <w:bCs/>
                <w:color w:val="auto"/>
                <w:sz w:val="24"/>
                <w:highlight w:val="none"/>
                <w:lang w:val="en-US" w:eastAsia="zh-CN"/>
              </w:rPr>
              <w:t>人，根据《建筑给水排水设计标准》（</w:t>
            </w:r>
            <w:r>
              <w:rPr>
                <w:rFonts w:hint="default" w:eastAsia="宋体"/>
                <w:bCs/>
                <w:color w:val="auto"/>
                <w:sz w:val="24"/>
                <w:highlight w:val="none"/>
                <w:lang w:val="en-US" w:eastAsia="zh-CN"/>
              </w:rPr>
              <w:t>GB50015-2019</w:t>
            </w:r>
            <w:r>
              <w:rPr>
                <w:rFonts w:hint="eastAsia" w:eastAsia="宋体"/>
                <w:bCs/>
                <w:color w:val="auto"/>
                <w:sz w:val="24"/>
                <w:highlight w:val="none"/>
                <w:lang w:val="en-US" w:eastAsia="zh-CN"/>
              </w:rPr>
              <w:t>）规定，人均生活用水定额按</w:t>
            </w:r>
            <w:r>
              <w:rPr>
                <w:rFonts w:hint="default" w:eastAsia="宋体"/>
                <w:bCs/>
                <w:color w:val="auto"/>
                <w:sz w:val="24"/>
                <w:highlight w:val="none"/>
                <w:lang w:val="en-US" w:eastAsia="zh-CN"/>
              </w:rPr>
              <w:t>50L/</w:t>
            </w:r>
            <w:r>
              <w:rPr>
                <w:rFonts w:hint="eastAsia" w:eastAsia="宋体"/>
                <w:bCs/>
                <w:color w:val="auto"/>
                <w:sz w:val="24"/>
                <w:highlight w:val="none"/>
                <w:lang w:val="en-US" w:eastAsia="zh-CN"/>
              </w:rPr>
              <w:t>人</w:t>
            </w:r>
            <w:r>
              <w:rPr>
                <w:rFonts w:hint="default" w:eastAsia="宋体"/>
                <w:bCs/>
                <w:color w:val="auto"/>
                <w:sz w:val="24"/>
                <w:highlight w:val="none"/>
                <w:lang w:val="en-US" w:eastAsia="zh-CN"/>
              </w:rPr>
              <w:t>·d</w:t>
            </w:r>
            <w:r>
              <w:rPr>
                <w:rFonts w:hint="eastAsia" w:eastAsia="宋体"/>
                <w:bCs/>
                <w:color w:val="auto"/>
                <w:sz w:val="24"/>
                <w:highlight w:val="none"/>
                <w:lang w:val="en-US" w:eastAsia="zh-CN"/>
              </w:rPr>
              <w:t>计，</w:t>
            </w:r>
            <w:r>
              <w:rPr>
                <w:rFonts w:hint="eastAsia"/>
                <w:bCs/>
                <w:color w:val="auto"/>
                <w:sz w:val="24"/>
                <w:highlight w:val="none"/>
                <w:lang w:val="en-US" w:eastAsia="zh-CN"/>
              </w:rPr>
              <w:t>项目年工作250d，</w:t>
            </w:r>
            <w:r>
              <w:rPr>
                <w:rFonts w:hint="eastAsia" w:eastAsia="宋体"/>
                <w:bCs/>
                <w:color w:val="auto"/>
                <w:sz w:val="24"/>
                <w:highlight w:val="none"/>
                <w:lang w:val="en-US" w:eastAsia="zh-CN"/>
              </w:rPr>
              <w:t>则生活用水量为</w:t>
            </w:r>
            <w:r>
              <w:rPr>
                <w:rFonts w:hint="eastAsia"/>
                <w:bCs/>
                <w:color w:val="auto"/>
                <w:sz w:val="24"/>
                <w:highlight w:val="none"/>
                <w:lang w:val="en-US" w:eastAsia="zh-CN"/>
              </w:rPr>
              <w:t>375m</w:t>
            </w:r>
            <w:r>
              <w:rPr>
                <w:rFonts w:hint="eastAsia"/>
                <w:bCs/>
                <w:color w:val="auto"/>
                <w:sz w:val="24"/>
                <w:highlight w:val="none"/>
                <w:vertAlign w:val="superscript"/>
                <w:lang w:val="en-US" w:eastAsia="zh-CN"/>
              </w:rPr>
              <w:t>3</w:t>
            </w:r>
            <w:r>
              <w:rPr>
                <w:rFonts w:hint="default" w:eastAsia="宋体"/>
                <w:bCs/>
                <w:color w:val="auto"/>
                <w:sz w:val="24"/>
                <w:highlight w:val="none"/>
                <w:lang w:val="en-US" w:eastAsia="zh-CN"/>
              </w:rPr>
              <w:t>/a</w:t>
            </w:r>
            <w:r>
              <w:rPr>
                <w:rFonts w:hint="eastAsia" w:eastAsia="宋体"/>
                <w:bCs/>
                <w:color w:val="auto"/>
                <w:sz w:val="24"/>
                <w:highlight w:val="none"/>
                <w:lang w:val="en-US" w:eastAsia="zh-CN"/>
              </w:rPr>
              <w:t>。</w:t>
            </w:r>
          </w:p>
          <w:p w14:paraId="2B08F8DA">
            <w:pPr>
              <w:adjustRightInd w:val="0"/>
              <w:snapToGrid w:val="0"/>
              <w:spacing w:line="360" w:lineRule="auto"/>
              <w:ind w:firstLine="480" w:firstLineChars="200"/>
              <w:rPr>
                <w:rFonts w:hint="eastAsia"/>
                <w:bCs/>
                <w:color w:val="auto"/>
                <w:sz w:val="24"/>
                <w:highlight w:val="none"/>
                <w:lang w:eastAsia="zh-CN"/>
              </w:rPr>
            </w:pPr>
            <w:r>
              <w:rPr>
                <w:rFonts w:hint="eastAsia"/>
                <w:bCs/>
                <w:color w:val="auto"/>
                <w:sz w:val="24"/>
                <w:highlight w:val="none"/>
                <w:lang w:val="en-US" w:eastAsia="zh-CN"/>
              </w:rPr>
              <w:t>本</w:t>
            </w:r>
            <w:r>
              <w:rPr>
                <w:bCs/>
                <w:color w:val="auto"/>
                <w:sz w:val="24"/>
                <w:highlight w:val="none"/>
              </w:rPr>
              <w:t>项目</w:t>
            </w:r>
            <w:r>
              <w:rPr>
                <w:color w:val="auto"/>
                <w:sz w:val="24"/>
                <w:highlight w:val="none"/>
              </w:rPr>
              <w:t>实验用水</w:t>
            </w:r>
            <w:r>
              <w:rPr>
                <w:rFonts w:hint="eastAsia"/>
                <w:color w:val="auto"/>
                <w:sz w:val="24"/>
                <w:highlight w:val="none"/>
                <w:lang w:val="en-US" w:eastAsia="zh-CN"/>
              </w:rPr>
              <w:t>包括</w:t>
            </w:r>
            <w:r>
              <w:rPr>
                <w:bCs/>
                <w:color w:val="auto"/>
                <w:sz w:val="24"/>
                <w:highlight w:val="none"/>
              </w:rPr>
              <w:t>容器清洗</w:t>
            </w:r>
            <w:r>
              <w:rPr>
                <w:rFonts w:hint="eastAsia"/>
                <w:bCs/>
                <w:color w:val="auto"/>
                <w:sz w:val="24"/>
                <w:highlight w:val="none"/>
                <w:lang w:val="en-US" w:eastAsia="zh-CN"/>
              </w:rPr>
              <w:t>用水、</w:t>
            </w:r>
            <w:r>
              <w:rPr>
                <w:bCs/>
                <w:color w:val="auto"/>
                <w:sz w:val="24"/>
                <w:highlight w:val="none"/>
              </w:rPr>
              <w:t>实验</w:t>
            </w:r>
            <w:r>
              <w:rPr>
                <w:rFonts w:hint="eastAsia"/>
                <w:bCs/>
                <w:color w:val="auto"/>
                <w:sz w:val="24"/>
                <w:highlight w:val="none"/>
              </w:rPr>
              <w:t>过程</w:t>
            </w:r>
            <w:r>
              <w:rPr>
                <w:bCs/>
                <w:color w:val="auto"/>
                <w:sz w:val="24"/>
                <w:highlight w:val="none"/>
              </w:rPr>
              <w:t>试剂配置用水</w:t>
            </w:r>
            <w:r>
              <w:rPr>
                <w:rFonts w:hint="eastAsia"/>
                <w:bCs/>
                <w:color w:val="auto"/>
                <w:sz w:val="24"/>
                <w:highlight w:val="none"/>
                <w:lang w:eastAsia="zh-CN"/>
              </w:rPr>
              <w:t>、</w:t>
            </w:r>
            <w:r>
              <w:rPr>
                <w:rFonts w:hint="eastAsia"/>
                <w:bCs/>
                <w:color w:val="auto"/>
                <w:sz w:val="24"/>
                <w:highlight w:val="none"/>
                <w:lang w:val="en-US" w:eastAsia="zh-CN"/>
              </w:rPr>
              <w:t>高压蒸汽灭菌用水、水浴锅用水</w:t>
            </w:r>
            <w:r>
              <w:rPr>
                <w:rFonts w:hint="eastAsia"/>
                <w:bCs/>
                <w:color w:val="auto"/>
                <w:sz w:val="24"/>
                <w:highlight w:val="none"/>
                <w:lang w:eastAsia="zh-CN"/>
              </w:rPr>
              <w:t>。</w:t>
            </w:r>
            <w:r>
              <w:rPr>
                <w:rFonts w:hint="eastAsia"/>
                <w:bCs/>
                <w:color w:val="auto"/>
                <w:sz w:val="24"/>
                <w:highlight w:val="none"/>
              </w:rPr>
              <w:t>容器</w:t>
            </w:r>
            <w:r>
              <w:rPr>
                <w:rFonts w:hint="eastAsia"/>
                <w:bCs/>
                <w:color w:val="auto"/>
                <w:sz w:val="24"/>
                <w:highlight w:val="none"/>
                <w:lang w:val="en-US" w:eastAsia="zh-CN"/>
              </w:rPr>
              <w:t>清洗</w:t>
            </w:r>
            <w:r>
              <w:rPr>
                <w:bCs/>
                <w:color w:val="auto"/>
                <w:sz w:val="24"/>
                <w:highlight w:val="none"/>
              </w:rPr>
              <w:t>用水</w:t>
            </w:r>
            <w:r>
              <w:rPr>
                <w:rFonts w:hint="eastAsia"/>
                <w:bCs/>
                <w:color w:val="auto"/>
                <w:sz w:val="24"/>
                <w:highlight w:val="none"/>
                <w:lang w:val="en-US" w:eastAsia="zh-CN"/>
              </w:rPr>
              <w:t>2.0m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eastAsia="zh-CN"/>
              </w:rPr>
              <w:t>（</w:t>
            </w:r>
            <w:r>
              <w:rPr>
                <w:rFonts w:hint="eastAsia" w:eastAsia="宋体"/>
                <w:bCs/>
                <w:color w:val="auto"/>
                <w:sz w:val="24"/>
                <w:highlight w:val="none"/>
                <w:lang w:val="en-US" w:eastAsia="zh-CN"/>
              </w:rPr>
              <w:t>前两</w:t>
            </w:r>
            <w:r>
              <w:rPr>
                <w:rFonts w:hint="eastAsia"/>
                <w:bCs/>
                <w:color w:val="auto"/>
                <w:sz w:val="24"/>
                <w:highlight w:val="none"/>
                <w:lang w:val="en-US" w:eastAsia="zh-CN"/>
              </w:rPr>
              <w:t>遍</w:t>
            </w:r>
            <w:r>
              <w:rPr>
                <w:rFonts w:hint="eastAsia" w:eastAsia="宋体"/>
                <w:bCs/>
                <w:color w:val="auto"/>
                <w:sz w:val="24"/>
                <w:highlight w:val="none"/>
                <w:lang w:val="en-US" w:eastAsia="zh-CN"/>
              </w:rPr>
              <w:t>清洗</w:t>
            </w:r>
            <w:r>
              <w:rPr>
                <w:rFonts w:hint="eastAsia"/>
                <w:bCs/>
                <w:color w:val="auto"/>
                <w:sz w:val="24"/>
                <w:highlight w:val="none"/>
                <w:lang w:val="en-US" w:eastAsia="zh-CN"/>
              </w:rPr>
              <w:t>用水、第三遍及以后</w:t>
            </w:r>
            <w:r>
              <w:rPr>
                <w:rFonts w:hint="eastAsia"/>
                <w:bCs/>
                <w:color w:val="auto"/>
                <w:sz w:val="24"/>
                <w:highlight w:val="none"/>
              </w:rPr>
              <w:t>清洗</w:t>
            </w:r>
            <w:r>
              <w:rPr>
                <w:rFonts w:hint="eastAsia"/>
                <w:bCs/>
                <w:color w:val="auto"/>
                <w:sz w:val="24"/>
                <w:highlight w:val="none"/>
                <w:lang w:val="en-US" w:eastAsia="zh-CN"/>
              </w:rPr>
              <w:t>用</w:t>
            </w:r>
            <w:r>
              <w:rPr>
                <w:rFonts w:hint="eastAsia"/>
                <w:bCs/>
                <w:color w:val="auto"/>
                <w:sz w:val="24"/>
                <w:highlight w:val="none"/>
              </w:rPr>
              <w:t>水</w:t>
            </w:r>
            <w:r>
              <w:rPr>
                <w:rFonts w:hint="eastAsia"/>
                <w:bCs/>
                <w:color w:val="auto"/>
                <w:sz w:val="24"/>
                <w:highlight w:val="none"/>
                <w:lang w:val="en-US" w:eastAsia="zh-CN"/>
              </w:rPr>
              <w:t>各1.0</w:t>
            </w:r>
            <w:r>
              <w:rPr>
                <w:rFonts w:hint="eastAsia" w:eastAsia="宋体"/>
                <w:bCs/>
                <w:color w:val="auto"/>
                <w:sz w:val="24"/>
                <w:highlight w:val="none"/>
                <w:lang w:val="en-US" w:eastAsia="zh-CN"/>
              </w:rPr>
              <w:t>m</w:t>
            </w:r>
            <w:r>
              <w:rPr>
                <w:rFonts w:hint="eastAsia" w:eastAsia="宋体"/>
                <w:bCs/>
                <w:color w:val="auto"/>
                <w:sz w:val="24"/>
                <w:highlight w:val="none"/>
                <w:vertAlign w:val="superscript"/>
                <w:lang w:val="en-US" w:eastAsia="zh-CN"/>
              </w:rPr>
              <w:t>3</w:t>
            </w:r>
            <w:r>
              <w:rPr>
                <w:rFonts w:hint="eastAsia" w:eastAsia="宋体"/>
                <w:bCs/>
                <w:color w:val="auto"/>
                <w:sz w:val="24"/>
                <w:highlight w:val="none"/>
              </w:rPr>
              <w:t>/a</w:t>
            </w:r>
            <w:r>
              <w:rPr>
                <w:rFonts w:hint="eastAsia"/>
                <w:bCs/>
                <w:color w:val="auto"/>
                <w:sz w:val="24"/>
                <w:highlight w:val="none"/>
                <w:lang w:eastAsia="zh-CN"/>
              </w:rPr>
              <w:t>）；</w:t>
            </w:r>
            <w:r>
              <w:rPr>
                <w:bCs/>
                <w:color w:val="auto"/>
                <w:sz w:val="24"/>
                <w:highlight w:val="none"/>
              </w:rPr>
              <w:t>实验</w:t>
            </w:r>
            <w:r>
              <w:rPr>
                <w:rFonts w:hint="eastAsia"/>
                <w:bCs/>
                <w:color w:val="auto"/>
                <w:sz w:val="24"/>
                <w:highlight w:val="none"/>
              </w:rPr>
              <w:t>过程</w:t>
            </w:r>
            <w:r>
              <w:rPr>
                <w:bCs/>
                <w:color w:val="auto"/>
                <w:sz w:val="24"/>
                <w:highlight w:val="none"/>
              </w:rPr>
              <w:t>试剂配置用水</w:t>
            </w:r>
            <w:r>
              <w:rPr>
                <w:rFonts w:hint="eastAsia"/>
                <w:bCs/>
                <w:color w:val="auto"/>
                <w:sz w:val="24"/>
                <w:highlight w:val="none"/>
                <w:lang w:val="en-US" w:eastAsia="zh-CN"/>
              </w:rPr>
              <w:t>0.5m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eastAsia="zh-CN"/>
              </w:rPr>
              <w:t>；</w:t>
            </w:r>
            <w:r>
              <w:rPr>
                <w:rFonts w:hint="eastAsia"/>
                <w:bCs/>
                <w:color w:val="auto"/>
                <w:sz w:val="24"/>
                <w:highlight w:val="none"/>
                <w:lang w:val="en-US" w:eastAsia="zh-CN"/>
              </w:rPr>
              <w:t>高压蒸汽灭菌用水0.1m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eastAsia="zh-CN"/>
              </w:rPr>
              <w:t>；</w:t>
            </w:r>
            <w:r>
              <w:rPr>
                <w:rFonts w:hint="eastAsia"/>
                <w:bCs/>
                <w:color w:val="auto"/>
                <w:sz w:val="24"/>
                <w:highlight w:val="none"/>
                <w:lang w:val="en-US" w:eastAsia="zh-CN"/>
              </w:rPr>
              <w:t>水浴锅用水0.5m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eastAsia="zh-CN"/>
              </w:rPr>
              <w:t>。</w:t>
            </w:r>
          </w:p>
          <w:p w14:paraId="3248315F">
            <w:pPr>
              <w:adjustRightInd w:val="0"/>
              <w:snapToGrid w:val="0"/>
              <w:spacing w:line="360" w:lineRule="auto"/>
              <w:ind w:firstLine="480" w:firstLineChars="200"/>
              <w:rPr>
                <w:rFonts w:hint="eastAsia"/>
                <w:bCs/>
                <w:color w:val="auto"/>
                <w:sz w:val="24"/>
                <w:highlight w:val="none"/>
                <w:lang w:val="en-US" w:eastAsia="zh-CN"/>
              </w:rPr>
            </w:pPr>
            <w:r>
              <w:rPr>
                <w:rFonts w:hint="eastAsia"/>
                <w:bCs/>
                <w:color w:val="auto"/>
                <w:sz w:val="24"/>
                <w:highlight w:val="none"/>
                <w:lang w:val="en-US" w:eastAsia="zh-CN"/>
              </w:rPr>
              <w:t>实验用水全部使用纯水，合计用纯水3.1m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eastAsia="zh-CN"/>
              </w:rPr>
              <w:t>，</w:t>
            </w:r>
            <w:r>
              <w:rPr>
                <w:rFonts w:hint="eastAsia"/>
                <w:bCs/>
                <w:color w:val="auto"/>
                <w:sz w:val="24"/>
                <w:highlight w:val="none"/>
                <w:lang w:val="en-US" w:eastAsia="zh-CN"/>
              </w:rPr>
              <w:t>纯水由一台超纯水机制备，制水率50%，纯水制备用新鲜水6.2 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val="en-US" w:eastAsia="zh-CN"/>
              </w:rPr>
              <w:t>。</w:t>
            </w:r>
          </w:p>
          <w:p w14:paraId="4A129A65">
            <w:pPr>
              <w:adjustRightInd w:val="0"/>
              <w:snapToGrid w:val="0"/>
              <w:spacing w:line="360" w:lineRule="auto"/>
              <w:ind w:firstLine="480" w:firstLineChars="200"/>
              <w:rPr>
                <w:rFonts w:hint="default"/>
                <w:bCs/>
                <w:color w:val="auto"/>
                <w:sz w:val="24"/>
                <w:highlight w:val="none"/>
                <w:lang w:val="en-US" w:eastAsia="zh-CN"/>
              </w:rPr>
            </w:pPr>
            <w:r>
              <w:rPr>
                <w:rFonts w:hint="eastAsia"/>
                <w:bCs/>
                <w:color w:val="auto"/>
                <w:sz w:val="24"/>
                <w:highlight w:val="none"/>
                <w:lang w:val="en-US" w:eastAsia="zh-CN"/>
              </w:rPr>
              <w:t>地面清洗用水10m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eastAsia="zh-CN"/>
              </w:rPr>
              <w:t>。</w:t>
            </w:r>
          </w:p>
          <w:p w14:paraId="43A3014E">
            <w:pPr>
              <w:adjustRightInd w:val="0"/>
              <w:snapToGrid w:val="0"/>
              <w:spacing w:line="360" w:lineRule="auto"/>
              <w:ind w:firstLine="480" w:firstLineChars="200"/>
              <w:rPr>
                <w:rFonts w:hint="eastAsia"/>
                <w:bCs/>
                <w:color w:val="auto"/>
                <w:sz w:val="24"/>
                <w:highlight w:val="none"/>
                <w:lang w:eastAsia="zh-CN"/>
              </w:rPr>
            </w:pPr>
            <w:r>
              <w:rPr>
                <w:rFonts w:hint="eastAsia"/>
                <w:color w:val="auto"/>
                <w:sz w:val="24"/>
                <w:highlight w:val="none"/>
                <w:lang w:val="en-US" w:eastAsia="zh-CN"/>
              </w:rPr>
              <w:t>本</w:t>
            </w:r>
            <w:r>
              <w:rPr>
                <w:color w:val="auto"/>
                <w:sz w:val="24"/>
                <w:highlight w:val="none"/>
              </w:rPr>
              <w:t>项目</w:t>
            </w:r>
            <w:r>
              <w:rPr>
                <w:rFonts w:hint="eastAsia"/>
                <w:color w:val="auto"/>
                <w:sz w:val="24"/>
                <w:highlight w:val="none"/>
                <w:lang w:val="en-US" w:eastAsia="zh-CN"/>
              </w:rPr>
              <w:t>合计用水量</w:t>
            </w:r>
            <w:r>
              <w:rPr>
                <w:rFonts w:hint="eastAsia"/>
                <w:bCs/>
                <w:color w:val="auto"/>
                <w:sz w:val="24"/>
                <w:highlight w:val="none"/>
                <w:lang w:val="en-US" w:eastAsia="zh-CN"/>
              </w:rPr>
              <w:t>391.2m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eastAsia="zh-CN"/>
              </w:rPr>
              <w:t>。</w:t>
            </w:r>
          </w:p>
          <w:p w14:paraId="56B187A2">
            <w:pPr>
              <w:numPr>
                <w:ilvl w:val="0"/>
                <w:numId w:val="0"/>
              </w:numPr>
              <w:adjustRightInd w:val="0"/>
              <w:spacing w:line="360" w:lineRule="auto"/>
              <w:ind w:firstLine="480" w:firstLineChars="200"/>
              <w:rPr>
                <w:rFonts w:hint="eastAsia" w:cs="Times New Roman"/>
                <w:bCs/>
                <w:color w:val="auto"/>
                <w:sz w:val="24"/>
                <w:highlight w:val="none"/>
                <w:lang w:eastAsia="zh-CN"/>
              </w:rPr>
            </w:pPr>
            <w:r>
              <w:rPr>
                <w:rFonts w:hint="eastAsia" w:cs="Times New Roman"/>
                <w:bCs/>
                <w:color w:val="auto"/>
                <w:sz w:val="24"/>
                <w:highlight w:val="none"/>
                <w:lang w:eastAsia="zh-CN"/>
              </w:rPr>
              <w:t>（</w:t>
            </w:r>
            <w:r>
              <w:rPr>
                <w:rFonts w:hint="eastAsia" w:cs="Times New Roman"/>
                <w:bCs/>
                <w:color w:val="auto"/>
                <w:sz w:val="24"/>
                <w:highlight w:val="none"/>
                <w:lang w:val="en-US" w:eastAsia="zh-CN"/>
              </w:rPr>
              <w:t>2</w:t>
            </w:r>
            <w:r>
              <w:rPr>
                <w:rFonts w:hint="eastAsia" w:cs="Times New Roman"/>
                <w:bCs/>
                <w:color w:val="auto"/>
                <w:sz w:val="24"/>
                <w:highlight w:val="none"/>
                <w:lang w:eastAsia="zh-CN"/>
              </w:rPr>
              <w:t>）排水</w:t>
            </w:r>
          </w:p>
          <w:p w14:paraId="53A1DA4D">
            <w:pPr>
              <w:adjustRightInd w:val="0"/>
              <w:snapToGrid w:val="0"/>
              <w:spacing w:line="360" w:lineRule="auto"/>
              <w:ind w:firstLine="480" w:firstLineChars="200"/>
              <w:rPr>
                <w:rFonts w:hint="eastAsia"/>
                <w:bCs/>
                <w:color w:val="auto"/>
                <w:sz w:val="24"/>
                <w:highlight w:val="none"/>
                <w:lang w:eastAsia="zh-CN"/>
              </w:rPr>
            </w:pPr>
            <w:r>
              <w:rPr>
                <w:rFonts w:hint="eastAsia"/>
                <w:bCs/>
                <w:color w:val="auto"/>
                <w:sz w:val="24"/>
                <w:highlight w:val="none"/>
                <w:lang w:val="en-US" w:eastAsia="zh-CN"/>
              </w:rPr>
              <w:t>本</w:t>
            </w:r>
            <w:r>
              <w:rPr>
                <w:rFonts w:hint="eastAsia"/>
                <w:bCs/>
                <w:color w:val="auto"/>
                <w:sz w:val="24"/>
                <w:highlight w:val="none"/>
              </w:rPr>
              <w:t>项目</w:t>
            </w:r>
            <w:r>
              <w:rPr>
                <w:rFonts w:hint="eastAsia"/>
                <w:bCs/>
                <w:color w:val="auto"/>
                <w:sz w:val="24"/>
                <w:highlight w:val="none"/>
                <w:lang w:val="en-US" w:eastAsia="zh-CN"/>
              </w:rPr>
              <w:t>排水包括生活污水、</w:t>
            </w:r>
            <w:r>
              <w:rPr>
                <w:rFonts w:hint="eastAsia"/>
                <w:bCs/>
                <w:color w:val="auto"/>
                <w:sz w:val="24"/>
                <w:highlight w:val="none"/>
              </w:rPr>
              <w:t>容器</w:t>
            </w:r>
            <w:r>
              <w:rPr>
                <w:rFonts w:hint="eastAsia"/>
                <w:bCs/>
                <w:color w:val="auto"/>
                <w:sz w:val="24"/>
                <w:highlight w:val="none"/>
                <w:lang w:val="en-US" w:eastAsia="zh-CN"/>
              </w:rPr>
              <w:t>第三遍及以后</w:t>
            </w:r>
            <w:r>
              <w:rPr>
                <w:rFonts w:hint="eastAsia"/>
                <w:bCs/>
                <w:color w:val="auto"/>
                <w:sz w:val="24"/>
                <w:highlight w:val="none"/>
              </w:rPr>
              <w:t>清洗废水</w:t>
            </w:r>
            <w:r>
              <w:rPr>
                <w:rFonts w:hint="eastAsia"/>
                <w:bCs/>
                <w:color w:val="auto"/>
                <w:sz w:val="24"/>
                <w:highlight w:val="none"/>
                <w:lang w:eastAsia="zh-CN"/>
              </w:rPr>
              <w:t>、</w:t>
            </w:r>
            <w:r>
              <w:rPr>
                <w:rFonts w:hint="eastAsia"/>
                <w:bCs/>
                <w:color w:val="auto"/>
                <w:sz w:val="24"/>
                <w:highlight w:val="none"/>
                <w:lang w:val="en-US" w:eastAsia="zh-CN"/>
              </w:rPr>
              <w:t>纯水制备废水、高压蒸汽灭菌冷凝水、地面清洗废水</w:t>
            </w:r>
            <w:r>
              <w:rPr>
                <w:rFonts w:hint="eastAsia"/>
                <w:bCs/>
                <w:color w:val="auto"/>
                <w:sz w:val="24"/>
                <w:highlight w:val="none"/>
                <w:lang w:eastAsia="zh-CN"/>
              </w:rPr>
              <w:t>。</w:t>
            </w:r>
          </w:p>
          <w:p w14:paraId="60817A6D">
            <w:pPr>
              <w:adjustRightInd w:val="0"/>
              <w:snapToGrid w:val="0"/>
              <w:spacing w:line="360" w:lineRule="auto"/>
              <w:ind w:firstLine="480" w:firstLineChars="200"/>
              <w:rPr>
                <w:rFonts w:hint="default" w:eastAsia="宋体"/>
                <w:bCs/>
                <w:color w:val="auto"/>
                <w:sz w:val="24"/>
                <w:highlight w:val="none"/>
                <w:lang w:val="en-US" w:eastAsia="zh-CN"/>
              </w:rPr>
            </w:pPr>
            <w:r>
              <w:rPr>
                <w:rFonts w:hint="eastAsia" w:eastAsia="宋体"/>
                <w:bCs/>
                <w:color w:val="auto"/>
                <w:sz w:val="24"/>
                <w:highlight w:val="none"/>
                <w:lang w:val="en-US" w:eastAsia="zh-CN"/>
              </w:rPr>
              <w:t>生活废水产生量按用水量的85%，计</w:t>
            </w:r>
            <w:r>
              <w:rPr>
                <w:rFonts w:hint="eastAsia"/>
                <w:bCs/>
                <w:color w:val="auto"/>
                <w:sz w:val="24"/>
                <w:highlight w:val="none"/>
                <w:lang w:val="en-US" w:eastAsia="zh-CN"/>
              </w:rPr>
              <w:t>318.8</w:t>
            </w:r>
            <w:r>
              <w:rPr>
                <w:rFonts w:hint="eastAsia" w:eastAsia="宋体"/>
                <w:bCs/>
                <w:color w:val="auto"/>
                <w:sz w:val="24"/>
                <w:highlight w:val="none"/>
                <w:lang w:val="en-US" w:eastAsia="zh-CN"/>
              </w:rPr>
              <w:t>m</w:t>
            </w:r>
            <w:r>
              <w:rPr>
                <w:rFonts w:hint="eastAsia" w:eastAsia="宋体"/>
                <w:bCs/>
                <w:color w:val="auto"/>
                <w:sz w:val="24"/>
                <w:highlight w:val="none"/>
                <w:vertAlign w:val="superscript"/>
                <w:lang w:val="en-US" w:eastAsia="zh-CN"/>
              </w:rPr>
              <w:t>3</w:t>
            </w:r>
            <w:r>
              <w:rPr>
                <w:rFonts w:hint="eastAsia" w:eastAsia="宋体"/>
                <w:bCs/>
                <w:color w:val="auto"/>
                <w:sz w:val="24"/>
                <w:highlight w:val="none"/>
              </w:rPr>
              <w:t>/a</w:t>
            </w:r>
            <w:r>
              <w:rPr>
                <w:rFonts w:hint="eastAsia" w:eastAsia="宋体"/>
                <w:bCs/>
                <w:color w:val="auto"/>
                <w:sz w:val="24"/>
                <w:highlight w:val="none"/>
                <w:lang w:eastAsia="zh-CN"/>
              </w:rPr>
              <w:t>。</w:t>
            </w:r>
          </w:p>
          <w:p w14:paraId="067174CA">
            <w:pPr>
              <w:adjustRightInd w:val="0"/>
              <w:snapToGrid w:val="0"/>
              <w:spacing w:line="360" w:lineRule="auto"/>
              <w:ind w:firstLine="480" w:firstLineChars="200"/>
              <w:rPr>
                <w:rFonts w:hint="eastAsia" w:eastAsia="宋体"/>
                <w:bCs/>
                <w:color w:val="auto"/>
                <w:sz w:val="24"/>
                <w:highlight w:val="none"/>
              </w:rPr>
            </w:pPr>
            <w:r>
              <w:rPr>
                <w:rFonts w:hint="eastAsia" w:eastAsia="宋体"/>
                <w:bCs/>
                <w:color w:val="auto"/>
                <w:sz w:val="24"/>
                <w:highlight w:val="none"/>
                <w:lang w:val="en-US" w:eastAsia="zh-CN"/>
              </w:rPr>
              <w:t>容器清洗废水损耗率为</w:t>
            </w:r>
            <w:r>
              <w:rPr>
                <w:rFonts w:hint="default" w:eastAsia="宋体"/>
                <w:bCs/>
                <w:color w:val="auto"/>
                <w:sz w:val="24"/>
                <w:highlight w:val="none"/>
                <w:lang w:val="en-US" w:eastAsia="zh-CN"/>
              </w:rPr>
              <w:t>10%</w:t>
            </w:r>
            <w:r>
              <w:rPr>
                <w:rFonts w:hint="eastAsia" w:eastAsia="宋体"/>
                <w:bCs/>
                <w:color w:val="auto"/>
                <w:sz w:val="24"/>
                <w:highlight w:val="none"/>
                <w:lang w:val="en-US" w:eastAsia="zh-CN"/>
              </w:rPr>
              <w:t>，前两次清洗废水产生量为0.</w:t>
            </w:r>
            <w:r>
              <w:rPr>
                <w:rFonts w:hint="eastAsia"/>
                <w:bCs/>
                <w:color w:val="auto"/>
                <w:sz w:val="24"/>
                <w:highlight w:val="none"/>
                <w:lang w:val="en-US" w:eastAsia="zh-CN"/>
              </w:rPr>
              <w:t>9</w:t>
            </w:r>
            <w:r>
              <w:rPr>
                <w:rFonts w:hint="eastAsia" w:eastAsia="宋体"/>
                <w:bCs/>
                <w:color w:val="auto"/>
                <w:sz w:val="24"/>
                <w:highlight w:val="none"/>
                <w:lang w:val="en-US" w:eastAsia="zh-CN"/>
              </w:rPr>
              <w:t>m</w:t>
            </w:r>
            <w:r>
              <w:rPr>
                <w:rFonts w:hint="eastAsia" w:eastAsia="宋体"/>
                <w:bCs/>
                <w:color w:val="auto"/>
                <w:sz w:val="24"/>
                <w:highlight w:val="none"/>
                <w:vertAlign w:val="superscript"/>
                <w:lang w:val="en-US" w:eastAsia="zh-CN"/>
              </w:rPr>
              <w:t>3</w:t>
            </w:r>
            <w:r>
              <w:rPr>
                <w:rFonts w:hint="eastAsia" w:eastAsia="宋体"/>
                <w:bCs/>
                <w:color w:val="auto"/>
                <w:sz w:val="24"/>
                <w:highlight w:val="none"/>
              </w:rPr>
              <w:t>/a</w:t>
            </w:r>
            <w:r>
              <w:rPr>
                <w:rFonts w:hint="eastAsia" w:eastAsia="宋体"/>
                <w:bCs/>
                <w:color w:val="auto"/>
                <w:sz w:val="24"/>
                <w:highlight w:val="none"/>
                <w:lang w:val="en-US" w:eastAsia="zh-CN"/>
              </w:rPr>
              <w:t>，作为危废处理；第三次及以后清洗废水产生量0.</w:t>
            </w:r>
            <w:r>
              <w:rPr>
                <w:rFonts w:hint="eastAsia"/>
                <w:bCs/>
                <w:color w:val="auto"/>
                <w:sz w:val="24"/>
                <w:highlight w:val="none"/>
                <w:lang w:val="en-US" w:eastAsia="zh-CN"/>
              </w:rPr>
              <w:t>9</w:t>
            </w:r>
            <w:r>
              <w:rPr>
                <w:rFonts w:hint="eastAsia" w:eastAsia="宋体"/>
                <w:bCs/>
                <w:color w:val="auto"/>
                <w:sz w:val="24"/>
                <w:highlight w:val="none"/>
                <w:lang w:val="en-US" w:eastAsia="zh-CN"/>
              </w:rPr>
              <w:t>m</w:t>
            </w:r>
            <w:r>
              <w:rPr>
                <w:rFonts w:hint="eastAsia" w:eastAsia="宋体"/>
                <w:bCs/>
                <w:color w:val="auto"/>
                <w:sz w:val="24"/>
                <w:highlight w:val="none"/>
                <w:vertAlign w:val="superscript"/>
                <w:lang w:val="en-US" w:eastAsia="zh-CN"/>
              </w:rPr>
              <w:t>3</w:t>
            </w:r>
            <w:r>
              <w:rPr>
                <w:rFonts w:hint="eastAsia" w:eastAsia="宋体"/>
                <w:bCs/>
                <w:color w:val="auto"/>
                <w:sz w:val="24"/>
                <w:highlight w:val="none"/>
              </w:rPr>
              <w:t>/a</w:t>
            </w:r>
            <w:r>
              <w:rPr>
                <w:rFonts w:hint="eastAsia" w:eastAsia="宋体"/>
                <w:bCs/>
                <w:color w:val="auto"/>
                <w:sz w:val="24"/>
                <w:highlight w:val="none"/>
                <w:lang w:val="en-US" w:eastAsia="zh-CN"/>
              </w:rPr>
              <w:t xml:space="preserve">。 </w:t>
            </w:r>
          </w:p>
          <w:p w14:paraId="54844CDC">
            <w:pPr>
              <w:adjustRightInd w:val="0"/>
              <w:snapToGrid w:val="0"/>
              <w:spacing w:line="360" w:lineRule="auto"/>
              <w:ind w:firstLine="480" w:firstLineChars="200"/>
              <w:rPr>
                <w:rFonts w:hint="eastAsia" w:eastAsia="宋体"/>
                <w:bCs/>
                <w:color w:val="auto"/>
                <w:sz w:val="24"/>
                <w:highlight w:val="none"/>
              </w:rPr>
            </w:pPr>
            <w:r>
              <w:rPr>
                <w:rFonts w:hint="eastAsia" w:eastAsia="宋体"/>
                <w:bCs/>
                <w:color w:val="auto"/>
                <w:sz w:val="24"/>
                <w:highlight w:val="none"/>
                <w:lang w:val="en-US" w:eastAsia="zh-CN"/>
              </w:rPr>
              <w:t>配制试剂用水进入检测废液，产生量0.45m</w:t>
            </w:r>
            <w:r>
              <w:rPr>
                <w:rFonts w:hint="eastAsia" w:eastAsia="宋体"/>
                <w:bCs/>
                <w:color w:val="auto"/>
                <w:sz w:val="24"/>
                <w:highlight w:val="none"/>
                <w:vertAlign w:val="superscript"/>
                <w:lang w:val="en-US" w:eastAsia="zh-CN"/>
              </w:rPr>
              <w:t>3</w:t>
            </w:r>
            <w:r>
              <w:rPr>
                <w:rFonts w:hint="eastAsia" w:eastAsia="宋体"/>
                <w:bCs/>
                <w:color w:val="auto"/>
                <w:sz w:val="24"/>
                <w:highlight w:val="none"/>
              </w:rPr>
              <w:t>/a</w:t>
            </w:r>
            <w:r>
              <w:rPr>
                <w:rFonts w:hint="eastAsia" w:eastAsia="宋体"/>
                <w:bCs/>
                <w:color w:val="auto"/>
                <w:sz w:val="24"/>
                <w:highlight w:val="none"/>
                <w:lang w:val="en-US" w:eastAsia="zh-CN"/>
              </w:rPr>
              <w:t>，作为危险废物处理。</w:t>
            </w:r>
          </w:p>
          <w:p w14:paraId="7A3C1DE9">
            <w:pPr>
              <w:adjustRightInd w:val="0"/>
              <w:snapToGrid w:val="0"/>
              <w:spacing w:line="360" w:lineRule="auto"/>
              <w:ind w:firstLine="480" w:firstLineChars="200"/>
              <w:rPr>
                <w:rFonts w:hint="eastAsia"/>
                <w:bCs/>
                <w:color w:val="auto"/>
                <w:sz w:val="24"/>
                <w:highlight w:val="none"/>
                <w:lang w:eastAsia="zh-CN"/>
              </w:rPr>
            </w:pPr>
            <w:r>
              <w:rPr>
                <w:rFonts w:hint="eastAsia"/>
                <w:bCs/>
                <w:color w:val="auto"/>
                <w:sz w:val="24"/>
                <w:highlight w:val="none"/>
                <w:lang w:val="en-US" w:eastAsia="zh-CN"/>
              </w:rPr>
              <w:t>纯水制备废水产生量3.1m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eastAsia="zh-CN"/>
              </w:rPr>
              <w:t>。</w:t>
            </w:r>
          </w:p>
          <w:p w14:paraId="3EE22F0C">
            <w:pPr>
              <w:adjustRightInd w:val="0"/>
              <w:snapToGrid w:val="0"/>
              <w:spacing w:line="360" w:lineRule="auto"/>
              <w:ind w:firstLine="480" w:firstLineChars="200"/>
              <w:rPr>
                <w:rFonts w:hint="eastAsia"/>
                <w:bCs/>
                <w:color w:val="auto"/>
                <w:sz w:val="24"/>
                <w:highlight w:val="none"/>
                <w:lang w:eastAsia="zh-CN"/>
              </w:rPr>
            </w:pPr>
            <w:r>
              <w:rPr>
                <w:rFonts w:hint="eastAsia"/>
                <w:bCs/>
                <w:color w:val="auto"/>
                <w:sz w:val="24"/>
                <w:highlight w:val="none"/>
                <w:lang w:val="en-US" w:eastAsia="zh-CN"/>
              </w:rPr>
              <w:t>高压蒸汽灭菌冷凝水0.09m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eastAsia="zh-CN"/>
              </w:rPr>
              <w:t>。</w:t>
            </w:r>
          </w:p>
          <w:p w14:paraId="3CA76CB7">
            <w:pPr>
              <w:adjustRightInd w:val="0"/>
              <w:snapToGrid w:val="0"/>
              <w:spacing w:line="360" w:lineRule="auto"/>
              <w:ind w:firstLine="480" w:firstLineChars="200"/>
              <w:rPr>
                <w:rFonts w:hint="eastAsia"/>
                <w:bCs/>
                <w:color w:val="auto"/>
                <w:sz w:val="24"/>
                <w:highlight w:val="none"/>
                <w:lang w:val="en-US" w:eastAsia="zh-CN"/>
              </w:rPr>
            </w:pPr>
            <w:r>
              <w:rPr>
                <w:rFonts w:hint="eastAsia"/>
                <w:bCs/>
                <w:color w:val="auto"/>
                <w:sz w:val="24"/>
                <w:highlight w:val="none"/>
                <w:lang w:val="en-US" w:eastAsia="zh-CN"/>
              </w:rPr>
              <w:t>水浴锅用水根据损耗及时添加，无外排。</w:t>
            </w:r>
          </w:p>
          <w:p w14:paraId="1ED13E7D">
            <w:pPr>
              <w:adjustRightInd w:val="0"/>
              <w:snapToGrid w:val="0"/>
              <w:spacing w:line="360" w:lineRule="auto"/>
              <w:ind w:firstLine="480" w:firstLineChars="200"/>
              <w:rPr>
                <w:rFonts w:hint="default"/>
                <w:bCs/>
                <w:color w:val="auto"/>
                <w:sz w:val="24"/>
                <w:highlight w:val="none"/>
                <w:lang w:val="en-US" w:eastAsia="zh-CN"/>
              </w:rPr>
            </w:pPr>
            <w:r>
              <w:rPr>
                <w:rFonts w:hint="eastAsia"/>
                <w:bCs/>
                <w:color w:val="auto"/>
                <w:sz w:val="24"/>
                <w:highlight w:val="none"/>
                <w:lang w:val="en-US" w:eastAsia="zh-CN"/>
              </w:rPr>
              <w:t>地面清洗废水为用水量的90%，计9m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eastAsia="zh-CN"/>
              </w:rPr>
              <w:t>。</w:t>
            </w:r>
          </w:p>
          <w:p w14:paraId="1E9F35A4">
            <w:pPr>
              <w:adjustRightInd w:val="0"/>
              <w:snapToGrid w:val="0"/>
              <w:spacing w:line="360" w:lineRule="auto"/>
              <w:ind w:firstLine="480" w:firstLineChars="200"/>
              <w:rPr>
                <w:rFonts w:hint="eastAsia" w:cs="Times New Roman"/>
                <w:color w:val="auto"/>
                <w:sz w:val="24"/>
                <w:szCs w:val="24"/>
                <w:highlight w:val="none"/>
                <w:lang w:eastAsia="zh-CN"/>
              </w:rPr>
            </w:pPr>
            <w:r>
              <w:rPr>
                <w:rFonts w:hint="eastAsia" w:cs="Times New Roman"/>
                <w:color w:val="auto"/>
                <w:sz w:val="24"/>
                <w:highlight w:val="none"/>
                <w:lang w:val="en-US" w:eastAsia="zh-CN"/>
              </w:rPr>
              <w:t>生活污水与容器第三遍及以后清洗废水、纯水制备废水、</w:t>
            </w:r>
            <w:r>
              <w:rPr>
                <w:rFonts w:hint="eastAsia"/>
                <w:bCs/>
                <w:color w:val="auto"/>
                <w:sz w:val="24"/>
                <w:highlight w:val="none"/>
                <w:lang w:val="en-US" w:eastAsia="zh-CN"/>
              </w:rPr>
              <w:t>高压蒸汽灭菌冷凝水、地面清洗废水</w:t>
            </w:r>
            <w:r>
              <w:rPr>
                <w:rFonts w:hint="eastAsia" w:cs="Times New Roman"/>
                <w:color w:val="auto"/>
                <w:sz w:val="24"/>
                <w:highlight w:val="none"/>
                <w:lang w:val="en-US" w:eastAsia="zh-CN"/>
              </w:rPr>
              <w:t>一起进园区化粪池处理，最后经市政管网排入</w:t>
            </w:r>
            <w:r>
              <w:rPr>
                <w:rFonts w:hint="eastAsia" w:cs="Times New Roman"/>
                <w:color w:val="auto"/>
                <w:sz w:val="24"/>
                <w:szCs w:val="24"/>
                <w:highlight w:val="none"/>
                <w:lang w:eastAsia="zh-CN"/>
              </w:rPr>
              <w:t>北京新城禹潞环保科技有限责任公司—金桥基地第一污水处理厂。</w:t>
            </w:r>
          </w:p>
          <w:p w14:paraId="5BBDB36C">
            <w:pPr>
              <w:adjustRightInd w:val="0"/>
              <w:snapToGrid w:val="0"/>
              <w:spacing w:line="360" w:lineRule="auto"/>
              <w:ind w:firstLine="480" w:firstLineChars="200"/>
              <w:rPr>
                <w:bCs/>
                <w:color w:val="auto"/>
                <w:sz w:val="24"/>
                <w:highlight w:val="none"/>
              </w:rPr>
            </w:pPr>
            <w:r>
              <w:rPr>
                <w:rFonts w:hint="eastAsia"/>
                <w:bCs/>
                <w:color w:val="auto"/>
                <w:sz w:val="24"/>
                <w:highlight w:val="none"/>
                <w:lang w:val="en-US" w:eastAsia="zh-CN"/>
              </w:rPr>
              <w:t>本</w:t>
            </w:r>
            <w:r>
              <w:rPr>
                <w:bCs/>
                <w:color w:val="auto"/>
                <w:sz w:val="24"/>
                <w:highlight w:val="none"/>
              </w:rPr>
              <w:t>项目水平衡图见下图。</w:t>
            </w:r>
          </w:p>
          <w:p w14:paraId="75C5B739">
            <w:pPr>
              <w:adjustRightInd w:val="0"/>
              <w:spacing w:line="360" w:lineRule="auto"/>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object>
                <v:shape id="_x0000_i1025" o:spt="75" type="#_x0000_t75" style="height:296.15pt;width:358.35pt;" o:ole="t" filled="f" o:preferrelative="t" stroked="f" coordsize="21600,21600">
                  <v:path/>
                  <v:fill on="f" focussize="0,0"/>
                  <v:stroke on="f"/>
                  <v:imagedata r:id="rId13" o:title=""/>
                  <o:lock v:ext="edit" aspectratio="f"/>
                  <w10:wrap type="none"/>
                  <w10:anchorlock/>
                </v:shape>
                <o:OLEObject Type="Embed" ProgID="Visio.Drawing.11" ShapeID="_x0000_i1025" DrawAspect="Content" ObjectID="_1468075725" r:id="rId12">
                  <o:LockedField>false</o:LockedField>
                </o:OLEObject>
              </w:object>
            </w:r>
          </w:p>
          <w:p w14:paraId="28B4A7A5">
            <w:pPr>
              <w:numPr>
                <w:ilvl w:val="0"/>
                <w:numId w:val="25"/>
              </w:numPr>
              <w:adjustRightInd w:val="0"/>
              <w:spacing w:line="360" w:lineRule="auto"/>
              <w:jc w:val="center"/>
              <w:rPr>
                <w:rFonts w:hint="eastAsia"/>
                <w:bCs/>
                <w:color w:val="auto"/>
                <w:sz w:val="24"/>
                <w:highlight w:val="none"/>
                <w:lang w:eastAsia="zh-CN"/>
              </w:rPr>
            </w:pPr>
            <w:r>
              <w:rPr>
                <w:rFonts w:hint="default" w:ascii="Times New Roman" w:hAnsi="Times New Roman" w:eastAsia="宋体" w:cs="Times New Roman"/>
                <w:b/>
                <w:color w:val="auto"/>
                <w:sz w:val="24"/>
                <w:highlight w:val="none"/>
              </w:rPr>
              <w:t xml:space="preserve"> </w:t>
            </w:r>
            <w:r>
              <w:rPr>
                <w:rFonts w:hint="eastAsia" w:cs="Times New Roman"/>
                <w:b/>
                <w:color w:val="auto"/>
                <w:sz w:val="24"/>
                <w:highlight w:val="none"/>
                <w:lang w:val="en-US" w:eastAsia="zh-CN"/>
              </w:rPr>
              <w:t>本</w:t>
            </w:r>
            <w:r>
              <w:rPr>
                <w:rFonts w:hint="default" w:ascii="Times New Roman" w:hAnsi="Times New Roman" w:eastAsia="宋体" w:cs="Times New Roman"/>
                <w:b/>
                <w:color w:val="auto"/>
                <w:sz w:val="24"/>
                <w:highlight w:val="none"/>
              </w:rPr>
              <w:t xml:space="preserve">项目水平衡图   </w:t>
            </w:r>
            <w:r>
              <w:rPr>
                <w:rFonts w:hint="eastAsia" w:cs="Times New Roman"/>
                <w:b/>
                <w:color w:val="auto"/>
                <w:sz w:val="24"/>
                <w:highlight w:val="none"/>
                <w:lang w:eastAsia="zh-CN"/>
              </w:rPr>
              <w:t>“</w:t>
            </w:r>
            <w:r>
              <w:rPr>
                <w:rFonts w:hint="default" w:ascii="Times New Roman" w:hAnsi="Times New Roman" w:eastAsia="宋体" w:cs="Times New Roman"/>
                <w:b/>
                <w:color w:val="auto"/>
                <w:sz w:val="24"/>
                <w:highlight w:val="none"/>
              </w:rPr>
              <w:object>
                <v:shape id="_x0000_i1026" o:spt="75" type="#_x0000_t75" style="height:18.25pt;width:30.95pt;" o:ole="t" filled="f" o:preferrelative="t" stroked="f" coordsize="21600,21600">
                  <v:path/>
                  <v:fill on="f" focussize="0,0"/>
                  <v:stroke on="f"/>
                  <v:imagedata r:id="rId15" o:title=""/>
                  <o:lock v:ext="edit" aspectratio="f"/>
                  <w10:wrap type="none"/>
                  <w10:anchorlock/>
                </v:shape>
                <o:OLEObject Type="Embed" ProgID="Visio.Drawing.11" ShapeID="_x0000_i1026" DrawAspect="Content" ObjectID="_1468075726" r:id="rId14">
                  <o:LockedField>false</o:LockedField>
                </o:OLEObject>
              </w:object>
            </w:r>
            <w:r>
              <w:rPr>
                <w:rFonts w:hint="eastAsia" w:cs="Times New Roman"/>
                <w:b/>
                <w:color w:val="auto"/>
                <w:sz w:val="24"/>
                <w:highlight w:val="none"/>
                <w:lang w:eastAsia="zh-CN"/>
              </w:rPr>
              <w:t>”</w:t>
            </w:r>
            <w:r>
              <w:rPr>
                <w:rFonts w:hint="default" w:ascii="Times New Roman" w:hAnsi="Times New Roman" w:eastAsia="宋体" w:cs="Times New Roman"/>
                <w:b/>
                <w:color w:val="auto"/>
                <w:sz w:val="24"/>
                <w:highlight w:val="none"/>
              </w:rPr>
              <w:t>消耗量</w:t>
            </w:r>
          </w:p>
          <w:p w14:paraId="52B8427E">
            <w:pPr>
              <w:numPr>
                <w:ilvl w:val="0"/>
                <w:numId w:val="21"/>
              </w:numPr>
              <w:tabs>
                <w:tab w:val="left" w:pos="0"/>
              </w:tabs>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劳动定员及工作制度</w:t>
            </w:r>
          </w:p>
          <w:p w14:paraId="70DAD8D5">
            <w:pPr>
              <w:numPr>
                <w:ilvl w:val="0"/>
                <w:numId w:val="0"/>
              </w:numPr>
              <w:tabs>
                <w:tab w:val="left" w:pos="0"/>
              </w:tabs>
              <w:adjustRightInd w:val="0"/>
              <w:snapToGrid w:val="0"/>
              <w:spacing w:line="360"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本项目员工30人，不设食宿，年工作时间250天，每天工作8小时，夜间不工作。</w:t>
            </w:r>
          </w:p>
          <w:p w14:paraId="272A52CF">
            <w:pPr>
              <w:numPr>
                <w:ilvl w:val="0"/>
                <w:numId w:val="21"/>
              </w:numPr>
              <w:tabs>
                <w:tab w:val="left" w:pos="0"/>
              </w:tabs>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地理位置、周边关系</w:t>
            </w:r>
          </w:p>
          <w:p w14:paraId="113E8D64">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地理位置</w:t>
            </w:r>
          </w:p>
          <w:p w14:paraId="1E271DE6">
            <w:pPr>
              <w:spacing w:line="360" w:lineRule="auto"/>
              <w:ind w:firstLine="480" w:firstLineChars="200"/>
              <w:contextualSpacing/>
              <w:rPr>
                <w:rFonts w:hint="default"/>
                <w:color w:val="auto"/>
                <w:sz w:val="24"/>
                <w:highlight w:val="none"/>
                <w:lang w:eastAsia="zh-CN"/>
              </w:rPr>
            </w:pPr>
            <w:r>
              <w:rPr>
                <w:rFonts w:hint="default"/>
                <w:color w:val="auto"/>
                <w:sz w:val="24"/>
                <w:highlight w:val="none"/>
              </w:rPr>
              <w:t>本项目位于</w:t>
            </w:r>
            <w:r>
              <w:rPr>
                <w:rFonts w:hint="eastAsia"/>
                <w:color w:val="auto"/>
                <w:sz w:val="24"/>
                <w:highlight w:val="none"/>
                <w:lang w:val="en-US" w:eastAsia="zh-CN"/>
              </w:rPr>
              <w:t>北京经济技术开发区(通州)环科中路16号23幢1至4层</w:t>
            </w:r>
            <w:r>
              <w:rPr>
                <w:rFonts w:hint="default"/>
                <w:color w:val="auto"/>
                <w:sz w:val="24"/>
                <w:highlight w:val="none"/>
                <w:lang w:val="en-US" w:eastAsia="zh-CN"/>
              </w:rPr>
              <w:t>，</w:t>
            </w:r>
            <w:r>
              <w:rPr>
                <w:rFonts w:hint="default"/>
                <w:color w:val="auto"/>
                <w:sz w:val="24"/>
                <w:highlight w:val="none"/>
              </w:rPr>
              <w:t>本项目地理位置图见附图1</w:t>
            </w:r>
            <w:r>
              <w:rPr>
                <w:rFonts w:hint="default"/>
                <w:color w:val="auto"/>
                <w:sz w:val="24"/>
                <w:highlight w:val="none"/>
                <w:lang w:eastAsia="zh-CN"/>
              </w:rPr>
              <w:t>。</w:t>
            </w:r>
          </w:p>
          <w:p w14:paraId="1DD65386">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周边关系</w:t>
            </w:r>
          </w:p>
          <w:p w14:paraId="046EB1CC">
            <w:pPr>
              <w:spacing w:line="360" w:lineRule="auto"/>
              <w:ind w:firstLine="480" w:firstLineChars="200"/>
              <w:contextualSpacing/>
              <w:rPr>
                <w:color w:val="auto"/>
                <w:sz w:val="24"/>
                <w:highlight w:val="none"/>
              </w:rPr>
            </w:pPr>
            <w:r>
              <w:rPr>
                <w:color w:val="auto"/>
                <w:sz w:val="24"/>
                <w:highlight w:val="none"/>
              </w:rPr>
              <w:t>本项目</w:t>
            </w:r>
            <w:r>
              <w:rPr>
                <w:rFonts w:hint="eastAsia"/>
                <w:color w:val="auto"/>
                <w:sz w:val="24"/>
                <w:highlight w:val="none"/>
                <w:lang w:val="en-US" w:eastAsia="zh-CN"/>
              </w:rPr>
              <w:t>西</w:t>
            </w:r>
            <w:r>
              <w:rPr>
                <w:color w:val="auto"/>
                <w:sz w:val="24"/>
                <w:highlight w:val="none"/>
              </w:rPr>
              <w:t>侧为</w:t>
            </w:r>
            <w:r>
              <w:rPr>
                <w:rFonts w:hint="eastAsia"/>
                <w:color w:val="auto"/>
                <w:sz w:val="24"/>
                <w:highlight w:val="none"/>
                <w:lang w:val="en-US" w:eastAsia="zh-CN"/>
              </w:rPr>
              <w:t>本园区42号楼</w:t>
            </w:r>
            <w:r>
              <w:rPr>
                <w:color w:val="auto"/>
                <w:sz w:val="24"/>
                <w:highlight w:val="none"/>
              </w:rPr>
              <w:t>，</w:t>
            </w:r>
            <w:r>
              <w:rPr>
                <w:rFonts w:hint="eastAsia"/>
                <w:color w:val="auto"/>
                <w:sz w:val="24"/>
                <w:highlight w:val="none"/>
                <w:lang w:val="en-US" w:eastAsia="zh-CN"/>
              </w:rPr>
              <w:t>东</w:t>
            </w:r>
            <w:r>
              <w:rPr>
                <w:color w:val="auto"/>
                <w:sz w:val="24"/>
                <w:highlight w:val="none"/>
              </w:rPr>
              <w:t>侧为</w:t>
            </w:r>
            <w:r>
              <w:rPr>
                <w:rFonts w:hint="eastAsia"/>
                <w:color w:val="auto"/>
                <w:sz w:val="24"/>
                <w:highlight w:val="none"/>
                <w:lang w:val="en-US" w:eastAsia="zh-CN"/>
              </w:rPr>
              <w:t>本园区24号楼</w:t>
            </w:r>
            <w:r>
              <w:rPr>
                <w:color w:val="auto"/>
                <w:sz w:val="24"/>
                <w:highlight w:val="none"/>
              </w:rPr>
              <w:t>，</w:t>
            </w:r>
            <w:r>
              <w:rPr>
                <w:rFonts w:hint="eastAsia"/>
                <w:color w:val="auto"/>
                <w:sz w:val="24"/>
                <w:highlight w:val="none"/>
                <w:lang w:val="en-US" w:eastAsia="zh-CN"/>
              </w:rPr>
              <w:t>南</w:t>
            </w:r>
            <w:r>
              <w:rPr>
                <w:color w:val="auto"/>
                <w:sz w:val="24"/>
                <w:highlight w:val="none"/>
              </w:rPr>
              <w:t>侧为</w:t>
            </w:r>
            <w:r>
              <w:rPr>
                <w:rFonts w:hint="eastAsia"/>
                <w:color w:val="auto"/>
                <w:sz w:val="24"/>
                <w:highlight w:val="none"/>
                <w:lang w:val="en-US" w:eastAsia="zh-CN"/>
              </w:rPr>
              <w:t>本园区29号楼</w:t>
            </w:r>
            <w:r>
              <w:rPr>
                <w:color w:val="auto"/>
                <w:sz w:val="24"/>
                <w:highlight w:val="none"/>
              </w:rPr>
              <w:t>，</w:t>
            </w:r>
            <w:r>
              <w:rPr>
                <w:rFonts w:hint="eastAsia"/>
                <w:color w:val="auto"/>
                <w:sz w:val="24"/>
                <w:highlight w:val="none"/>
                <w:lang w:val="en-US" w:eastAsia="zh-CN"/>
              </w:rPr>
              <w:t>西南</w:t>
            </w:r>
            <w:r>
              <w:rPr>
                <w:color w:val="auto"/>
                <w:sz w:val="24"/>
                <w:highlight w:val="none"/>
              </w:rPr>
              <w:t>侧为</w:t>
            </w:r>
            <w:r>
              <w:rPr>
                <w:rFonts w:hint="eastAsia"/>
                <w:color w:val="auto"/>
                <w:sz w:val="24"/>
                <w:highlight w:val="none"/>
                <w:lang w:val="en-US" w:eastAsia="zh-CN"/>
              </w:rPr>
              <w:t>本园区27号楼</w:t>
            </w:r>
            <w:r>
              <w:rPr>
                <w:color w:val="auto"/>
                <w:sz w:val="24"/>
                <w:highlight w:val="none"/>
              </w:rPr>
              <w:t>，</w:t>
            </w:r>
            <w:r>
              <w:rPr>
                <w:rFonts w:hint="eastAsia"/>
                <w:color w:val="auto"/>
                <w:sz w:val="24"/>
                <w:highlight w:val="none"/>
                <w:lang w:val="en-US" w:eastAsia="zh-CN"/>
              </w:rPr>
              <w:t>东南</w:t>
            </w:r>
            <w:r>
              <w:rPr>
                <w:color w:val="auto"/>
                <w:sz w:val="24"/>
                <w:highlight w:val="none"/>
              </w:rPr>
              <w:t>侧为</w:t>
            </w:r>
            <w:r>
              <w:rPr>
                <w:rFonts w:hint="eastAsia"/>
                <w:color w:val="auto"/>
                <w:sz w:val="24"/>
                <w:highlight w:val="none"/>
                <w:lang w:val="en-US" w:eastAsia="zh-CN"/>
              </w:rPr>
              <w:t>本园区33号楼</w:t>
            </w:r>
            <w:r>
              <w:rPr>
                <w:color w:val="auto"/>
                <w:sz w:val="24"/>
                <w:highlight w:val="none"/>
              </w:rPr>
              <w:t>。</w:t>
            </w:r>
          </w:p>
          <w:p w14:paraId="1393F9C0">
            <w:pPr>
              <w:adjustRightIn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w:t>
            </w:r>
            <w:r>
              <w:rPr>
                <w:rFonts w:hint="eastAsia"/>
                <w:color w:val="auto"/>
                <w:sz w:val="24"/>
                <w:highlight w:val="none"/>
                <w:lang w:val="en-US" w:eastAsia="zh-CN"/>
              </w:rPr>
              <w:t>西</w:t>
            </w:r>
            <w:r>
              <w:rPr>
                <w:rFonts w:hint="default" w:ascii="Times New Roman" w:hAnsi="Times New Roman" w:eastAsia="宋体" w:cs="Times New Roman"/>
                <w:color w:val="auto"/>
                <w:sz w:val="24"/>
                <w:highlight w:val="none"/>
                <w:lang w:val="en-US" w:eastAsia="zh-CN"/>
              </w:rPr>
              <w:t>侧</w:t>
            </w:r>
            <w:r>
              <w:rPr>
                <w:rFonts w:hint="eastAsia" w:cs="Times New Roman"/>
                <w:color w:val="auto"/>
                <w:sz w:val="24"/>
                <w:highlight w:val="none"/>
                <w:lang w:val="en-US" w:eastAsia="zh-CN"/>
              </w:rPr>
              <w:t>71米</w:t>
            </w:r>
            <w:r>
              <w:rPr>
                <w:rFonts w:hint="default" w:ascii="Times New Roman" w:hAnsi="Times New Roman" w:eastAsia="宋体" w:cs="Times New Roman"/>
                <w:color w:val="auto"/>
                <w:sz w:val="24"/>
                <w:highlight w:val="none"/>
                <w:lang w:val="en-US" w:eastAsia="zh-CN"/>
              </w:rPr>
              <w:t>为</w:t>
            </w:r>
            <w:r>
              <w:rPr>
                <w:rFonts w:hint="eastAsia" w:cs="Times New Roman"/>
                <w:color w:val="auto"/>
                <w:sz w:val="24"/>
                <w:highlight w:val="none"/>
                <w:lang w:val="en-US" w:eastAsia="zh-CN"/>
              </w:rPr>
              <w:t>市内支路环科中路</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南</w:t>
            </w:r>
            <w:r>
              <w:rPr>
                <w:rFonts w:hint="default" w:ascii="Times New Roman" w:hAnsi="Times New Roman" w:eastAsia="宋体" w:cs="Times New Roman"/>
                <w:color w:val="auto"/>
                <w:sz w:val="24"/>
                <w:highlight w:val="none"/>
                <w:lang w:val="en-US" w:eastAsia="zh-CN"/>
              </w:rPr>
              <w:t>侧</w:t>
            </w:r>
            <w:r>
              <w:rPr>
                <w:rFonts w:hint="eastAsia" w:cs="Times New Roman"/>
                <w:color w:val="auto"/>
                <w:sz w:val="24"/>
                <w:highlight w:val="none"/>
                <w:lang w:val="en-US" w:eastAsia="zh-CN"/>
              </w:rPr>
              <w:t>158米</w:t>
            </w:r>
            <w:r>
              <w:rPr>
                <w:rFonts w:hint="default" w:ascii="Times New Roman" w:hAnsi="Times New Roman" w:eastAsia="宋体" w:cs="Times New Roman"/>
                <w:color w:val="auto"/>
                <w:sz w:val="24"/>
                <w:highlight w:val="none"/>
                <w:lang w:val="en-US" w:eastAsia="zh-CN"/>
              </w:rPr>
              <w:t>为</w:t>
            </w:r>
            <w:r>
              <w:rPr>
                <w:rFonts w:hint="eastAsia" w:cs="Times New Roman"/>
                <w:color w:val="auto"/>
                <w:sz w:val="24"/>
                <w:highlight w:val="none"/>
                <w:lang w:val="en-US" w:eastAsia="zh-CN"/>
              </w:rPr>
              <w:t>市内支路景盛南四街，项目西侧130米为次干路经海三路</w:t>
            </w:r>
            <w:r>
              <w:rPr>
                <w:rFonts w:hint="default" w:ascii="Times New Roman" w:hAnsi="Times New Roman" w:eastAsia="宋体" w:cs="Times New Roman"/>
                <w:color w:val="auto"/>
                <w:sz w:val="24"/>
                <w:highlight w:val="none"/>
                <w:lang w:val="en-US" w:eastAsia="zh-CN"/>
              </w:rPr>
              <w:t>。</w:t>
            </w:r>
          </w:p>
          <w:p w14:paraId="6ABB6EA4">
            <w:pPr>
              <w:numPr>
                <w:ilvl w:val="0"/>
                <w:numId w:val="0"/>
              </w:numPr>
              <w:adjustRightInd w:val="0"/>
              <w:snapToGrid w:val="0"/>
              <w:spacing w:line="360" w:lineRule="auto"/>
              <w:ind w:leftChars="0" w:firstLine="480" w:firstLineChars="200"/>
              <w:jc w:val="both"/>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本项目周边关系见</w:t>
            </w:r>
            <w:r>
              <w:rPr>
                <w:rFonts w:hint="eastAsia" w:cs="Times New Roman"/>
                <w:color w:val="auto"/>
                <w:sz w:val="24"/>
                <w:highlight w:val="none"/>
                <w:lang w:val="en-US" w:eastAsia="zh-CN"/>
              </w:rPr>
              <w:t>下表及</w:t>
            </w:r>
            <w:r>
              <w:rPr>
                <w:rFonts w:hint="default" w:ascii="Times New Roman" w:hAnsi="Times New Roman" w:eastAsia="宋体" w:cs="Times New Roman"/>
                <w:color w:val="auto"/>
                <w:sz w:val="24"/>
                <w:highlight w:val="none"/>
              </w:rPr>
              <w:t>附图2</w:t>
            </w:r>
            <w:r>
              <w:rPr>
                <w:rFonts w:hint="default" w:ascii="Times New Roman" w:hAnsi="Times New Roman" w:eastAsia="宋体" w:cs="Times New Roman"/>
                <w:color w:val="auto"/>
                <w:sz w:val="24"/>
                <w:highlight w:val="none"/>
                <w:lang w:eastAsia="zh-CN"/>
              </w:rPr>
              <w:t>。</w:t>
            </w:r>
          </w:p>
          <w:p w14:paraId="7BB2EB25">
            <w:pPr>
              <w:numPr>
                <w:ilvl w:val="0"/>
                <w:numId w:val="22"/>
              </w:numPr>
              <w:adjustRightInd w:val="0"/>
              <w:snapToGrid w:val="0"/>
              <w:spacing w:line="360" w:lineRule="auto"/>
              <w:jc w:val="center"/>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rPr>
              <w:t>本项目周边关系</w:t>
            </w:r>
            <w:r>
              <w:rPr>
                <w:rFonts w:hint="eastAsia" w:cs="Times New Roman"/>
                <w:b/>
                <w:bCs/>
                <w:color w:val="auto"/>
                <w:sz w:val="24"/>
                <w:highlight w:val="none"/>
                <w:lang w:val="en-US" w:eastAsia="zh-CN"/>
              </w:rPr>
              <w:t>表</w:t>
            </w:r>
          </w:p>
          <w:tbl>
            <w:tblPr>
              <w:tblStyle w:val="24"/>
              <w:tblW w:w="7945"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440"/>
              <w:gridCol w:w="1702"/>
              <w:gridCol w:w="2206"/>
              <w:gridCol w:w="1589"/>
            </w:tblGrid>
            <w:tr w14:paraId="2A12C6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008" w:type="dxa"/>
                  <w:tcBorders>
                    <w:tl2br w:val="nil"/>
                    <w:tr2bl w:val="nil"/>
                  </w:tcBorders>
                  <w:vAlign w:val="center"/>
                </w:tcPr>
                <w:p w14:paraId="19BA03A8">
                  <w:pPr>
                    <w:adjustRightInd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序号</w:t>
                  </w:r>
                </w:p>
              </w:tc>
              <w:tc>
                <w:tcPr>
                  <w:tcW w:w="1440" w:type="dxa"/>
                  <w:tcBorders>
                    <w:tl2br w:val="nil"/>
                    <w:tr2bl w:val="nil"/>
                  </w:tcBorders>
                  <w:vAlign w:val="center"/>
                </w:tcPr>
                <w:p w14:paraId="180DA12C">
                  <w:pPr>
                    <w:adjustRightInd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方位</w:t>
                  </w:r>
                </w:p>
              </w:tc>
              <w:tc>
                <w:tcPr>
                  <w:tcW w:w="1702" w:type="dxa"/>
                  <w:tcBorders>
                    <w:tl2br w:val="nil"/>
                    <w:tr2bl w:val="nil"/>
                  </w:tcBorders>
                  <w:vAlign w:val="center"/>
                </w:tcPr>
                <w:p w14:paraId="6A815715">
                  <w:pPr>
                    <w:adjustRightInd w:val="0"/>
                    <w:spacing w:line="240" w:lineRule="auto"/>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距离，米</w:t>
                  </w:r>
                </w:p>
              </w:tc>
              <w:tc>
                <w:tcPr>
                  <w:tcW w:w="2206" w:type="dxa"/>
                  <w:tcBorders>
                    <w:tl2br w:val="nil"/>
                    <w:tr2bl w:val="nil"/>
                  </w:tcBorders>
                  <w:vAlign w:val="center"/>
                </w:tcPr>
                <w:p w14:paraId="2E4AD3A7">
                  <w:pPr>
                    <w:adjustRightInd w:val="0"/>
                    <w:spacing w:line="240" w:lineRule="auto"/>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名称</w:t>
                  </w:r>
                </w:p>
              </w:tc>
              <w:tc>
                <w:tcPr>
                  <w:tcW w:w="1589" w:type="dxa"/>
                  <w:tcBorders>
                    <w:tl2br w:val="nil"/>
                    <w:tr2bl w:val="nil"/>
                  </w:tcBorders>
                  <w:vAlign w:val="center"/>
                </w:tcPr>
                <w:p w14:paraId="1B3A6297">
                  <w:pPr>
                    <w:adjustRightInd w:val="0"/>
                    <w:spacing w:line="240" w:lineRule="auto"/>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备注</w:t>
                  </w:r>
                </w:p>
              </w:tc>
            </w:tr>
            <w:tr w14:paraId="59D261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008" w:type="dxa"/>
                  <w:tcBorders>
                    <w:tl2br w:val="nil"/>
                    <w:tr2bl w:val="nil"/>
                  </w:tcBorders>
                  <w:vAlign w:val="center"/>
                </w:tcPr>
                <w:p w14:paraId="41BBCFE8">
                  <w:pPr>
                    <w:adjustRightIn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c>
                <w:tcPr>
                  <w:tcW w:w="1440" w:type="dxa"/>
                  <w:tcBorders>
                    <w:tl2br w:val="nil"/>
                    <w:tr2bl w:val="nil"/>
                  </w:tcBorders>
                  <w:vAlign w:val="center"/>
                </w:tcPr>
                <w:p w14:paraId="774D6BBD">
                  <w:pPr>
                    <w:adjustRightIn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w:t>
                  </w:r>
                </w:p>
              </w:tc>
              <w:tc>
                <w:tcPr>
                  <w:tcW w:w="1702" w:type="dxa"/>
                  <w:tcBorders>
                    <w:tl2br w:val="nil"/>
                    <w:tr2bl w:val="nil"/>
                  </w:tcBorders>
                  <w:vAlign w:val="center"/>
                </w:tcPr>
                <w:p w14:paraId="11B7BC6E">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10</w:t>
                  </w:r>
                </w:p>
              </w:tc>
              <w:tc>
                <w:tcPr>
                  <w:tcW w:w="2206" w:type="dxa"/>
                  <w:tcBorders>
                    <w:tl2br w:val="nil"/>
                    <w:tr2bl w:val="nil"/>
                  </w:tcBorders>
                  <w:vAlign w:val="center"/>
                </w:tcPr>
                <w:p w14:paraId="470C1306">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本园区24号楼</w:t>
                  </w:r>
                </w:p>
              </w:tc>
              <w:tc>
                <w:tcPr>
                  <w:tcW w:w="1589" w:type="dxa"/>
                  <w:vMerge w:val="restart"/>
                  <w:tcBorders>
                    <w:tl2br w:val="nil"/>
                    <w:tr2bl w:val="nil"/>
                  </w:tcBorders>
                  <w:vAlign w:val="center"/>
                </w:tcPr>
                <w:p w14:paraId="544EA7B3">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园区内建筑</w:t>
                  </w:r>
                </w:p>
              </w:tc>
            </w:tr>
            <w:tr w14:paraId="33A449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008" w:type="dxa"/>
                  <w:tcBorders>
                    <w:tl2br w:val="nil"/>
                    <w:tr2bl w:val="nil"/>
                  </w:tcBorders>
                  <w:vAlign w:val="center"/>
                </w:tcPr>
                <w:p w14:paraId="4CD556B4">
                  <w:pPr>
                    <w:adjustRightIn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w:t>
                  </w:r>
                </w:p>
              </w:tc>
              <w:tc>
                <w:tcPr>
                  <w:tcW w:w="1440" w:type="dxa"/>
                  <w:tcBorders>
                    <w:tl2br w:val="nil"/>
                    <w:tr2bl w:val="nil"/>
                  </w:tcBorders>
                  <w:vAlign w:val="center"/>
                </w:tcPr>
                <w:p w14:paraId="4D2BE77A">
                  <w:pPr>
                    <w:adjustRightIn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S</w:t>
                  </w:r>
                </w:p>
              </w:tc>
              <w:tc>
                <w:tcPr>
                  <w:tcW w:w="1702" w:type="dxa"/>
                  <w:tcBorders>
                    <w:tl2br w:val="nil"/>
                    <w:tr2bl w:val="nil"/>
                  </w:tcBorders>
                  <w:vAlign w:val="center"/>
                </w:tcPr>
                <w:p w14:paraId="6F8BBC99">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42</w:t>
                  </w:r>
                </w:p>
              </w:tc>
              <w:tc>
                <w:tcPr>
                  <w:tcW w:w="2206" w:type="dxa"/>
                  <w:tcBorders>
                    <w:tl2br w:val="nil"/>
                    <w:tr2bl w:val="nil"/>
                  </w:tcBorders>
                  <w:vAlign w:val="center"/>
                </w:tcPr>
                <w:p w14:paraId="4959753E">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本园区29</w:t>
                  </w:r>
                  <w:r>
                    <w:rPr>
                      <w:rFonts w:hint="default" w:cs="Times New Roman"/>
                      <w:color w:val="auto"/>
                      <w:sz w:val="21"/>
                      <w:szCs w:val="21"/>
                      <w:highlight w:val="none"/>
                      <w:vertAlign w:val="baseline"/>
                      <w:lang w:val="en-US" w:eastAsia="zh-CN"/>
                    </w:rPr>
                    <w:t>号楼</w:t>
                  </w:r>
                </w:p>
              </w:tc>
              <w:tc>
                <w:tcPr>
                  <w:tcW w:w="1589" w:type="dxa"/>
                  <w:vMerge w:val="continue"/>
                  <w:tcBorders>
                    <w:tl2br w:val="nil"/>
                    <w:tr2bl w:val="nil"/>
                  </w:tcBorders>
                  <w:vAlign w:val="center"/>
                </w:tcPr>
                <w:p w14:paraId="6E683951">
                  <w:pPr>
                    <w:adjustRightInd w:val="0"/>
                    <w:spacing w:line="240" w:lineRule="auto"/>
                    <w:jc w:val="center"/>
                    <w:rPr>
                      <w:rFonts w:hint="default" w:cs="Times New Roman"/>
                      <w:color w:val="auto"/>
                      <w:sz w:val="21"/>
                      <w:szCs w:val="21"/>
                      <w:highlight w:val="none"/>
                      <w:vertAlign w:val="baseline"/>
                      <w:lang w:val="en-US" w:eastAsia="zh-CN"/>
                    </w:rPr>
                  </w:pPr>
                </w:p>
              </w:tc>
            </w:tr>
            <w:tr w14:paraId="259720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008" w:type="dxa"/>
                  <w:tcBorders>
                    <w:tl2br w:val="nil"/>
                    <w:tr2bl w:val="nil"/>
                  </w:tcBorders>
                  <w:vAlign w:val="center"/>
                </w:tcPr>
                <w:p w14:paraId="7F135681">
                  <w:pPr>
                    <w:adjustRightIn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w:t>
                  </w:r>
                </w:p>
              </w:tc>
              <w:tc>
                <w:tcPr>
                  <w:tcW w:w="1440" w:type="dxa"/>
                  <w:tcBorders>
                    <w:tl2br w:val="nil"/>
                    <w:tr2bl w:val="nil"/>
                  </w:tcBorders>
                  <w:shd w:val="clear" w:color="auto" w:fill="auto"/>
                  <w:vAlign w:val="center"/>
                </w:tcPr>
                <w:p w14:paraId="7372DB97">
                  <w:pPr>
                    <w:adjustRightInd w:val="0"/>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W</w:t>
                  </w:r>
                </w:p>
              </w:tc>
              <w:tc>
                <w:tcPr>
                  <w:tcW w:w="1702" w:type="dxa"/>
                  <w:tcBorders>
                    <w:tl2br w:val="nil"/>
                    <w:tr2bl w:val="nil"/>
                  </w:tcBorders>
                  <w:shd w:val="clear" w:color="auto" w:fill="auto"/>
                  <w:vAlign w:val="center"/>
                </w:tcPr>
                <w:p w14:paraId="38E43D28">
                  <w:pPr>
                    <w:adjustRightInd w:val="0"/>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6</w:t>
                  </w:r>
                </w:p>
              </w:tc>
              <w:tc>
                <w:tcPr>
                  <w:tcW w:w="2206" w:type="dxa"/>
                  <w:tcBorders>
                    <w:tl2br w:val="nil"/>
                    <w:tr2bl w:val="nil"/>
                  </w:tcBorders>
                  <w:shd w:val="clear" w:color="auto" w:fill="auto"/>
                  <w:vAlign w:val="center"/>
                </w:tcPr>
                <w:p w14:paraId="0082A4C6">
                  <w:pPr>
                    <w:adjustRightInd w:val="0"/>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本园区42</w:t>
                  </w:r>
                  <w:r>
                    <w:rPr>
                      <w:rFonts w:hint="default" w:cs="Times New Roman"/>
                      <w:color w:val="auto"/>
                      <w:sz w:val="21"/>
                      <w:szCs w:val="21"/>
                      <w:highlight w:val="none"/>
                      <w:vertAlign w:val="baseline"/>
                      <w:lang w:val="en-US" w:eastAsia="zh-CN"/>
                    </w:rPr>
                    <w:t>号楼</w:t>
                  </w:r>
                </w:p>
              </w:tc>
              <w:tc>
                <w:tcPr>
                  <w:tcW w:w="1589" w:type="dxa"/>
                  <w:vMerge w:val="continue"/>
                  <w:tcBorders>
                    <w:tl2br w:val="nil"/>
                    <w:tr2bl w:val="nil"/>
                  </w:tcBorders>
                  <w:vAlign w:val="center"/>
                </w:tcPr>
                <w:p w14:paraId="52396375">
                  <w:pPr>
                    <w:adjustRightInd w:val="0"/>
                    <w:spacing w:line="240" w:lineRule="auto"/>
                    <w:jc w:val="center"/>
                    <w:rPr>
                      <w:rFonts w:hint="default" w:cs="Times New Roman"/>
                      <w:color w:val="auto"/>
                      <w:sz w:val="21"/>
                      <w:szCs w:val="21"/>
                      <w:highlight w:val="none"/>
                      <w:vertAlign w:val="baseline"/>
                      <w:lang w:val="en-US" w:eastAsia="zh-CN"/>
                    </w:rPr>
                  </w:pPr>
                </w:p>
              </w:tc>
            </w:tr>
            <w:tr w14:paraId="432AC1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008" w:type="dxa"/>
                  <w:tcBorders>
                    <w:tl2br w:val="nil"/>
                    <w:tr2bl w:val="nil"/>
                  </w:tcBorders>
                  <w:vAlign w:val="center"/>
                </w:tcPr>
                <w:p w14:paraId="074BBCDE">
                  <w:pPr>
                    <w:adjustRightIn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w:t>
                  </w:r>
                </w:p>
              </w:tc>
              <w:tc>
                <w:tcPr>
                  <w:tcW w:w="1440" w:type="dxa"/>
                  <w:tcBorders>
                    <w:tl2br w:val="nil"/>
                    <w:tr2bl w:val="nil"/>
                  </w:tcBorders>
                  <w:vAlign w:val="center"/>
                </w:tcPr>
                <w:p w14:paraId="736AB9A5">
                  <w:pPr>
                    <w:adjustRightIn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SW</w:t>
                  </w:r>
                </w:p>
              </w:tc>
              <w:tc>
                <w:tcPr>
                  <w:tcW w:w="1702" w:type="dxa"/>
                  <w:tcBorders>
                    <w:tl2br w:val="nil"/>
                    <w:tr2bl w:val="nil"/>
                  </w:tcBorders>
                  <w:vAlign w:val="center"/>
                </w:tcPr>
                <w:p w14:paraId="3C51E352">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43</w:t>
                  </w:r>
                </w:p>
              </w:tc>
              <w:tc>
                <w:tcPr>
                  <w:tcW w:w="2206" w:type="dxa"/>
                  <w:tcBorders>
                    <w:tl2br w:val="nil"/>
                    <w:tr2bl w:val="nil"/>
                  </w:tcBorders>
                  <w:vAlign w:val="center"/>
                </w:tcPr>
                <w:p w14:paraId="5E5EF618">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本园区27</w:t>
                  </w:r>
                  <w:r>
                    <w:rPr>
                      <w:rFonts w:hint="default" w:cs="Times New Roman"/>
                      <w:color w:val="auto"/>
                      <w:sz w:val="21"/>
                      <w:szCs w:val="21"/>
                      <w:highlight w:val="none"/>
                      <w:vertAlign w:val="baseline"/>
                      <w:lang w:val="en-US" w:eastAsia="zh-CN"/>
                    </w:rPr>
                    <w:t>号楼</w:t>
                  </w:r>
                </w:p>
              </w:tc>
              <w:tc>
                <w:tcPr>
                  <w:tcW w:w="1589" w:type="dxa"/>
                  <w:vMerge w:val="continue"/>
                  <w:tcBorders>
                    <w:tl2br w:val="nil"/>
                    <w:tr2bl w:val="nil"/>
                  </w:tcBorders>
                  <w:vAlign w:val="center"/>
                </w:tcPr>
                <w:p w14:paraId="6CA6D0C9">
                  <w:pPr>
                    <w:adjustRightInd w:val="0"/>
                    <w:spacing w:line="240" w:lineRule="auto"/>
                    <w:jc w:val="center"/>
                    <w:rPr>
                      <w:rFonts w:hint="default" w:cs="Times New Roman"/>
                      <w:color w:val="auto"/>
                      <w:sz w:val="21"/>
                      <w:szCs w:val="21"/>
                      <w:highlight w:val="none"/>
                      <w:vertAlign w:val="baseline"/>
                      <w:lang w:val="en-US" w:eastAsia="zh-CN"/>
                    </w:rPr>
                  </w:pPr>
                </w:p>
              </w:tc>
            </w:tr>
            <w:tr w14:paraId="15841A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008" w:type="dxa"/>
                  <w:tcBorders>
                    <w:tl2br w:val="nil"/>
                    <w:tr2bl w:val="nil"/>
                  </w:tcBorders>
                  <w:shd w:val="clear" w:color="auto" w:fill="auto"/>
                  <w:vAlign w:val="center"/>
                </w:tcPr>
                <w:p w14:paraId="11EC3510">
                  <w:pPr>
                    <w:adjustRightInd w:val="0"/>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5</w:t>
                  </w:r>
                </w:p>
              </w:tc>
              <w:tc>
                <w:tcPr>
                  <w:tcW w:w="1440" w:type="dxa"/>
                  <w:tcBorders>
                    <w:tl2br w:val="nil"/>
                    <w:tr2bl w:val="nil"/>
                  </w:tcBorders>
                  <w:vAlign w:val="center"/>
                </w:tcPr>
                <w:p w14:paraId="34192FCA">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SE</w:t>
                  </w:r>
                </w:p>
              </w:tc>
              <w:tc>
                <w:tcPr>
                  <w:tcW w:w="1702" w:type="dxa"/>
                  <w:tcBorders>
                    <w:tl2br w:val="nil"/>
                    <w:tr2bl w:val="nil"/>
                  </w:tcBorders>
                  <w:vAlign w:val="center"/>
                </w:tcPr>
                <w:p w14:paraId="263BEE4D">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56</w:t>
                  </w:r>
                </w:p>
              </w:tc>
              <w:tc>
                <w:tcPr>
                  <w:tcW w:w="2206" w:type="dxa"/>
                  <w:tcBorders>
                    <w:tl2br w:val="nil"/>
                    <w:tr2bl w:val="nil"/>
                  </w:tcBorders>
                  <w:vAlign w:val="center"/>
                </w:tcPr>
                <w:p w14:paraId="3F754D24">
                  <w:pPr>
                    <w:adjustRightInd w:val="0"/>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本园区33</w:t>
                  </w:r>
                  <w:r>
                    <w:rPr>
                      <w:rFonts w:hint="default" w:cs="Times New Roman"/>
                      <w:color w:val="auto"/>
                      <w:sz w:val="21"/>
                      <w:szCs w:val="21"/>
                      <w:highlight w:val="none"/>
                      <w:vertAlign w:val="baseline"/>
                      <w:lang w:val="en-US" w:eastAsia="zh-CN"/>
                    </w:rPr>
                    <w:t>号楼</w:t>
                  </w:r>
                </w:p>
              </w:tc>
              <w:tc>
                <w:tcPr>
                  <w:tcW w:w="1589" w:type="dxa"/>
                  <w:vMerge w:val="continue"/>
                  <w:tcBorders>
                    <w:tl2br w:val="nil"/>
                    <w:tr2bl w:val="nil"/>
                  </w:tcBorders>
                  <w:vAlign w:val="center"/>
                </w:tcPr>
                <w:p w14:paraId="15BF8061">
                  <w:pPr>
                    <w:adjustRightInd w:val="0"/>
                    <w:spacing w:line="240" w:lineRule="auto"/>
                    <w:jc w:val="center"/>
                    <w:rPr>
                      <w:rFonts w:hint="default" w:cs="Times New Roman"/>
                      <w:color w:val="auto"/>
                      <w:sz w:val="21"/>
                      <w:szCs w:val="21"/>
                      <w:highlight w:val="none"/>
                      <w:vertAlign w:val="baseline"/>
                      <w:lang w:val="en-US" w:eastAsia="zh-CN"/>
                    </w:rPr>
                  </w:pPr>
                </w:p>
              </w:tc>
            </w:tr>
            <w:tr w14:paraId="1C8B7A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008" w:type="dxa"/>
                  <w:tcBorders>
                    <w:tl2br w:val="nil"/>
                    <w:tr2bl w:val="nil"/>
                  </w:tcBorders>
                  <w:shd w:val="clear" w:color="auto" w:fill="auto"/>
                  <w:vAlign w:val="center"/>
                </w:tcPr>
                <w:p w14:paraId="7BAA7747">
                  <w:pPr>
                    <w:adjustRightInd w:val="0"/>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6</w:t>
                  </w:r>
                </w:p>
              </w:tc>
              <w:tc>
                <w:tcPr>
                  <w:tcW w:w="1440" w:type="dxa"/>
                  <w:tcBorders>
                    <w:tl2br w:val="nil"/>
                    <w:tr2bl w:val="nil"/>
                  </w:tcBorders>
                  <w:vAlign w:val="center"/>
                </w:tcPr>
                <w:p w14:paraId="1ABA74EC">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w:t>
                  </w:r>
                </w:p>
              </w:tc>
              <w:tc>
                <w:tcPr>
                  <w:tcW w:w="1702" w:type="dxa"/>
                  <w:tcBorders>
                    <w:tl2br w:val="nil"/>
                    <w:tr2bl w:val="nil"/>
                  </w:tcBorders>
                  <w:vAlign w:val="center"/>
                </w:tcPr>
                <w:p w14:paraId="3C5F652D">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71</w:t>
                  </w:r>
                </w:p>
              </w:tc>
              <w:tc>
                <w:tcPr>
                  <w:tcW w:w="2206" w:type="dxa"/>
                  <w:tcBorders>
                    <w:tl2br w:val="nil"/>
                    <w:tr2bl w:val="nil"/>
                  </w:tcBorders>
                  <w:vAlign w:val="center"/>
                </w:tcPr>
                <w:p w14:paraId="6F002292">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4"/>
                      <w:highlight w:val="none"/>
                      <w:lang w:val="en-US" w:eastAsia="zh-CN"/>
                    </w:rPr>
                    <w:t>环科中路</w:t>
                  </w:r>
                </w:p>
              </w:tc>
              <w:tc>
                <w:tcPr>
                  <w:tcW w:w="1589" w:type="dxa"/>
                  <w:tcBorders>
                    <w:tl2br w:val="nil"/>
                    <w:tr2bl w:val="nil"/>
                  </w:tcBorders>
                  <w:vAlign w:val="center"/>
                </w:tcPr>
                <w:p w14:paraId="3575F7C4">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支路</w:t>
                  </w:r>
                </w:p>
              </w:tc>
            </w:tr>
            <w:tr w14:paraId="5A8F8C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008" w:type="dxa"/>
                  <w:tcBorders>
                    <w:tl2br w:val="nil"/>
                    <w:tr2bl w:val="nil"/>
                  </w:tcBorders>
                  <w:shd w:val="clear" w:color="auto" w:fill="auto"/>
                  <w:vAlign w:val="center"/>
                </w:tcPr>
                <w:p w14:paraId="1CA603A6">
                  <w:pPr>
                    <w:adjustRightInd w:val="0"/>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7</w:t>
                  </w:r>
                </w:p>
              </w:tc>
              <w:tc>
                <w:tcPr>
                  <w:tcW w:w="1440" w:type="dxa"/>
                  <w:tcBorders>
                    <w:tl2br w:val="nil"/>
                    <w:tr2bl w:val="nil"/>
                  </w:tcBorders>
                  <w:vAlign w:val="center"/>
                </w:tcPr>
                <w:p w14:paraId="6169DF2E">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S</w:t>
                  </w:r>
                </w:p>
              </w:tc>
              <w:tc>
                <w:tcPr>
                  <w:tcW w:w="1702" w:type="dxa"/>
                  <w:tcBorders>
                    <w:tl2br w:val="nil"/>
                    <w:tr2bl w:val="nil"/>
                  </w:tcBorders>
                  <w:vAlign w:val="center"/>
                </w:tcPr>
                <w:p w14:paraId="54838DA5">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158</w:t>
                  </w:r>
                </w:p>
              </w:tc>
              <w:tc>
                <w:tcPr>
                  <w:tcW w:w="2206" w:type="dxa"/>
                  <w:tcBorders>
                    <w:tl2br w:val="nil"/>
                    <w:tr2bl w:val="nil"/>
                  </w:tcBorders>
                  <w:vAlign w:val="center"/>
                </w:tcPr>
                <w:p w14:paraId="3901652D">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4"/>
                      <w:highlight w:val="none"/>
                      <w:lang w:val="en-US" w:eastAsia="zh-CN"/>
                    </w:rPr>
                    <w:t>景盛南四街</w:t>
                  </w:r>
                </w:p>
              </w:tc>
              <w:tc>
                <w:tcPr>
                  <w:tcW w:w="1589" w:type="dxa"/>
                  <w:tcBorders>
                    <w:tl2br w:val="nil"/>
                    <w:tr2bl w:val="nil"/>
                  </w:tcBorders>
                  <w:vAlign w:val="center"/>
                </w:tcPr>
                <w:p w14:paraId="4544A213">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支路</w:t>
                  </w:r>
                </w:p>
              </w:tc>
            </w:tr>
          </w:tbl>
          <w:p w14:paraId="7997DDF4">
            <w:pPr>
              <w:numPr>
                <w:ilvl w:val="0"/>
                <w:numId w:val="0"/>
              </w:numPr>
              <w:adjustRightInd w:val="0"/>
              <w:spacing w:line="360" w:lineRule="auto"/>
              <w:jc w:val="both"/>
              <w:rPr>
                <w:rFonts w:hint="default" w:ascii="Times New Roman" w:hAnsi="Times New Roman" w:eastAsia="宋体" w:cs="Times New Roman"/>
                <w:color w:val="auto"/>
                <w:sz w:val="24"/>
                <w:highlight w:val="none"/>
              </w:rPr>
            </w:pPr>
          </w:p>
        </w:tc>
      </w:tr>
      <w:tr w14:paraId="1EF500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18" w:type="dxa"/>
            <w:vAlign w:val="center"/>
          </w:tcPr>
          <w:p w14:paraId="7C66032D">
            <w:pPr>
              <w:pStyle w:val="20"/>
              <w:adjustRightInd w:val="0"/>
              <w:snapToGrid w:val="0"/>
              <w:spacing w:before="0" w:beforeAutospacing="0" w:after="0" w:afterAutospacing="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工艺流程和产排污环节</w:t>
            </w:r>
          </w:p>
        </w:tc>
        <w:tc>
          <w:tcPr>
            <w:tcW w:w="8189" w:type="dxa"/>
          </w:tcPr>
          <w:p w14:paraId="4E71AAD0">
            <w:pPr>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一、</w:t>
            </w:r>
            <w:r>
              <w:rPr>
                <w:rFonts w:hint="default" w:ascii="Times New Roman" w:hAnsi="Times New Roman" w:eastAsia="宋体" w:cs="Times New Roman"/>
                <w:b/>
                <w:bCs/>
                <w:color w:val="auto"/>
                <w:sz w:val="24"/>
                <w:highlight w:val="none"/>
              </w:rPr>
              <w:t>施工期工程分析</w:t>
            </w:r>
          </w:p>
          <w:p w14:paraId="40867B67">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利用已建成房屋作为项目场所，施工期仅为厂房内简单装修和设备安装。主要污染物为施工噪声、施工人员生活污水，同时产生少量施工扬尘、施工固体废物（装修垃圾和生活垃圾）。随着施工期的结束，对环境的影响也随之消失。</w:t>
            </w:r>
          </w:p>
          <w:p w14:paraId="5A0DC028">
            <w:pPr>
              <w:numPr>
                <w:ilvl w:val="0"/>
                <w:numId w:val="25"/>
              </w:numPr>
              <w:adjustRightInd w:val="0"/>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drawing>
                <wp:anchor distT="0" distB="0" distL="114300" distR="114300" simplePos="0" relativeHeight="251667456" behindDoc="0" locked="0" layoutInCell="1" allowOverlap="1">
                  <wp:simplePos x="0" y="0"/>
                  <wp:positionH relativeFrom="column">
                    <wp:posOffset>304800</wp:posOffset>
                  </wp:positionH>
                  <wp:positionV relativeFrom="paragraph">
                    <wp:posOffset>5715</wp:posOffset>
                  </wp:positionV>
                  <wp:extent cx="4314825" cy="1774825"/>
                  <wp:effectExtent l="0" t="0" r="0" b="0"/>
                  <wp:wrapTopAndBottom/>
                  <wp:docPr id="150" name="ECB019B1-382A-4266-B25C-5B523AA43C14-1" descr="C:/Users/Administrator/AppData/Local/Temp/wps.sOBRP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ECB019B1-382A-4266-B25C-5B523AA43C14-1" descr="C:/Users/Administrator/AppData/Local/Temp/wps.sOBRPnwps"/>
                          <pic:cNvPicPr>
                            <a:picLocks noChangeAspect="1"/>
                          </pic:cNvPicPr>
                        </pic:nvPicPr>
                        <pic:blipFill>
                          <a:blip r:embed="rId16"/>
                          <a:srcRect t="10967" b="5363"/>
                          <a:stretch>
                            <a:fillRect/>
                          </a:stretch>
                        </pic:blipFill>
                        <pic:spPr>
                          <a:xfrm>
                            <a:off x="0" y="0"/>
                            <a:ext cx="4314825" cy="1774825"/>
                          </a:xfrm>
                          <a:prstGeom prst="rect">
                            <a:avLst/>
                          </a:prstGeom>
                        </pic:spPr>
                      </pic:pic>
                    </a:graphicData>
                  </a:graphic>
                </wp:anchor>
              </w:drawing>
            </w:r>
            <w:r>
              <w:rPr>
                <w:rFonts w:hint="default" w:ascii="Times New Roman" w:hAnsi="Times New Roman" w:eastAsia="宋体" w:cs="Times New Roman"/>
                <w:b/>
                <w:bCs/>
                <w:color w:val="auto"/>
                <w:sz w:val="24"/>
                <w:szCs w:val="32"/>
                <w:highlight w:val="none"/>
              </w:rPr>
              <w:t xml:space="preserve"> 项目施工期流程及产污节点图</w:t>
            </w:r>
          </w:p>
          <w:p w14:paraId="4001FB6E">
            <w:pPr>
              <w:adjustRightInd w:val="0"/>
              <w:snapToGrid w:val="0"/>
              <w:spacing w:line="360" w:lineRule="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二、运营期工程分析</w:t>
            </w:r>
          </w:p>
          <w:p w14:paraId="31DB7F1F">
            <w:pPr>
              <w:spacing w:line="360" w:lineRule="auto"/>
              <w:ind w:firstLine="480" w:firstLineChars="200"/>
              <w:jc w:val="left"/>
              <w:rPr>
                <w:b/>
                <w:bCs/>
                <w:color w:val="auto"/>
                <w:szCs w:val="21"/>
                <w:highlight w:val="none"/>
              </w:rPr>
            </w:pPr>
            <w:r>
              <w:rPr>
                <w:rFonts w:hint="eastAsia" w:cs="Times New Roman"/>
                <w:b w:val="0"/>
                <w:bCs/>
                <w:color w:val="auto"/>
                <w:sz w:val="24"/>
                <w:highlight w:val="none"/>
                <w:lang w:val="en-US" w:eastAsia="zh-CN"/>
              </w:rPr>
              <w:t>本项目环境检测</w:t>
            </w:r>
            <w:r>
              <w:rPr>
                <w:rFonts w:hint="eastAsia" w:ascii="Times New Roman" w:hAnsi="Times New Roman" w:eastAsia="宋体" w:cs="Times New Roman"/>
                <w:b w:val="0"/>
                <w:bCs/>
                <w:color w:val="auto"/>
                <w:sz w:val="24"/>
                <w:highlight w:val="none"/>
                <w:lang w:val="en-US" w:eastAsia="zh-CN"/>
              </w:rPr>
              <w:t>分为现场检测和实验室检测，具体的工艺流程如下：</w:t>
            </w:r>
          </w:p>
          <w:p w14:paraId="69E7E8E2">
            <w:pPr>
              <w:numPr>
                <w:ilvl w:val="0"/>
                <w:numId w:val="26"/>
              </w:numPr>
              <w:spacing w:line="360" w:lineRule="auto"/>
              <w:ind w:firstLine="482" w:firstLineChars="200"/>
              <w:jc w:val="left"/>
              <w:rPr>
                <w:rFonts w:hint="eastAsia" w:cs="Times New Roman"/>
                <w:b/>
                <w:bCs w:val="0"/>
                <w:color w:val="auto"/>
                <w:sz w:val="24"/>
                <w:highlight w:val="none"/>
                <w:lang w:val="en-US" w:eastAsia="zh-CN"/>
              </w:rPr>
            </w:pPr>
            <w:r>
              <w:rPr>
                <w:rFonts w:hint="eastAsia" w:cs="Times New Roman"/>
                <w:b/>
                <w:bCs w:val="0"/>
                <w:color w:val="auto"/>
                <w:sz w:val="24"/>
                <w:highlight w:val="none"/>
                <w:lang w:val="en-US" w:eastAsia="zh-CN"/>
              </w:rPr>
              <w:t>现场检测</w:t>
            </w:r>
          </w:p>
          <w:p w14:paraId="7C89586B">
            <w:pPr>
              <w:numPr>
                <w:ilvl w:val="0"/>
                <w:numId w:val="0"/>
              </w:numPr>
              <w:adjustRightInd w:val="0"/>
              <w:snapToGrid w:val="0"/>
              <w:spacing w:line="360" w:lineRule="auto"/>
              <w:ind w:firstLine="480" w:firstLineChars="200"/>
              <w:rPr>
                <w:rFonts w:hint="default"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样品：此类样品主要为仪器直读参数的样品，主要有水质的溶解氧、电导率、pH值、浊度、游离氯、余氯、总氯、透明度等，</w:t>
            </w:r>
            <w:r>
              <w:rPr>
                <w:rFonts w:hint="eastAsia" w:cs="Times New Roman"/>
                <w:b w:val="0"/>
                <w:bCs/>
                <w:color w:val="auto"/>
                <w:sz w:val="24"/>
                <w:highlight w:val="none"/>
                <w:lang w:val="en-US" w:eastAsia="zh-CN"/>
              </w:rPr>
              <w:t>空气和废气的二氧化硫、氮氧化物、林格曼黑度等，</w:t>
            </w:r>
            <w:r>
              <w:rPr>
                <w:rFonts w:hint="eastAsia" w:ascii="Times New Roman" w:hAnsi="Times New Roman" w:eastAsia="宋体" w:cs="Times New Roman"/>
                <w:b w:val="0"/>
                <w:bCs/>
                <w:color w:val="auto"/>
                <w:sz w:val="24"/>
                <w:highlight w:val="none"/>
                <w:lang w:val="en-US" w:eastAsia="zh-CN"/>
              </w:rPr>
              <w:t>土壤的氧化还原电位，噪声等内容。</w:t>
            </w:r>
          </w:p>
          <w:p w14:paraId="09772001">
            <w:pPr>
              <w:numPr>
                <w:ilvl w:val="0"/>
                <w:numId w:val="0"/>
              </w:numPr>
              <w:adjustRightInd w:val="0"/>
              <w:snapToGrid w:val="0"/>
              <w:spacing w:line="360" w:lineRule="auto"/>
              <w:ind w:firstLine="480" w:firstLineChars="200"/>
              <w:rPr>
                <w:rFonts w:hint="default"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检测：检测方式主要为仪器直读，仪器通过自校，然后直接测量样品，显示读数结果。</w:t>
            </w:r>
          </w:p>
          <w:p w14:paraId="0EE156B8">
            <w:pPr>
              <w:numPr>
                <w:ilvl w:val="0"/>
                <w:numId w:val="0"/>
              </w:numPr>
              <w:adjustRightInd w:val="0"/>
              <w:snapToGrid w:val="0"/>
              <w:spacing w:line="360" w:lineRule="auto"/>
              <w:ind w:firstLine="482" w:firstLineChars="200"/>
              <w:rPr>
                <w:rFonts w:hint="eastAsia"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该</w:t>
            </w:r>
            <w:r>
              <w:rPr>
                <w:rFonts w:hint="eastAsia" w:ascii="Times New Roman" w:hAnsi="Times New Roman" w:eastAsia="宋体" w:cs="Times New Roman"/>
                <w:b/>
                <w:bCs w:val="0"/>
                <w:color w:val="auto"/>
                <w:sz w:val="24"/>
                <w:highlight w:val="none"/>
                <w:lang w:val="en-US" w:eastAsia="zh-CN"/>
              </w:rPr>
              <w:t>过程不产生污染物。</w:t>
            </w:r>
          </w:p>
          <w:p w14:paraId="347F153A">
            <w:pPr>
              <w:numPr>
                <w:ilvl w:val="0"/>
                <w:numId w:val="26"/>
              </w:numPr>
              <w:adjustRightInd w:val="0"/>
              <w:snapToGrid w:val="0"/>
              <w:spacing w:line="360" w:lineRule="auto"/>
              <w:ind w:left="0" w:leftChars="0" w:firstLine="482" w:firstLineChars="200"/>
              <w:rPr>
                <w:rFonts w:hint="eastAsia" w:ascii="Times New Roman" w:hAnsi="Times New Roman" w:eastAsia="宋体" w:cs="Times New Roman"/>
                <w:b/>
                <w:bCs w:val="0"/>
                <w:color w:val="auto"/>
                <w:sz w:val="24"/>
                <w:highlight w:val="none"/>
                <w:lang w:val="en-US" w:eastAsia="zh-CN"/>
              </w:rPr>
            </w:pPr>
            <w:r>
              <w:rPr>
                <w:rFonts w:hint="eastAsia" w:ascii="Times New Roman" w:hAnsi="Times New Roman" w:eastAsia="宋体" w:cs="Times New Roman"/>
                <w:b/>
                <w:bCs w:val="0"/>
                <w:color w:val="auto"/>
                <w:sz w:val="24"/>
                <w:highlight w:val="none"/>
                <w:lang w:val="en-US" w:eastAsia="zh-CN"/>
              </w:rPr>
              <w:t>实验室检测</w:t>
            </w:r>
          </w:p>
          <w:p w14:paraId="19FFA283">
            <w:pPr>
              <w:numPr>
                <w:ilvl w:val="0"/>
                <w:numId w:val="0"/>
              </w:numPr>
              <w:adjustRightInd w:val="0"/>
              <w:snapToGrid w:val="0"/>
              <w:spacing w:line="360" w:lineRule="auto"/>
              <w:ind w:firstLine="480" w:firstLineChars="200"/>
              <w:rPr>
                <w:rFonts w:hint="eastAsia"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实验室检测包括水和废水、微生物、空气和废气、土壤检测。</w:t>
            </w:r>
          </w:p>
          <w:p w14:paraId="00B2C99A">
            <w:pPr>
              <w:numPr>
                <w:ilvl w:val="0"/>
                <w:numId w:val="25"/>
              </w:numPr>
              <w:adjustRightInd w:val="0"/>
              <w:spacing w:line="360" w:lineRule="auto"/>
              <w:jc w:val="center"/>
              <w:rPr>
                <w:rFonts w:hint="eastAsia" w:ascii="Times New Roman" w:hAnsi="Times New Roman" w:eastAsia="宋体" w:cs="Times New Roman"/>
                <w:b w:val="0"/>
                <w:bCs/>
                <w:color w:val="auto"/>
                <w:sz w:val="24"/>
                <w:highlight w:val="none"/>
                <w:lang w:val="en-US" w:eastAsia="zh-CN"/>
              </w:rPr>
            </w:pPr>
            <w:r>
              <w:rPr>
                <w:color w:val="auto"/>
                <w:sz w:val="24"/>
                <w:highlight w:val="none"/>
              </w:rPr>
              <mc:AlternateContent>
                <mc:Choice Requires="wpg">
                  <w:drawing>
                    <wp:anchor distT="0" distB="0" distL="114300" distR="114300" simplePos="0" relativeHeight="251668480" behindDoc="0" locked="0" layoutInCell="1" allowOverlap="1">
                      <wp:simplePos x="0" y="0"/>
                      <wp:positionH relativeFrom="column">
                        <wp:posOffset>443865</wp:posOffset>
                      </wp:positionH>
                      <wp:positionV relativeFrom="paragraph">
                        <wp:posOffset>167005</wp:posOffset>
                      </wp:positionV>
                      <wp:extent cx="3791585" cy="4582795"/>
                      <wp:effectExtent l="6350" t="4445" r="12065" b="15240"/>
                      <wp:wrapTopAndBottom/>
                      <wp:docPr id="1" name="组合 1"/>
                      <wp:cNvGraphicFramePr/>
                      <a:graphic xmlns:a="http://schemas.openxmlformats.org/drawingml/2006/main">
                        <a:graphicData uri="http://schemas.microsoft.com/office/word/2010/wordprocessingGroup">
                          <wpg:wgp>
                            <wpg:cNvGrpSpPr/>
                            <wpg:grpSpPr>
                              <a:xfrm>
                                <a:off x="0" y="0"/>
                                <a:ext cx="3791585" cy="4582628"/>
                                <a:chOff x="9810" y="87753"/>
                                <a:chExt cx="5971" cy="7872"/>
                              </a:xfrm>
                              <a:effectLst/>
                            </wpg:grpSpPr>
                            <wps:wsp>
                              <wps:cNvPr id="54" name="文本框 11"/>
                              <wps:cNvSpPr txBox="1"/>
                              <wps:spPr>
                                <a:xfrm>
                                  <a:off x="9810" y="88908"/>
                                  <a:ext cx="2731" cy="4227"/>
                                </a:xfrm>
                                <a:prstGeom prst="rect">
                                  <a:avLst/>
                                </a:prstGeom>
                                <a:solidFill>
                                  <a:srgbClr val="FFFFFF"/>
                                </a:solidFill>
                                <a:ln w="12700" cmpd="sng">
                                  <a:solidFill>
                                    <a:srgbClr val="000000"/>
                                  </a:solidFill>
                                  <a:prstDash val="lgDash"/>
                                </a:ln>
                                <a:effectLst/>
                              </wps:spPr>
                              <wps:txbx>
                                <w:txbxContent>
                                  <w:p w14:paraId="7B71691D">
                                    <w:pPr>
                                      <w:jc w:val="center"/>
                                      <w:rPr>
                                        <w:color w:val="000000"/>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 name="文本框 11"/>
                              <wps:cNvSpPr txBox="1"/>
                              <wps:spPr>
                                <a:xfrm>
                                  <a:off x="10223" y="87753"/>
                                  <a:ext cx="1830" cy="585"/>
                                </a:xfrm>
                                <a:prstGeom prst="rect">
                                  <a:avLst/>
                                </a:prstGeom>
                                <a:solidFill>
                                  <a:srgbClr val="FFFFFF"/>
                                </a:solidFill>
                                <a:ln w="6350">
                                  <a:solidFill>
                                    <a:prstClr val="black"/>
                                  </a:solidFill>
                                </a:ln>
                                <a:effectLst/>
                              </wps:spPr>
                              <wps:txbx>
                                <w:txbxContent>
                                  <w:p w14:paraId="03753318">
                                    <w:pPr>
                                      <w:ind w:firstLine="180" w:firstLineChars="100"/>
                                      <w:jc w:val="both"/>
                                      <w:rPr>
                                        <w:rFonts w:hint="default" w:eastAsia="宋体"/>
                                        <w:sz w:val="18"/>
                                        <w:szCs w:val="18"/>
                                        <w:lang w:val="en-US" w:eastAsia="zh-CN"/>
                                      </w:rPr>
                                    </w:pPr>
                                    <w:r>
                                      <w:rPr>
                                        <w:rFonts w:hint="eastAsia"/>
                                        <w:sz w:val="18"/>
                                        <w:szCs w:val="18"/>
                                        <w:lang w:val="en-US" w:eastAsia="zh-CN"/>
                                      </w:rPr>
                                      <w:t>样品采集与保存</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 name="直接连接符 19"/>
                              <wps:cNvCnPr/>
                              <wps:spPr>
                                <a:xfrm rot="5400000">
                                  <a:off x="10845" y="88722"/>
                                  <a:ext cx="680" cy="1"/>
                                </a:xfrm>
                                <a:prstGeom prst="line">
                                  <a:avLst/>
                                </a:prstGeom>
                                <a:noFill/>
                                <a:ln w="25400" cap="flat" cmpd="sng" algn="ctr">
                                  <a:solidFill>
                                    <a:srgbClr val="000000"/>
                                  </a:solidFill>
                                  <a:prstDash val="solid"/>
                                  <a:tailEnd type="triangle" w="med" len="med"/>
                                </a:ln>
                                <a:effectLst>
                                  <a:outerShdw blurRad="40000" dist="20000" dir="5400000" rotWithShape="0">
                                    <a:srgbClr val="000000">
                                      <a:alpha val="38000"/>
                                    </a:srgbClr>
                                  </a:outerShdw>
                                </a:effectLst>
                              </wps:spPr>
                              <wps:bodyPr/>
                            </wps:wsp>
                            <wps:wsp>
                              <wps:cNvPr id="73" name="直接连接符 23"/>
                              <wps:cNvCnPr/>
                              <wps:spPr>
                                <a:xfrm>
                                  <a:off x="12555" y="90582"/>
                                  <a:ext cx="680" cy="1"/>
                                </a:xfrm>
                                <a:prstGeom prst="line">
                                  <a:avLst/>
                                </a:prstGeom>
                                <a:noFill/>
                                <a:ln w="12700" cap="flat" cmpd="sng" algn="ctr">
                                  <a:solidFill>
                                    <a:srgbClr val="000000"/>
                                  </a:solidFill>
                                  <a:prstDash val="lgDash"/>
                                  <a:tailEnd type="triangle" w="med" len="med"/>
                                </a:ln>
                                <a:effectLst>
                                  <a:outerShdw blurRad="40000" dist="20000" dir="5400000" rotWithShape="0">
                                    <a:srgbClr val="000000">
                                      <a:alpha val="38000"/>
                                    </a:srgbClr>
                                  </a:outerShdw>
                                </a:effectLst>
                              </wps:spPr>
                              <wps:bodyPr/>
                            </wps:wsp>
                            <wps:wsp>
                              <wps:cNvPr id="76" name="文本框 11"/>
                              <wps:cNvSpPr txBox="1"/>
                              <wps:spPr>
                                <a:xfrm>
                                  <a:off x="10320" y="89067"/>
                                  <a:ext cx="1697" cy="768"/>
                                </a:xfrm>
                                <a:prstGeom prst="rect">
                                  <a:avLst/>
                                </a:prstGeom>
                                <a:solidFill>
                                  <a:srgbClr val="FFFFFF"/>
                                </a:solidFill>
                                <a:ln w="6350">
                                  <a:solidFill>
                                    <a:prstClr val="black"/>
                                  </a:solidFill>
                                </a:ln>
                                <a:effectLst/>
                              </wps:spPr>
                              <wps:txbx>
                                <w:txbxContent>
                                  <w:p w14:paraId="2BABA41D">
                                    <w:pPr>
                                      <w:jc w:val="center"/>
                                      <w:rPr>
                                        <w:rFonts w:hint="default" w:eastAsia="宋体"/>
                                        <w:sz w:val="18"/>
                                        <w:szCs w:val="18"/>
                                        <w:lang w:val="en-US" w:eastAsia="zh-CN"/>
                                      </w:rPr>
                                    </w:pPr>
                                    <w:r>
                                      <w:rPr>
                                        <w:rFonts w:hint="eastAsia"/>
                                        <w:sz w:val="18"/>
                                        <w:szCs w:val="18"/>
                                        <w:lang w:val="en-US" w:eastAsia="zh-CN"/>
                                      </w:rPr>
                                      <w:t>试剂配制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 name="直接连接符 19"/>
                              <wps:cNvCnPr/>
                              <wps:spPr>
                                <a:xfrm rot="5400000">
                                  <a:off x="10845" y="90177"/>
                                  <a:ext cx="680" cy="1"/>
                                </a:xfrm>
                                <a:prstGeom prst="line">
                                  <a:avLst/>
                                </a:prstGeom>
                                <a:noFill/>
                                <a:ln w="25400" cap="flat" cmpd="sng" algn="ctr">
                                  <a:solidFill>
                                    <a:srgbClr val="000000"/>
                                  </a:solidFill>
                                  <a:prstDash val="solid"/>
                                  <a:tailEnd type="triangle" w="med" len="med"/>
                                </a:ln>
                                <a:effectLst>
                                  <a:outerShdw blurRad="40000" dist="20000" dir="5400000" rotWithShape="0">
                                    <a:srgbClr val="000000">
                                      <a:alpha val="38000"/>
                                    </a:srgbClr>
                                  </a:outerShdw>
                                </a:effectLst>
                              </wps:spPr>
                              <wps:bodyPr/>
                            </wps:wsp>
                            <wps:wsp>
                              <wps:cNvPr id="81" name="文本框 11"/>
                              <wps:cNvSpPr txBox="1"/>
                              <wps:spPr>
                                <a:xfrm>
                                  <a:off x="10156" y="90522"/>
                                  <a:ext cx="2040" cy="768"/>
                                </a:xfrm>
                                <a:prstGeom prst="rect">
                                  <a:avLst/>
                                </a:prstGeom>
                                <a:solidFill>
                                  <a:srgbClr val="FFFFFF"/>
                                </a:solidFill>
                                <a:ln w="6350">
                                  <a:solidFill>
                                    <a:prstClr val="black"/>
                                  </a:solidFill>
                                </a:ln>
                                <a:effectLst/>
                              </wps:spPr>
                              <wps:txbx>
                                <w:txbxContent>
                                  <w:p w14:paraId="55C9BD2A">
                                    <w:pPr>
                                      <w:jc w:val="center"/>
                                      <w:rPr>
                                        <w:rFonts w:hint="default" w:eastAsia="宋体"/>
                                        <w:sz w:val="18"/>
                                        <w:szCs w:val="18"/>
                                        <w:lang w:val="en-US" w:eastAsia="zh-CN"/>
                                      </w:rPr>
                                    </w:pPr>
                                    <w:r>
                                      <w:rPr>
                                        <w:rFonts w:hint="eastAsia"/>
                                        <w:sz w:val="18"/>
                                        <w:szCs w:val="18"/>
                                        <w:lang w:val="en-US" w:eastAsia="zh-CN"/>
                                      </w:rPr>
                                      <w:t>样品处理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 name="直接连接符 19"/>
                              <wps:cNvCnPr/>
                              <wps:spPr>
                                <a:xfrm rot="5400000">
                                  <a:off x="10830" y="91632"/>
                                  <a:ext cx="680" cy="1"/>
                                </a:xfrm>
                                <a:prstGeom prst="line">
                                  <a:avLst/>
                                </a:prstGeom>
                                <a:noFill/>
                                <a:ln w="25400" cap="flat" cmpd="sng" algn="ctr">
                                  <a:solidFill>
                                    <a:srgbClr val="000000"/>
                                  </a:solidFill>
                                  <a:prstDash val="solid"/>
                                  <a:tailEnd type="triangle" w="med" len="med"/>
                                </a:ln>
                                <a:effectLst>
                                  <a:outerShdw blurRad="40000" dist="20000" dir="5400000" rotWithShape="0">
                                    <a:srgbClr val="000000">
                                      <a:alpha val="38000"/>
                                    </a:srgbClr>
                                  </a:outerShdw>
                                </a:effectLst>
                              </wps:spPr>
                              <wps:bodyPr/>
                            </wps:wsp>
                            <wps:wsp>
                              <wps:cNvPr id="104" name="文本框 11"/>
                              <wps:cNvSpPr txBox="1"/>
                              <wps:spPr>
                                <a:xfrm>
                                  <a:off x="10305" y="91977"/>
                                  <a:ext cx="1697" cy="768"/>
                                </a:xfrm>
                                <a:prstGeom prst="rect">
                                  <a:avLst/>
                                </a:prstGeom>
                                <a:solidFill>
                                  <a:srgbClr val="FFFFFF"/>
                                </a:solidFill>
                                <a:ln w="6350">
                                  <a:solidFill>
                                    <a:prstClr val="black"/>
                                  </a:solidFill>
                                </a:ln>
                                <a:effectLst/>
                              </wps:spPr>
                              <wps:txbx>
                                <w:txbxContent>
                                  <w:p w14:paraId="29C9F81C">
                                    <w:pPr>
                                      <w:jc w:val="center"/>
                                      <w:rPr>
                                        <w:sz w:val="18"/>
                                        <w:szCs w:val="18"/>
                                      </w:rPr>
                                    </w:pPr>
                                  </w:p>
                                  <w:p w14:paraId="305E5096">
                                    <w:pPr>
                                      <w:jc w:val="center"/>
                                      <w:rPr>
                                        <w:rFonts w:hint="eastAsia" w:eastAsia="宋体"/>
                                        <w:sz w:val="18"/>
                                        <w:szCs w:val="18"/>
                                        <w:lang w:val="en-US" w:eastAsia="zh-CN"/>
                                      </w:rPr>
                                    </w:pPr>
                                    <w:r>
                                      <w:rPr>
                                        <w:rFonts w:hint="eastAsia"/>
                                        <w:sz w:val="18"/>
                                        <w:szCs w:val="18"/>
                                        <w:lang w:val="en-US" w:eastAsia="zh-CN"/>
                                      </w:rPr>
                                      <w:t>检测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 name="直接连接符 19"/>
                              <wps:cNvCnPr/>
                              <wps:spPr>
                                <a:xfrm rot="5400000">
                                  <a:off x="10830" y="93087"/>
                                  <a:ext cx="680" cy="1"/>
                                </a:xfrm>
                                <a:prstGeom prst="line">
                                  <a:avLst/>
                                </a:prstGeom>
                                <a:noFill/>
                                <a:ln w="25400" cap="flat" cmpd="sng" algn="ctr">
                                  <a:solidFill>
                                    <a:srgbClr val="000000"/>
                                  </a:solidFill>
                                  <a:prstDash val="solid"/>
                                  <a:tailEnd type="triangle" w="med" len="med"/>
                                </a:ln>
                                <a:effectLst>
                                  <a:outerShdw blurRad="40000" dist="20000" dir="5400000" rotWithShape="0">
                                    <a:srgbClr val="000000">
                                      <a:alpha val="38000"/>
                                    </a:srgbClr>
                                  </a:outerShdw>
                                </a:effectLst>
                              </wps:spPr>
                              <wps:bodyPr/>
                            </wps:wsp>
                            <wps:wsp>
                              <wps:cNvPr id="158" name="文本框 11"/>
                              <wps:cNvSpPr txBox="1"/>
                              <wps:spPr>
                                <a:xfrm>
                                  <a:off x="10455" y="93417"/>
                                  <a:ext cx="1417" cy="768"/>
                                </a:xfrm>
                                <a:prstGeom prst="rect">
                                  <a:avLst/>
                                </a:prstGeom>
                                <a:solidFill>
                                  <a:srgbClr val="FFFFFF"/>
                                </a:solidFill>
                                <a:ln w="6350">
                                  <a:solidFill>
                                    <a:prstClr val="black"/>
                                  </a:solidFill>
                                </a:ln>
                                <a:effectLst/>
                              </wps:spPr>
                              <wps:txbx>
                                <w:txbxContent>
                                  <w:p w14:paraId="6C691335">
                                    <w:pPr>
                                      <w:jc w:val="center"/>
                                      <w:rPr>
                                        <w:sz w:val="18"/>
                                        <w:szCs w:val="18"/>
                                      </w:rPr>
                                    </w:pPr>
                                  </w:p>
                                  <w:p w14:paraId="6D63BE27">
                                    <w:pPr>
                                      <w:jc w:val="center"/>
                                      <w:rPr>
                                        <w:sz w:val="18"/>
                                        <w:szCs w:val="18"/>
                                      </w:rPr>
                                    </w:pPr>
                                    <w:r>
                                      <w:rPr>
                                        <w:rFonts w:hint="eastAsia"/>
                                        <w:sz w:val="18"/>
                                        <w:szCs w:val="18"/>
                                      </w:rPr>
                                      <w:t>数据处理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9" name="直接连接符 19"/>
                              <wps:cNvCnPr/>
                              <wps:spPr>
                                <a:xfrm rot="5400000">
                                  <a:off x="10830" y="94527"/>
                                  <a:ext cx="680" cy="1"/>
                                </a:xfrm>
                                <a:prstGeom prst="line">
                                  <a:avLst/>
                                </a:prstGeom>
                                <a:noFill/>
                                <a:ln w="25400" cap="flat" cmpd="sng" algn="ctr">
                                  <a:solidFill>
                                    <a:srgbClr val="000000"/>
                                  </a:solidFill>
                                  <a:prstDash val="solid"/>
                                  <a:tailEnd type="triangle" w="med" len="med"/>
                                </a:ln>
                                <a:effectLst>
                                  <a:outerShdw blurRad="40000" dist="20000" dir="5400000" rotWithShape="0">
                                    <a:srgbClr val="000000">
                                      <a:alpha val="38000"/>
                                    </a:srgbClr>
                                  </a:outerShdw>
                                </a:effectLst>
                              </wps:spPr>
                              <wps:bodyPr/>
                            </wps:wsp>
                            <wps:wsp>
                              <wps:cNvPr id="160" name="文本框 11"/>
                              <wps:cNvSpPr txBox="1"/>
                              <wps:spPr>
                                <a:xfrm>
                                  <a:off x="10455" y="94857"/>
                                  <a:ext cx="1417" cy="768"/>
                                </a:xfrm>
                                <a:prstGeom prst="rect">
                                  <a:avLst/>
                                </a:prstGeom>
                                <a:solidFill>
                                  <a:srgbClr val="FFFFFF"/>
                                </a:solidFill>
                                <a:ln w="6350">
                                  <a:solidFill>
                                    <a:prstClr val="black"/>
                                  </a:solidFill>
                                </a:ln>
                                <a:effectLst/>
                              </wps:spPr>
                              <wps:txbx>
                                <w:txbxContent>
                                  <w:p w14:paraId="35DF2DDC">
                                    <w:pPr>
                                      <w:jc w:val="center"/>
                                      <w:rPr>
                                        <w:sz w:val="18"/>
                                        <w:szCs w:val="18"/>
                                      </w:rPr>
                                    </w:pPr>
                                  </w:p>
                                  <w:p w14:paraId="6F2232C3">
                                    <w:pPr>
                                      <w:jc w:val="center"/>
                                      <w:rPr>
                                        <w:sz w:val="18"/>
                                        <w:szCs w:val="18"/>
                                      </w:rPr>
                                    </w:pPr>
                                    <w:r>
                                      <w:rPr>
                                        <w:rFonts w:hint="eastAsia"/>
                                        <w:sz w:val="18"/>
                                        <w:szCs w:val="18"/>
                                      </w:rPr>
                                      <w:t>报告编制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1" name="文本框 11"/>
                              <wps:cNvSpPr txBox="1"/>
                              <wps:spPr>
                                <a:xfrm>
                                  <a:off x="13245" y="90267"/>
                                  <a:ext cx="1814" cy="567"/>
                                </a:xfrm>
                                <a:prstGeom prst="rect">
                                  <a:avLst/>
                                </a:prstGeom>
                                <a:solidFill>
                                  <a:srgbClr val="FFFFFF"/>
                                </a:solidFill>
                                <a:ln w="12700" cmpd="sng">
                                  <a:solidFill>
                                    <a:srgbClr val="000000"/>
                                  </a:solidFill>
                                  <a:prstDash val="lgDash"/>
                                </a:ln>
                                <a:effectLst/>
                              </wps:spPr>
                              <wps:txbx>
                                <w:txbxContent>
                                  <w:p w14:paraId="06B00821">
                                    <w:pPr>
                                      <w:jc w:val="center"/>
                                      <w:rPr>
                                        <w:color w:val="000000"/>
                                        <w:sz w:val="18"/>
                                        <w:szCs w:val="18"/>
                                      </w:rPr>
                                    </w:pPr>
                                    <w:r>
                                      <w:rPr>
                                        <w:rFonts w:hint="eastAsia"/>
                                        <w:color w:val="000000"/>
                                        <w:sz w:val="18"/>
                                        <w:szCs w:val="18"/>
                                      </w:rPr>
                                      <w:t>酸碱</w:t>
                                    </w:r>
                                    <w:r>
                                      <w:rPr>
                                        <w:rFonts w:hint="eastAsia"/>
                                        <w:color w:val="000000"/>
                                        <w:sz w:val="18"/>
                                        <w:szCs w:val="18"/>
                                        <w:lang w:val="en-US" w:eastAsia="zh-CN"/>
                                      </w:rPr>
                                      <w:t>无机</w:t>
                                    </w:r>
                                    <w:r>
                                      <w:rPr>
                                        <w:rFonts w:hint="eastAsia"/>
                                        <w:color w:val="000000"/>
                                        <w:sz w:val="18"/>
                                        <w:szCs w:val="18"/>
                                      </w:rPr>
                                      <w:t>废气</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2" name="文本框 11"/>
                              <wps:cNvSpPr txBox="1"/>
                              <wps:spPr>
                                <a:xfrm>
                                  <a:off x="13230" y="90927"/>
                                  <a:ext cx="1814" cy="567"/>
                                </a:xfrm>
                                <a:prstGeom prst="rect">
                                  <a:avLst/>
                                </a:prstGeom>
                                <a:solidFill>
                                  <a:srgbClr val="FFFFFF"/>
                                </a:solidFill>
                                <a:ln w="12700" cmpd="sng">
                                  <a:solidFill>
                                    <a:srgbClr val="000000"/>
                                  </a:solidFill>
                                  <a:prstDash val="lgDash"/>
                                </a:ln>
                                <a:effectLst/>
                              </wps:spPr>
                              <wps:txbx>
                                <w:txbxContent>
                                  <w:p w14:paraId="679C33AF">
                                    <w:pPr>
                                      <w:jc w:val="center"/>
                                      <w:rPr>
                                        <w:sz w:val="18"/>
                                        <w:szCs w:val="18"/>
                                      </w:rPr>
                                    </w:pPr>
                                    <w:r>
                                      <w:rPr>
                                        <w:rFonts w:hint="eastAsia"/>
                                        <w:color w:val="000000"/>
                                        <w:sz w:val="18"/>
                                        <w:szCs w:val="18"/>
                                      </w:rPr>
                                      <w:t>噪声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3" name="直接连接符 23"/>
                              <wps:cNvCnPr/>
                              <wps:spPr>
                                <a:xfrm>
                                  <a:off x="12540" y="91212"/>
                                  <a:ext cx="680" cy="1"/>
                                </a:xfrm>
                                <a:prstGeom prst="line">
                                  <a:avLst/>
                                </a:prstGeom>
                                <a:noFill/>
                                <a:ln w="12700" cap="flat" cmpd="sng" algn="ctr">
                                  <a:solidFill>
                                    <a:srgbClr val="000000"/>
                                  </a:solidFill>
                                  <a:prstDash val="lgDash"/>
                                  <a:tailEnd type="triangle" w="med" len="med"/>
                                </a:ln>
                                <a:effectLst>
                                  <a:outerShdw blurRad="40000" dist="20000" dir="5400000" rotWithShape="0">
                                    <a:srgbClr val="000000">
                                      <a:alpha val="38000"/>
                                    </a:srgbClr>
                                  </a:outerShdw>
                                </a:effectLst>
                              </wps:spPr>
                              <wps:bodyPr/>
                            </wps:wsp>
                            <wps:wsp>
                              <wps:cNvPr id="164" name="直接连接符 23"/>
                              <wps:cNvCnPr/>
                              <wps:spPr>
                                <a:xfrm>
                                  <a:off x="12540" y="91872"/>
                                  <a:ext cx="680" cy="1"/>
                                </a:xfrm>
                                <a:prstGeom prst="line">
                                  <a:avLst/>
                                </a:prstGeom>
                                <a:noFill/>
                                <a:ln w="12700" cap="flat" cmpd="sng" algn="ctr">
                                  <a:solidFill>
                                    <a:srgbClr val="000000"/>
                                  </a:solidFill>
                                  <a:prstDash val="lgDash"/>
                                  <a:tailEnd type="triangle" w="med" len="med"/>
                                </a:ln>
                                <a:effectLst>
                                  <a:outerShdw blurRad="40000" dist="20000" dir="5400000" rotWithShape="0">
                                    <a:srgbClr val="000000">
                                      <a:alpha val="38000"/>
                                    </a:srgbClr>
                                  </a:outerShdw>
                                </a:effectLst>
                              </wps:spPr>
                              <wps:bodyPr/>
                            </wps:wsp>
                            <wps:wsp>
                              <wps:cNvPr id="165" name="文本框 11"/>
                              <wps:cNvSpPr txBox="1"/>
                              <wps:spPr>
                                <a:xfrm>
                                  <a:off x="13230" y="91587"/>
                                  <a:ext cx="2551" cy="567"/>
                                </a:xfrm>
                                <a:prstGeom prst="rect">
                                  <a:avLst/>
                                </a:prstGeom>
                                <a:solidFill>
                                  <a:srgbClr val="FFFFFF"/>
                                </a:solidFill>
                                <a:ln w="12700" cmpd="sng">
                                  <a:solidFill>
                                    <a:srgbClr val="000000"/>
                                  </a:solidFill>
                                  <a:prstDash val="lgDash"/>
                                </a:ln>
                                <a:effectLst/>
                              </wps:spPr>
                              <wps:txbx>
                                <w:txbxContent>
                                  <w:p w14:paraId="1B44EA82">
                                    <w:pPr>
                                      <w:jc w:val="center"/>
                                      <w:rPr>
                                        <w:color w:val="000000"/>
                                        <w:sz w:val="18"/>
                                        <w:szCs w:val="18"/>
                                      </w:rPr>
                                    </w:pPr>
                                    <w:r>
                                      <w:rPr>
                                        <w:rFonts w:hint="eastAsia"/>
                                        <w:sz w:val="18"/>
                                        <w:szCs w:val="18"/>
                                        <w:lang w:val="en-US" w:eastAsia="zh-CN"/>
                                      </w:rPr>
                                      <w:t>未沾染化学试剂</w:t>
                                    </w:r>
                                    <w:r>
                                      <w:rPr>
                                        <w:rFonts w:hint="eastAsia"/>
                                        <w:sz w:val="18"/>
                                        <w:szCs w:val="18"/>
                                      </w:rPr>
                                      <w:t>的废包装物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6" name="文本框 11"/>
                              <wps:cNvSpPr txBox="1"/>
                              <wps:spPr>
                                <a:xfrm>
                                  <a:off x="13215" y="92247"/>
                                  <a:ext cx="2551" cy="1417"/>
                                </a:xfrm>
                                <a:prstGeom prst="rect">
                                  <a:avLst/>
                                </a:prstGeom>
                                <a:solidFill>
                                  <a:srgbClr val="FFFFFF"/>
                                </a:solidFill>
                                <a:ln w="12700" cmpd="sng">
                                  <a:solidFill>
                                    <a:srgbClr val="000000"/>
                                  </a:solidFill>
                                  <a:prstDash val="lgDash"/>
                                </a:ln>
                                <a:effectLst/>
                              </wps:spPr>
                              <wps:txbx>
                                <w:txbxContent>
                                  <w:p w14:paraId="190FCDD2">
                                    <w:pPr>
                                      <w:jc w:val="both"/>
                                      <w:rPr>
                                        <w:rFonts w:hint="default"/>
                                        <w:lang w:val="en-US"/>
                                      </w:rPr>
                                    </w:pPr>
                                    <w:r>
                                      <w:rPr>
                                        <w:rFonts w:hint="eastAsia" w:eastAsia="宋体"/>
                                        <w:sz w:val="18"/>
                                        <w:szCs w:val="18"/>
                                        <w:lang w:val="en-US" w:eastAsia="zh-CN"/>
                                      </w:rPr>
                                      <w:t>废试剂瓶、废试剂、废一次性耗材、废培养基、检测废液、清洗废液、废活性炭</w:t>
                                    </w:r>
                                    <w:r>
                                      <w:rPr>
                                        <w:rFonts w:hint="eastAsia"/>
                                        <w:sz w:val="18"/>
                                        <w:szCs w:val="18"/>
                                        <w:lang w:val="en-US" w:eastAsia="zh-CN"/>
                                      </w:rPr>
                                      <w:t>、</w:t>
                                    </w:r>
                                    <w:r>
                                      <w:rPr>
                                        <w:rFonts w:hint="eastAsia" w:eastAsia="宋体"/>
                                        <w:sz w:val="18"/>
                                        <w:szCs w:val="18"/>
                                        <w:lang w:val="en-US" w:eastAsia="zh-CN"/>
                                      </w:rPr>
                                      <w:t>废石英砂、废样品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7" name="直接连接符 23"/>
                              <wps:cNvCnPr/>
                              <wps:spPr>
                                <a:xfrm>
                                  <a:off x="12555" y="92817"/>
                                  <a:ext cx="680" cy="1"/>
                                </a:xfrm>
                                <a:prstGeom prst="line">
                                  <a:avLst/>
                                </a:prstGeom>
                                <a:noFill/>
                                <a:ln w="12700" cap="flat" cmpd="sng" algn="ctr">
                                  <a:solidFill>
                                    <a:srgbClr val="000000"/>
                                  </a:solidFill>
                                  <a:prstDash val="lgDash"/>
                                  <a:tailEnd type="triangle" w="med" len="med"/>
                                </a:ln>
                                <a:effectLst>
                                  <a:outerShdw blurRad="40000" dist="20000" dir="5400000" rotWithShape="0">
                                    <a:srgbClr val="000000">
                                      <a:alpha val="38000"/>
                                    </a:srgbClr>
                                  </a:outerShdw>
                                </a:effectLst>
                              </wps:spPr>
                              <wps:bodyPr/>
                            </wps:wsp>
                            <wps:wsp>
                              <wps:cNvPr id="168" name="直接连接符 23"/>
                              <wps:cNvCnPr>
                                <a:endCxn id="68" idx="1"/>
                              </wps:cNvCnPr>
                              <wps:spPr>
                                <a:xfrm flipV="1">
                                  <a:off x="12556" y="89876"/>
                                  <a:ext cx="674" cy="304"/>
                                </a:xfrm>
                                <a:prstGeom prst="line">
                                  <a:avLst/>
                                </a:prstGeom>
                                <a:noFill/>
                                <a:ln w="12700" cap="flat" cmpd="sng" algn="ctr">
                                  <a:solidFill>
                                    <a:srgbClr val="000000"/>
                                  </a:solidFill>
                                  <a:prstDash val="lgDash"/>
                                  <a:tailEnd type="triangle" w="med" len="med"/>
                                </a:ln>
                                <a:effectLst>
                                  <a:outerShdw blurRad="40000" dist="20000" dir="5400000" rotWithShape="0">
                                    <a:srgbClr val="000000">
                                      <a:alpha val="38000"/>
                                    </a:srgbClr>
                                  </a:outerShdw>
                                </a:effectLst>
                              </wps:spPr>
                              <wps:bodyPr/>
                            </wps:wsp>
                            <wps:wsp>
                              <wps:cNvPr id="169" name="直接连接符 23"/>
                              <wps:cNvCnPr>
                                <a:endCxn id="170" idx="1"/>
                              </wps:cNvCnPr>
                              <wps:spPr>
                                <a:xfrm>
                                  <a:off x="12556" y="93277"/>
                                  <a:ext cx="673" cy="923"/>
                                </a:xfrm>
                                <a:prstGeom prst="line">
                                  <a:avLst/>
                                </a:prstGeom>
                                <a:noFill/>
                                <a:ln w="12700" cap="flat" cmpd="sng" algn="ctr">
                                  <a:solidFill>
                                    <a:srgbClr val="000000"/>
                                  </a:solidFill>
                                  <a:prstDash val="lgDash"/>
                                  <a:tailEnd type="triangle" w="med" len="med"/>
                                </a:ln>
                                <a:effectLst>
                                  <a:outerShdw blurRad="40000" dist="20000" dir="5400000" rotWithShape="0">
                                    <a:srgbClr val="000000">
                                      <a:alpha val="38000"/>
                                    </a:srgbClr>
                                  </a:outerShdw>
                                </a:effectLst>
                              </wps:spPr>
                              <wps:bodyPr/>
                            </wps:wsp>
                            <wps:wsp>
                              <wps:cNvPr id="170" name="文本框 11"/>
                              <wps:cNvSpPr txBox="1"/>
                              <wps:spPr>
                                <a:xfrm>
                                  <a:off x="13229" y="93722"/>
                                  <a:ext cx="2551" cy="956"/>
                                </a:xfrm>
                                <a:prstGeom prst="rect">
                                  <a:avLst/>
                                </a:prstGeom>
                                <a:solidFill>
                                  <a:srgbClr val="FFFFFF"/>
                                </a:solidFill>
                                <a:ln w="12700" cmpd="sng">
                                  <a:solidFill>
                                    <a:srgbClr val="000000"/>
                                  </a:solidFill>
                                  <a:prstDash val="lgDash"/>
                                </a:ln>
                                <a:effectLst/>
                              </wps:spPr>
                              <wps:txbx>
                                <w:txbxContent>
                                  <w:p w14:paraId="615378E2">
                                    <w:pPr>
                                      <w:jc w:val="both"/>
                                      <w:rPr>
                                        <w:rFonts w:hint="default" w:eastAsia="宋体"/>
                                        <w:sz w:val="18"/>
                                        <w:szCs w:val="18"/>
                                        <w:lang w:val="en-US" w:eastAsia="zh-CN"/>
                                      </w:rPr>
                                    </w:pPr>
                                    <w:r>
                                      <w:rPr>
                                        <w:rFonts w:hint="eastAsia" w:eastAsia="宋体"/>
                                        <w:sz w:val="18"/>
                                        <w:szCs w:val="18"/>
                                        <w:lang w:val="en-US" w:eastAsia="zh-CN"/>
                                      </w:rPr>
                                      <w:t>容器第三次及以后清洗废水、纯水制备废水、高压蒸汽灭菌废水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1" name="文本框 11"/>
                              <wps:cNvSpPr txBox="1"/>
                              <wps:spPr>
                                <a:xfrm>
                                  <a:off x="13230" y="89592"/>
                                  <a:ext cx="1814" cy="567"/>
                                </a:xfrm>
                                <a:prstGeom prst="rect">
                                  <a:avLst/>
                                </a:prstGeom>
                                <a:solidFill>
                                  <a:srgbClr val="FFFFFF"/>
                                </a:solidFill>
                                <a:ln w="12700" cmpd="sng">
                                  <a:solidFill>
                                    <a:srgbClr val="000000"/>
                                  </a:solidFill>
                                  <a:prstDash val="lgDash"/>
                                </a:ln>
                                <a:effectLst/>
                              </wps:spPr>
                              <wps:txbx>
                                <w:txbxContent>
                                  <w:p w14:paraId="62FAF400">
                                    <w:pPr>
                                      <w:jc w:val="center"/>
                                      <w:rPr>
                                        <w:color w:val="000000"/>
                                        <w:sz w:val="18"/>
                                        <w:szCs w:val="18"/>
                                      </w:rPr>
                                    </w:pPr>
                                    <w:r>
                                      <w:rPr>
                                        <w:rFonts w:hint="eastAsia"/>
                                        <w:color w:val="000000"/>
                                        <w:sz w:val="18"/>
                                        <w:szCs w:val="18"/>
                                      </w:rPr>
                                      <w:t>有机废气</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4.95pt;margin-top:13.15pt;height:360.85pt;width:298.55pt;mso-wrap-distance-bottom:0pt;mso-wrap-distance-top:0pt;z-index:251668480;mso-width-relative:page;mso-height-relative:page;" coordorigin="9810,87753" coordsize="5971,7872" o:gfxdata="UEsDBAoAAAAAAIdO4kAAAAAAAAAAAAAAAAAEAAAAZHJzL1BLAwQUAAAACACHTuJAxkmgPdoAAAAJ&#10;AQAADwAAAGRycy9kb3ducmV2LnhtbE2PQUvDQBSE74L/YXmCN7ubVtM2ZlOkqKdSsBXE2zb7moRm&#10;34bsNmn/vc+THocZZr7JVxfXigH70HjSkEwUCKTS24YqDZ/7t4cFiBANWdN6Qg1XDLAqbm9yk1k/&#10;0gcOu1gJLqGQGQ11jF0mZShrdCZMfIfE3tH3zkSWfSVtb0Yud62cKpVKZxrihdp0uK6xPO3OTsP7&#10;aMaXWfI6bE7H9fV7/7T92iSo9f1dop5BRLzEvzD84jM6FMx08GeyQbQa0uWSkxqm6QwE+2k6528H&#10;DfPHhQJZ5PL/g+IHUEsDBBQAAAAIAIdO4kCBSBG2/wYAALRHAAAOAAAAZHJzL2Uyb0RvYy54bWzt&#10;XE9v40QUvyPxHSzf2Xjs+F+06aq02xXSiq0osOep4yQWtseMJ03KGQEnxIkLCIkDnPbIjQOfhi4f&#10;g/dmxk7qJmVL03Qp00Nqe5z58+a93/vNmzd5/GRR5NZZyuuMlUObPHJsKy0TNsrKydD+5OOj9yLb&#10;qgUtRzRnZTq0z9PafrL37juP59UgddmU5aOUW1BJWQ/m1dCeClENer06maYFrR+xKi2hcMx4QQXc&#10;8klvxOkcai/ynus4QW/O+KjiLEnrGp4eqkJb18jfpEI2HmdJesiSWZGWQtXK05wKGFI9zara3pO9&#10;HY/TRLwYj+tUWPnQhpEK+QmNwPUpfvb2HtPBhNNqmiW6C/RNutAZU0GzEhptqzqkgloznl2pqsgS&#10;zmo2Fo8SVvTUQKREYBTE6cjmGWezSo5lMphPqlboMFEdqf/rapMPz465lY1AE2yrpAVM+Ovfv/zz&#10;u28sgrKZV5MBvPKMVyfVMdcPJuoOh7sY8wL/w0CshZTqeSvVdCGsBB56YUz8yLetBMr6fuQGbqTk&#10;nkxhcvB7cURgQqA4CkPfawqf6gr8OITO4bfDKHSxtLdsOZWT/LwW+Bi72/ZuXoGC1kup1beT2smU&#10;VqmcjBpFoqXm9xuxXXz/9cWPry5+/soiWnTyPZSbJRbvMxhm+7yGh2vEtxRDFDtaRo0U3dDTQui7&#10;btgRQsVr8SxlhYUXQ5uD2kttpGdaMHTQvILN1izPRkdZnssbPjk9yLl1RsFEjuSfrv3Sa3lpzWEE&#10;bujATCVFBRpTlxPZyqX36tXqHPm3rjrsziGtp6rZfILX+r28xG515rUeKJnhpIrF6UKqYj04ZaNz&#10;kC9nyrDrKjnKoObntBbHlIMlQ2cB68QL+BjnDEbA9JVtTRn/Yt1zfB9UBUptaw7IAAP9fEZ5alv5&#10;ByUoUUz6fahWyJu+H7pww1dLTldLyllxwECyMHnQO3mJ74u8uRxzVrwESNzHVqGIlgm0PbQTwZub&#10;A6EQC0A1Sff35WsAHxUVz8uTKsHKUWQl258JNs60KTTSkXYhTQHteQc2gdaqoGQLNkEc1/W62NAY&#10;BYk8kBgiAwLMZWBoFP7ObSLwfOeqHWDzrVmd5jT57KoZAIwZZf+vK7vbKPvrH367+PaXv/74CT5f&#10;v/rVIjHOOFocuIuDUrvPBsiUB1PI5fcVTqIRa09KnKgPLhNdIvg86fQAE7VDDCKt9dKhrDjDjs7n&#10;WYkeiw42+IGSoROATqIeIry72BMwKAS9MfCpVaS3aD4BwoiwhF+4PejLGlBEdCBolj8tR5Y4r4CA&#10;CJ7RcpID4EKXinQEwJtCy3ilTLxjNFgDm4mUn0xHc+s0n/GPKLgnKVTbGmXoEoF54shGGSBpI24U&#10;/stMTKVnR1CV41rjv/A5zaspVd7Ki7Au1RXt7iQlafsg71oHpvF36b+U08LvazjeFS4DjmqK11FV&#10;QFjozvWqKqWs6BpxfV8pZ+wAn1NzeOfK2XCPnSjnkpEY7dwRawga7dwKa/CQliF8xk4g6fISPkkQ&#10;h4o1hIFk2ZsR9O6YtGENuBiU5Pl/SJHRga+H4i2xhtghYUftDWtAF7bilg1ruByKWx/hiLa7miM+&#10;4DzgMjCHLq11HVxXyziPwWUTuoDAzs4pMkQb7gqYMVKBek8Cb1eM2SznBuvCkQ9kOUecbcaeieM5&#10;ek1H4i51MIzZBJWbeIWKXtwDMrfrw20H2hpk9pzIUGYTaLvJDu16ygzbnQ2L2Eoso99E27w+6Wgo&#10;wSeGM5vtPthmuC9k9uNG2+8Kmfu+2vJexvBMMMMEMzAJaGPuzAZkDtrA23aRuR/5BplNIsbblYhB&#10;gq3G7jxXb0nHjntlTyUisBqVmRiq6D72VJodQpOdZLKTILV0kwtoQ3zbcAGe2ywfnbhLUogxCgjh&#10;YlqBSdnDnY23N2UPgtKbOPzNc0NwF0dGul2yq0h3g/wmN0Qn8sqEMpXR9AAyl0jQhrq7S8xbqKdO&#10;Jt/BotKoJyQMPtzEOhLAzsn2Mp6XlAICiZ1VJWTeAac3PNtQirf9FAAJ2g2b7fBsorcnXbe/0Shk&#10;OFxl5jZHkzo50XeX0deAvFl9mtXnNatP2K5Zn/l3cybTbAu5UXdb6M7C442SG6L9QIl2u3P5j0Rb&#10;bkCUo4NFKc+PQsoe/G9OOcqjDfrciwoBrJ55tMZ5Vn3anFtrjrwAt1G5gVEchUHnVEGow4seZL1c&#10;C/A3PvRiVPqBk/ON25NXELej0iSESMab6jR+94omx57bzaUKQgi1IIGPVfObA+VGk9WRLXN+S5/Q&#10;R3Xc5jLTBctARfSunDBcLjNjwORr8dYQanPYHEP895V9st3T5m3sJYr9uBO9Nts5mJFvtnNu9QsM&#10;8jdK4MdcIIH20q/FrN7L5Nrlj+3s/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yCQAAW0NvbnRlbnRfVHlwZXNdLnhtbFBLAQIUAAoAAAAAAIdO&#10;4kAAAAAAAAAAAAAAAAAGAAAAAAAAAAAAEAAAAFQIAABfcmVscy9QSwECFAAUAAAACACHTuJAihRm&#10;PNEAAACUAQAACwAAAAAAAAABACAAAAB4CAAAX3JlbHMvLnJlbHNQSwECFAAKAAAAAACHTuJAAAAA&#10;AAAAAAAAAAAABAAAAAAAAAAAABAAAAAAAAAAZHJzL1BLAQIUABQAAAAIAIdO4kDGSaA92gAAAAkB&#10;AAAPAAAAAAAAAAEAIAAAACIAAABkcnMvZG93bnJldi54bWxQSwECFAAUAAAACACHTuJAgUgRtv8G&#10;AAC0RwAADgAAAAAAAAABACAAAAApAQAAZHJzL2Uyb0RvYy54bWxQSwUGAAAAAAYABgBZAQAAmgoA&#10;AAAA&#10;">
                      <o:lock v:ext="edit" aspectratio="f"/>
                      <v:shape id="文本框 11" o:spid="_x0000_s1026" o:spt="202" type="#_x0000_t202" style="position:absolute;left:9810;top:88908;height:4227;width:2731;v-text-anchor:middle;" fillcolor="#FFFFFF" filled="t" stroked="t" coordsize="21600,21600" o:gfxdata="UEsDBAoAAAAAAIdO4kAAAAAAAAAAAAAAAAAEAAAAZHJzL1BLAwQUAAAACACHTuJAYiZdtr4AAADb&#10;AAAADwAAAGRycy9kb3ducmV2LnhtbEWPT2sCMRTE74LfITyhN020amU1erBVBE+updDbY/PcbLt5&#10;2W5S/3x7IxR6HGbmN8xidXW1OFMbKs8ahgMFgrjwpuJSw/tx05+BCBHZYO2ZNNwowGrZ7SwwM/7C&#10;BzrnsRQJwiFDDTbGJpMyFJYchoFviJN38q3DmGRbStPiJcFdLUdKTaXDitOCxYbWlorv/Ndp2P88&#10;h1d1mFUvat3Y0dvkI//82mr91BuqOYhI1/gf/mvvjIbJGB5f0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Zdtr4A&#10;AADbAAAADwAAAAAAAAABACAAAAAiAAAAZHJzL2Rvd25yZXYueG1sUEsBAhQAFAAAAAgAh07iQDMv&#10;BZ47AAAAOQAAABAAAAAAAAAAAQAgAAAADQEAAGRycy9zaGFwZXhtbC54bWxQSwUGAAAAAAYABgBb&#10;AQAAtwMAAAAA&#10;">
                        <v:fill on="t" focussize="0,0"/>
                        <v:stroke weight="1pt" color="#000000" joinstyle="round" dashstyle="longDash"/>
                        <v:imagedata o:title=""/>
                        <o:lock v:ext="edit" aspectratio="f"/>
                        <v:textbox>
                          <w:txbxContent>
                            <w:p w14:paraId="7B71691D">
                              <w:pPr>
                                <w:jc w:val="center"/>
                                <w:rPr>
                                  <w:color w:val="000000"/>
                                  <w:sz w:val="18"/>
                                  <w:szCs w:val="18"/>
                                </w:rPr>
                              </w:pPr>
                            </w:p>
                          </w:txbxContent>
                        </v:textbox>
                      </v:shape>
                      <v:shape id="文本框 11" o:spid="_x0000_s1026" o:spt="202" type="#_x0000_t202" style="position:absolute;left:10223;top:87753;height:585;width:1830;v-text-anchor:middle;" fillcolor="#FFFFFF" filled="t" stroked="t" coordsize="21600,21600" o:gfxdata="UEsDBAoAAAAAAIdO4kAAAAAAAAAAAAAAAAAEAAAAZHJzL1BLAwQUAAAACACHTuJAYb+hob0AAADb&#10;AAAADwAAAGRycy9kb3ducmV2LnhtbEWP3WoCMRSE7wu+QziCdzW7FaxsjSKCUC8Ka/QBTjfHzeLm&#10;ZNnE36dvBKGXw8x8w8yXN9eKC/Wh8awgH2cgiCtvGq4VHPab9xmIEJENtp5JwZ0CLBeDtzkWxl95&#10;Rxcda5EgHApUYGPsCilDZclhGPuOOHlH3zuMSfa1ND1eE9y18iPLptJhw2nBYkdrS9VJn52Cc1fu&#10;V5Ofrbbl/fCIs1/dlBut1GiYZ18gIt3if/jV/jYKPnN4fk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v6GhvQAA&#10;ANs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03753318">
                              <w:pPr>
                                <w:ind w:firstLine="180" w:firstLineChars="100"/>
                                <w:jc w:val="both"/>
                                <w:rPr>
                                  <w:rFonts w:hint="default" w:eastAsia="宋体"/>
                                  <w:sz w:val="18"/>
                                  <w:szCs w:val="18"/>
                                  <w:lang w:val="en-US" w:eastAsia="zh-CN"/>
                                </w:rPr>
                              </w:pPr>
                              <w:r>
                                <w:rPr>
                                  <w:rFonts w:hint="eastAsia"/>
                                  <w:sz w:val="18"/>
                                  <w:szCs w:val="18"/>
                                  <w:lang w:val="en-US" w:eastAsia="zh-CN"/>
                                </w:rPr>
                                <w:t>样品采集与保存</w:t>
                              </w:r>
                            </w:p>
                          </w:txbxContent>
                        </v:textbox>
                      </v:shape>
                      <v:line id="直接连接符 19" o:spid="_x0000_s1026" o:spt="20" style="position:absolute;left:10845;top:88722;height:1;width:680;rotation:5898240f;" filled="f" stroked="t" coordsize="21600,21600" o:gfxdata="UEsDBAoAAAAAAIdO4kAAAAAAAAAAAAAAAAAEAAAAZHJzL1BLAwQUAAAACACHTuJAiLmSir0AAADb&#10;AAAADwAAAGRycy9kb3ducmV2LnhtbEWPMW+DMBSE90j9D9arlC0YMqQRjcMQiSjtVmiGbq/4FQj4&#10;GWEH6L+vK1XqeLq773SHbDG9mGh0rWUFSRSDIK6sbrlW8F7mmz0I55E19pZJwTc5yI4PqwOm2s78&#10;RlPhaxEg7FJU0Hg/pFK6qiGDLrIDcfC+7GjQBznWUo84B7jp5TaOd9Jgy2GhwYFODVVdcTcK8o9u&#10;Ma0pO6pe/eftrJOX/eWq1PoxiZ9BeFr8f/ivfdEKnrbw+yX8AH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uZKKvQAA&#10;ANsAAAAPAAAAAAAAAAEAIAAAACIAAABkcnMvZG93bnJldi54bWxQSwECFAAUAAAACACHTuJAMy8F&#10;njsAAAA5AAAAEAAAAAAAAAABACAAAAAMAQAAZHJzL3NoYXBleG1sLnhtbFBLBQYAAAAABgAGAFsB&#10;AAC2AwAAAAA=&#10;">
                        <v:fill on="f" focussize="0,0"/>
                        <v:stroke weight="2pt" color="#000000" joinstyle="round" endarrow="block"/>
                        <v:imagedata o:title=""/>
                        <o:lock v:ext="edit" aspectratio="f"/>
                        <v:shadow on="t" color="#000000" opacity="24903f" offset="0pt,1.5748031496063pt" origin="0f,32768f" matrix="65536f,0f,0f,65536f"/>
                      </v:line>
                      <v:line id="直接连接符 23" o:spid="_x0000_s1026" o:spt="20" style="position:absolute;left:12555;top:90582;height:1;width:680;" filled="f" stroked="t" coordsize="21600,21600" o:gfxdata="UEsDBAoAAAAAAIdO4kAAAAAAAAAAAAAAAAAEAAAAZHJzL1BLAwQUAAAACACHTuJAwgpENb4AAADb&#10;AAAADwAAAGRycy9kb3ducmV2LnhtbEWPzW7CMBCE70i8g7WVeisOoAJKcXJAIv3hAoEDx5W9TaLG&#10;6yg2kPbp60qVOI5m5hvNOh9sK67U+8axgukkAUGsnWm4UnA6bp9WIHxANtg6JgXf5CHPxqM1psbd&#10;+EDXMlQiQtinqKAOoUul9Lomi37iOuLofbreYoiyr6Tp8RbhtpWzJFlIiw3HhRo72tSkv8qLVcC7&#10;oSjeW61f50X4OX/s6bmrLko9PkyTFxCBhnAP/7ffjILlHP6+xB8g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pENb4A&#10;AADbAAAADwAAAAAAAAABACAAAAAiAAAAZHJzL2Rvd25yZXYueG1sUEsBAhQAFAAAAAgAh07iQDMv&#10;BZ47AAAAOQAAABAAAAAAAAAAAQAgAAAADQEAAGRycy9zaGFwZXhtbC54bWxQSwUGAAAAAAYABgBb&#10;AQAAtwMAAAAA&#10;">
                        <v:fill on="f" focussize="0,0"/>
                        <v:stroke weight="1pt" color="#000000" joinstyle="round" dashstyle="longDash" endarrow="block"/>
                        <v:imagedata o:title=""/>
                        <o:lock v:ext="edit" aspectratio="f"/>
                        <v:shadow on="t" color="#000000" opacity="24903f" offset="0pt,1.5748031496063pt" origin="0f,32768f" matrix="65536f,0f,0f,65536f"/>
                      </v:line>
                      <v:shape id="文本框 11" o:spid="_x0000_s1026" o:spt="202" type="#_x0000_t202" style="position:absolute;left:10320;top:89067;height:768;width:1697;v-text-anchor:middle;" fillcolor="#FFFFFF" filled="t" stroked="t" coordsize="21600,21600" o:gfxdata="UEsDBAoAAAAAAIdO4kAAAAAAAAAAAAAAAAAEAAAAZHJzL1BLAwQUAAAACACHTuJA7lY51bwAAADb&#10;AAAADwAAAGRycy9kb3ducmV2LnhtbEWP3YrCMBSE7xd8h3AE79ZUBVeqUUQQdi+EGn2AY3Nsis1J&#10;aeLv028WhL0cZuYbZrF6uEbcqAu1ZwWjYQaCuPSm5krB8bD9nIEIEdlg45kUPCnAatn7WGBu/J33&#10;dNOxEgnCIUcFNsY2lzKUlhyGoW+Jk3f2ncOYZFdJ0+E9wV0jx1k2lQ5rTgsWW9pYKi/66hRc2+Kw&#10;nux+tC2ex1ecnXRdbLVSg/4om4OI9Ij/4Xf72yj4msLfl/QD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WOdW8AAAA&#10;2w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2BABA41D">
                              <w:pPr>
                                <w:jc w:val="center"/>
                                <w:rPr>
                                  <w:rFonts w:hint="default" w:eastAsia="宋体"/>
                                  <w:sz w:val="18"/>
                                  <w:szCs w:val="18"/>
                                  <w:lang w:val="en-US" w:eastAsia="zh-CN"/>
                                </w:rPr>
                              </w:pPr>
                              <w:r>
                                <w:rPr>
                                  <w:rFonts w:hint="eastAsia"/>
                                  <w:sz w:val="18"/>
                                  <w:szCs w:val="18"/>
                                  <w:lang w:val="en-US" w:eastAsia="zh-CN"/>
                                </w:rPr>
                                <w:t>试剂配制</w:t>
                              </w:r>
                            </w:p>
                          </w:txbxContent>
                        </v:textbox>
                      </v:shape>
                      <v:line id="直接连接符 19" o:spid="_x0000_s1026" o:spt="20" style="position:absolute;left:10845;top:90177;height:1;width:680;rotation:5898240f;" filled="f" stroked="t" coordsize="21600,21600" o:gfxdata="UEsDBAoAAAAAAIdO4kAAAAAAAAAAAAAAAAAEAAAAZHJzL1BLAwQUAAAACACHTuJAIvLZQbUAAADb&#10;AAAADwAAAGRycy9kb3ducmV2LnhtbEVPuwrCMBTdBf8hXMFN0zpIqUYHQVE3X4Pbtbm2tc1NaaLW&#10;vzeD4Hg47/myM7V4UetKywricQSCOLO65FzB+bQeJSCcR9ZYWyYFH3KwXPR7c0y1ffOBXkefixDC&#10;LkUFhfdNKqXLCjLoxrYhDtzdtgZ9gG0udYvvEG5qOYmiqTRYcmgosKFVQVl1fBoF62vVmdKcKsr2&#10;/vbY6HiXbC9KDQdxNAPhqfN/8c+91QqSsD58CT9ALr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vLZQbUAAADbAAAADwAA&#10;AAAAAAABACAAAAAiAAAAZHJzL2Rvd25yZXYueG1sUEsBAhQAFAAAAAgAh07iQDMvBZ47AAAAOQAA&#10;ABAAAAAAAAAAAQAgAAAABAEAAGRycy9zaGFwZXhtbC54bWxQSwUGAAAAAAYABgBbAQAArgMAAAAA&#10;">
                        <v:fill on="f" focussize="0,0"/>
                        <v:stroke weight="2pt" color="#000000" joinstyle="round" endarrow="block"/>
                        <v:imagedata o:title=""/>
                        <o:lock v:ext="edit" aspectratio="f"/>
                        <v:shadow on="t" color="#000000" opacity="24903f" offset="0pt,1.5748031496063pt" origin="0f,32768f" matrix="65536f,0f,0f,65536f"/>
                      </v:line>
                      <v:shape id="文本框 11" o:spid="_x0000_s1026" o:spt="202" type="#_x0000_t202" style="position:absolute;left:10156;top:90522;height:768;width:2040;v-text-anchor:middle;" fillcolor="#FFFFFF" filled="t" stroked="t" coordsize="21600,21600" o:gfxdata="UEsDBAoAAAAAAIdO4kAAAAAAAAAAAAAAAAAEAAAAZHJzL1BLAwQUAAAACACHTuJAVGrRhr0AAADb&#10;AAAADwAAAGRycy9kb3ducmV2LnhtbEWPzWrDMBCE74W+g9hAbo3sFIpxooQQCDSHgqv4ATbWxjKx&#10;VsZSfp++KhR6HGbmG2a5vrteXGkMnWcF+SwDQdx403GroD7s3goQISIb7D2TggcFWK9eX5ZYGn/j&#10;b7rq2IoE4VCiAhvjUEoZGksOw8wPxMk7+dFhTHJspRnxluCul/Ms+5AOO04LFgfaWmrO+uIUXIbq&#10;sHn/2mtbPepnLI66q3ZaqekkzxYgIt3jf/iv/WkUFDn8fkk/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atGGvQAA&#10;ANs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55C9BD2A">
                              <w:pPr>
                                <w:jc w:val="center"/>
                                <w:rPr>
                                  <w:rFonts w:hint="default" w:eastAsia="宋体"/>
                                  <w:sz w:val="18"/>
                                  <w:szCs w:val="18"/>
                                  <w:lang w:val="en-US" w:eastAsia="zh-CN"/>
                                </w:rPr>
                              </w:pPr>
                              <w:r>
                                <w:rPr>
                                  <w:rFonts w:hint="eastAsia"/>
                                  <w:sz w:val="18"/>
                                  <w:szCs w:val="18"/>
                                  <w:lang w:val="en-US" w:eastAsia="zh-CN"/>
                                </w:rPr>
                                <w:t>样品处理</w:t>
                              </w:r>
                            </w:p>
                          </w:txbxContent>
                        </v:textbox>
                      </v:shape>
                      <v:line id="直接连接符 19" o:spid="_x0000_s1026" o:spt="20" style="position:absolute;left:10830;top:91632;height:1;width:680;rotation:5898240f;" filled="f" stroked="t" coordsize="21600,21600" o:gfxdata="UEsDBAoAAAAAAIdO4kAAAAAAAAAAAAAAAAAEAAAAZHJzL1BLAwQUAAAACACHTuJAemF3FboAAADc&#10;AAAADwAAAGRycy9kb3ducmV2LnhtbEVPO2/CMBDeK/EfrENiK3YYEEoxDJWCAhuvods1viZp4nMU&#10;Gwj/HiMhsd2n73nL9WBbcaXe1441JFMFgrhwpuZSw+mYfS5A+IBssHVMGu7kYb0afSwxNe7Ge7oe&#10;QiliCPsUNVQhdKmUvqjIop+6jjhyf663GCLsS2l6vMVw28qZUnNpsebYUGFH3xUVzeFiNWQ/zWBr&#10;e2yo2IXf/41Jtov8rPVknKgvEIGG8Ba/3LmJ89UMns/EC+Tq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YXcVugAAANwA&#10;AAAPAAAAAAAAAAEAIAAAACIAAABkcnMvZG93bnJldi54bWxQSwECFAAUAAAACACHTuJAMy8FnjsA&#10;AAA5AAAAEAAAAAAAAAABACAAAAAJAQAAZHJzL3NoYXBleG1sLnhtbFBLBQYAAAAABgAGAFsBAACz&#10;AwAAAAA=&#10;">
                        <v:fill on="f" focussize="0,0"/>
                        <v:stroke weight="2pt" color="#000000" joinstyle="round" endarrow="block"/>
                        <v:imagedata o:title=""/>
                        <o:lock v:ext="edit" aspectratio="f"/>
                        <v:shadow on="t" color="#000000" opacity="24903f" offset="0pt,1.5748031496063pt" origin="0f,32768f" matrix="65536f,0f,0f,65536f"/>
                      </v:line>
                      <v:shape id="文本框 11" o:spid="_x0000_s1026" o:spt="202" type="#_x0000_t202" style="position:absolute;left:10305;top:91977;height:768;width:1697;v-text-anchor:middle;" fillcolor="#FFFFFF" filled="t" stroked="t" coordsize="21600,21600" o:gfxdata="UEsDBAoAAAAAAIdO4kAAAAAAAAAAAAAAAAAEAAAAZHJzL1BLAwQUAAAACACHTuJAjsF9nrsAAADc&#10;AAAADwAAAGRycy9kb3ducmV2LnhtbEVP22oCMRB9F/yHMAXfNNGKyNYoRRDsQ2Eb/YDpZrpZupks&#10;m3j9+kYo+DaHc53V5upbcaY+NoE1TCcKBHEVbMO1huNhN16CiAnZYhuYNNwowmY9HKywsOHCX3Q2&#10;qRY5hGOBGlxKXSFlrBx5jJPQEWfuJ/QeU4Z9LW2PlxzuWzlTaiE9NpwbHHa0dVT9mpPXcOrKw/vr&#10;54dx5e14T8tv05Q7o/XoZareQCS6pqf43723eb6aw+OZfIF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sF9nr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29C9F81C">
                              <w:pPr>
                                <w:jc w:val="center"/>
                                <w:rPr>
                                  <w:sz w:val="18"/>
                                  <w:szCs w:val="18"/>
                                </w:rPr>
                              </w:pPr>
                            </w:p>
                            <w:p w14:paraId="305E5096">
                              <w:pPr>
                                <w:jc w:val="center"/>
                                <w:rPr>
                                  <w:rFonts w:hint="eastAsia" w:eastAsia="宋体"/>
                                  <w:sz w:val="18"/>
                                  <w:szCs w:val="18"/>
                                  <w:lang w:val="en-US" w:eastAsia="zh-CN"/>
                                </w:rPr>
                              </w:pPr>
                              <w:r>
                                <w:rPr>
                                  <w:rFonts w:hint="eastAsia"/>
                                  <w:sz w:val="18"/>
                                  <w:szCs w:val="18"/>
                                  <w:lang w:val="en-US" w:eastAsia="zh-CN"/>
                                </w:rPr>
                                <w:t>检测</w:t>
                              </w:r>
                            </w:p>
                          </w:txbxContent>
                        </v:textbox>
                      </v:shape>
                      <v:line id="直接连接符 19" o:spid="_x0000_s1026" o:spt="20" style="position:absolute;left:10830;top:93087;height:1;width:680;rotation:5898240f;" filled="f" stroked="t" coordsize="21600,21600" o:gfxdata="UEsDBAoAAAAAAIdO4kAAAAAAAAAAAAAAAAAEAAAAZHJzL1BLAwQUAAAACACHTuJABVpxFroAAADc&#10;AAAADwAAAGRycy9kb3ducmV2LnhtbEVPO2/CMBDeK/EfrENiK3YYEEoxDJWCAhuvodsRH0ma+BzF&#10;BsK/ryshsd2n73nL9WBbcafe1441JFMFgrhwpuZSw+mYfS5A+IBssHVMGp7kYb0afSwxNe7Be7of&#10;QiliCPsUNVQhdKmUvqjIop+6jjhyV9dbDBH2pTQ9PmK4beVMqbm0WHNsqLCj74qK5nCzGrKfZrC1&#10;PTZU7MLld2OS7SI/az0ZJ+oLRKAhvMUvd27ifDWH/2fiBX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WnEWugAAANwA&#10;AAAPAAAAAAAAAAEAIAAAACIAAABkcnMvZG93bnJldi54bWxQSwECFAAUAAAACACHTuJAMy8FnjsA&#10;AAA5AAAAEAAAAAAAAAABACAAAAAJAQAAZHJzL3NoYXBleG1sLnhtbFBLBQYAAAAABgAGAFsBAACz&#10;AwAAAAA=&#10;">
                        <v:fill on="f" focussize="0,0"/>
                        <v:stroke weight="2pt" color="#000000" joinstyle="round" endarrow="block"/>
                        <v:imagedata o:title=""/>
                        <o:lock v:ext="edit" aspectratio="f"/>
                        <v:shadow on="t" color="#000000" opacity="24903f" offset="0pt,1.5748031496063pt" origin="0f,32768f" matrix="65536f,0f,0f,65536f"/>
                      </v:line>
                      <v:shape id="文本框 11" o:spid="_x0000_s1026" o:spt="202" type="#_x0000_t202" style="position:absolute;left:10455;top:93417;height:768;width:1417;v-text-anchor:middle;" fillcolor="#FFFFFF" filled="t" stroked="t" coordsize="21600,21600" o:gfxdata="UEsDBAoAAAAAAIdO4kAAAAAAAAAAAAAAAAAEAAAAZHJzL1BLAwQUAAAACACHTuJAHD9Yhr4AAADc&#10;AAAADwAAAGRycy9kb3ducmV2LnhtbEWPzWoDMQyE74W+g1Ght8abloSwjRNCIdAeAhsnD6Cs1fWS&#10;tbysnd+njw6F3iRmNPNpvryGTp1pSG1kA+NRAYq4jq7lxsB+t36bgUoZ2WEXmQzcKMFy8fw0x9LF&#10;C2/pbHOjJIRTiQZ8zn2pdao9BUyj2BOL9huHgFnWodFuwIuEh06/F8VUB2xZGjz29OWpPtpTMHDq&#10;q93qY/NjfXXb3/PsYNtqbY15fRkXn6AyXfO/+e/62wn+RGjlGZlALx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9Yhr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6C691335">
                              <w:pPr>
                                <w:jc w:val="center"/>
                                <w:rPr>
                                  <w:sz w:val="18"/>
                                  <w:szCs w:val="18"/>
                                </w:rPr>
                              </w:pPr>
                            </w:p>
                            <w:p w14:paraId="6D63BE27">
                              <w:pPr>
                                <w:jc w:val="center"/>
                                <w:rPr>
                                  <w:sz w:val="18"/>
                                  <w:szCs w:val="18"/>
                                </w:rPr>
                              </w:pPr>
                              <w:r>
                                <w:rPr>
                                  <w:rFonts w:hint="eastAsia"/>
                                  <w:sz w:val="18"/>
                                  <w:szCs w:val="18"/>
                                </w:rPr>
                                <w:t>数据处理</w:t>
                              </w:r>
                            </w:p>
                          </w:txbxContent>
                        </v:textbox>
                      </v:shape>
                      <v:line id="直接连接符 19" o:spid="_x0000_s1026" o:spt="20" style="position:absolute;left:10830;top:94527;height:1;width:680;rotation:5898240f;" filled="f" stroked="t" coordsize="21600,21600" o:gfxdata="UEsDBAoAAAAAAIdO4kAAAAAAAAAAAAAAAAAEAAAAZHJzL1BLAwQUAAAACACHTuJAZ3bKebwAAADc&#10;AAAADwAAAGRycy9kb3ducmV2LnhtbEVPS2vCQBC+F/wPywi91U0KFY2uHoSUtLf6OHgbs2MSk50N&#10;2W2S/vuuIHibj+856+1oGtFT5yrLCuJZBII4t7riQsHxkL4tQDiPrLGxTAr+yMF2M3lZY6LtwD/U&#10;730hQgi7BBWU3reJlC4vyaCb2ZY4cFfbGfQBdoXUHQ4h3DTyPYrm0mDFoaHElnYl5fX+1yhIz/Vo&#10;KnOoKf/2l9unjr8W2Ump12kcrUB4Gv1T/HBnOsz/WML9mXCB3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2ynm8AAAA&#10;3AAAAA8AAAAAAAAAAQAgAAAAIgAAAGRycy9kb3ducmV2LnhtbFBLAQIUABQAAAAIAIdO4kAzLwWe&#10;OwAAADkAAAAQAAAAAAAAAAEAIAAAAAsBAABkcnMvc2hhcGV4bWwueG1sUEsFBgAAAAAGAAYAWwEA&#10;ALUDAAAAAA==&#10;">
                        <v:fill on="f" focussize="0,0"/>
                        <v:stroke weight="2pt" color="#000000" joinstyle="round" endarrow="block"/>
                        <v:imagedata o:title=""/>
                        <o:lock v:ext="edit" aspectratio="f"/>
                        <v:shadow on="t" color="#000000" opacity="24903f" offset="0pt,1.5748031496063pt" origin="0f,32768f" matrix="65536f,0f,0f,65536f"/>
                      </v:line>
                      <v:shape id="文本框 11" o:spid="_x0000_s1026" o:spt="202" type="#_x0000_t202" style="position:absolute;left:10455;top:94857;height:768;width:1417;v-text-anchor:middle;" fillcolor="#FFFFFF" filled="t" stroked="t" coordsize="21600,21600" o:gfxdata="UEsDBAoAAAAAAIdO4kAAAAAAAAAAAAAAAAAEAAAAZHJzL1BLAwQUAAAACACHTuJALCWePb4AAADc&#10;AAAADwAAAGRycy9kb3ducmV2LnhtbEWP3WoCMRCF7wt9hzCF3tWsFkRWo0hBqBeFNfoA42bcLG4m&#10;yyb+9ek7FwXvZjhnzvlmsbqHTl1pSG1kA+NRAYq4jq7lxsBhv/mYgUoZ2WEXmQw8KMFq+fqywNLF&#10;G+/oanOjJIRTiQZ8zn2pdao9BUyj2BOLdopDwCzr0Gg34E3CQ6cnRTHVAVuWBo89fXmqz/YSDFz6&#10;ar/+/NlaXz0Ov3l2tG21sca8v42LOahM9/w0/19/O8GfCr48IxPo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WeP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35DF2DDC">
                              <w:pPr>
                                <w:jc w:val="center"/>
                                <w:rPr>
                                  <w:sz w:val="18"/>
                                  <w:szCs w:val="18"/>
                                </w:rPr>
                              </w:pPr>
                            </w:p>
                            <w:p w14:paraId="6F2232C3">
                              <w:pPr>
                                <w:jc w:val="center"/>
                                <w:rPr>
                                  <w:sz w:val="18"/>
                                  <w:szCs w:val="18"/>
                                </w:rPr>
                              </w:pPr>
                              <w:r>
                                <w:rPr>
                                  <w:rFonts w:hint="eastAsia"/>
                                  <w:sz w:val="18"/>
                                  <w:szCs w:val="18"/>
                                </w:rPr>
                                <w:t>报告编制</w:t>
                              </w:r>
                            </w:p>
                          </w:txbxContent>
                        </v:textbox>
                      </v:shape>
                      <v:shape id="文本框 11" o:spid="_x0000_s1026" o:spt="202" type="#_x0000_t202" style="position:absolute;left:13245;top:90267;height:567;width:1814;v-text-anchor:middle;" fillcolor="#FFFFFF" filled="t" stroked="t" coordsize="21600,21600" o:gfxdata="UEsDBAoAAAAAAIdO4kAAAAAAAAAAAAAAAAAEAAAAZHJzL1BLAwQUAAAACACHTuJA3rNkw7wAAADc&#10;AAAADwAAAGRycy9kb3ducmV2LnhtbEVPTWsCMRC9F/wPYYTearKWqqxGD9qWgidXEbwNm3Gzupls&#10;N6naf28KBW/zeJ8zW9xcIy7UhdqzhmygQBCX3tRcadhtP14mIEJENth4Jg2/FGAx7z3NMDf+yhu6&#10;FLESKYRDjhpsjG0uZSgtOQwD3xIn7ug7hzHBrpKmw2sKd40cKjWSDmtODRZbWloqz8WP07D+fg0r&#10;tZnUY7Vs7fD9bV8cTp9aP/czNQUR6RYf4n/3l0nzRxn8PZMuk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zZMO8AAAA&#10;3AAAAA8AAAAAAAAAAQAgAAAAIgAAAGRycy9kb3ducmV2LnhtbFBLAQIUABQAAAAIAIdO4kAzLwWe&#10;OwAAADkAAAAQAAAAAAAAAAEAIAAAAAsBAABkcnMvc2hhcGV4bWwueG1sUEsFBgAAAAAGAAYAWwEA&#10;ALUDAAAAAA==&#10;">
                        <v:fill on="t" focussize="0,0"/>
                        <v:stroke weight="1pt" color="#000000" joinstyle="round" dashstyle="longDash"/>
                        <v:imagedata o:title=""/>
                        <o:lock v:ext="edit" aspectratio="f"/>
                        <v:textbox>
                          <w:txbxContent>
                            <w:p w14:paraId="06B00821">
                              <w:pPr>
                                <w:jc w:val="center"/>
                                <w:rPr>
                                  <w:color w:val="000000"/>
                                  <w:sz w:val="18"/>
                                  <w:szCs w:val="18"/>
                                </w:rPr>
                              </w:pPr>
                              <w:r>
                                <w:rPr>
                                  <w:rFonts w:hint="eastAsia"/>
                                  <w:color w:val="000000"/>
                                  <w:sz w:val="18"/>
                                  <w:szCs w:val="18"/>
                                </w:rPr>
                                <w:t>酸碱</w:t>
                              </w:r>
                              <w:r>
                                <w:rPr>
                                  <w:rFonts w:hint="eastAsia"/>
                                  <w:color w:val="000000"/>
                                  <w:sz w:val="18"/>
                                  <w:szCs w:val="18"/>
                                  <w:lang w:val="en-US" w:eastAsia="zh-CN"/>
                                </w:rPr>
                                <w:t>无机</w:t>
                              </w:r>
                              <w:r>
                                <w:rPr>
                                  <w:rFonts w:hint="eastAsia"/>
                                  <w:color w:val="000000"/>
                                  <w:sz w:val="18"/>
                                  <w:szCs w:val="18"/>
                                </w:rPr>
                                <w:t>废气</w:t>
                              </w:r>
                            </w:p>
                          </w:txbxContent>
                        </v:textbox>
                      </v:shape>
                      <v:shape id="文本框 11" o:spid="_x0000_s1026" o:spt="202" type="#_x0000_t202" style="position:absolute;left:13230;top:90927;height:567;width:1814;v-text-anchor:middle;" fillcolor="#FFFFFF" filled="t" stroked="t" coordsize="21600,21600" o:gfxdata="UEsDBAoAAAAAAIdO4kAAAAAAAAAAAAAAAAAEAAAAZHJzL1BLAwQUAAAACACHTuJALmH6tLwAAADc&#10;AAAADwAAAGRycy9kb3ducmV2LnhtbEVPTWsCMRC9F/wPYYTeauKWqqxGD9qWgidXEbwNm3Gzupls&#10;N6naf28KBW/zeJ8zW9xcIy7UhdqzhuFAgSAuvam50rDbfrxMQISIbLDxTBp+KcBi3nuaYW78lTd0&#10;KWIlUgiHHDXYGNtcylBachgGviVO3NF3DmOCXSVNh9cU7hqZKTWSDmtODRZbWloqz8WP07D+fg0r&#10;tZnUY7Vsbfb+ti8Op0+tn/tDNQUR6RYf4n/3l0nzRxn8PZMuk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h+rS8AAAA&#10;3AAAAA8AAAAAAAAAAQAgAAAAIgAAAGRycy9kb3ducmV2LnhtbFBLAQIUABQAAAAIAIdO4kAzLwWe&#10;OwAAADkAAAAQAAAAAAAAAAEAIAAAAAsBAABkcnMvc2hhcGV4bWwueG1sUEsFBgAAAAAGAAYAWwEA&#10;ALUDAAAAAA==&#10;">
                        <v:fill on="t" focussize="0,0"/>
                        <v:stroke weight="1pt" color="#000000" joinstyle="round" dashstyle="longDash"/>
                        <v:imagedata o:title=""/>
                        <o:lock v:ext="edit" aspectratio="f"/>
                        <v:textbox>
                          <w:txbxContent>
                            <w:p w14:paraId="679C33AF">
                              <w:pPr>
                                <w:jc w:val="center"/>
                                <w:rPr>
                                  <w:sz w:val="18"/>
                                  <w:szCs w:val="18"/>
                                </w:rPr>
                              </w:pPr>
                              <w:r>
                                <w:rPr>
                                  <w:rFonts w:hint="eastAsia"/>
                                  <w:color w:val="000000"/>
                                  <w:sz w:val="18"/>
                                  <w:szCs w:val="18"/>
                                </w:rPr>
                                <w:t>噪声</w:t>
                              </w:r>
                            </w:p>
                          </w:txbxContent>
                        </v:textbox>
                      </v:shape>
                      <v:line id="直接连接符 23" o:spid="_x0000_s1026" o:spt="20" style="position:absolute;left:12540;top:91212;height:1;width:680;" filled="f" stroked="t" coordsize="21600,21600" o:gfxdata="UEsDBAoAAAAAAIdO4kAAAAAAAAAAAAAAAAAEAAAAZHJzL1BLAwQUAAAACACHTuJAcFUXZb0AAADc&#10;AAAADwAAAGRycy9kb3ducmV2LnhtbEVPTWvCQBC9F/wPywjemo2GiqSuHgSjtpcae+hx2J0mwexs&#10;yK4m7a/vFgq9zeN9zno72lbcqfeNYwXzJAVBrJ1puFLwftk/rkD4gGywdUwKvsjDdjN5WGNu3MBn&#10;upehEjGEfY4K6hC6XEqva7LoE9cRR+7T9RZDhH0lTY9DDLetXKTpUlpsODbU2NGuJn0tb1YBv45F&#10;cWq1PmRF+P54eaOnrropNZvO02cQgcbwL/5zH02cv8zg95l4gd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VRdlvQAA&#10;ANwAAAAPAAAAAAAAAAEAIAAAACIAAABkcnMvZG93bnJldi54bWxQSwECFAAUAAAACACHTuJAMy8F&#10;njsAAAA5AAAAEAAAAAAAAAABACAAAAAMAQAAZHJzL3NoYXBleG1sLnhtbFBLBQYAAAAABgAGAFsB&#10;AAC2AwAAAAA=&#10;">
                        <v:fill on="f" focussize="0,0"/>
                        <v:stroke weight="1pt" color="#000000" joinstyle="round" dashstyle="longDash" endarrow="block"/>
                        <v:imagedata o:title=""/>
                        <o:lock v:ext="edit" aspectratio="f"/>
                        <v:shadow on="t" color="#000000" opacity="24903f" offset="0pt,1.5748031496063pt" origin="0f,32768f" matrix="65536f,0f,0f,65536f"/>
                      </v:line>
                      <v:line id="直接连接符 23" o:spid="_x0000_s1026" o:spt="20" style="position:absolute;left:12540;top:91872;height:1;width:680;" filled="f" stroked="t" coordsize="21600,21600" o:gfxdata="UEsDBAoAAAAAAIdO4kAAAAAAAAAAAAAAAAAEAAAAZHJzL1BLAwQUAAAACACHTuJA/7yPEbwAAADc&#10;AAAADwAAAGRycy9kb3ducmV2LnhtbEVPO2/CMBDeK/U/WFepGzhQQChgGCo1vBZKGRhP9pFExOco&#10;NhD49RgJqdt9+p43nbe2EhdqfOlYQa+bgCDWzpScK9j//XTGIHxANlg5JgU38jCfvb9NMTXuyr90&#10;2YVcxBD2KSooQqhTKb0uyKLvupo4ckfXWAwRNrk0DV5juK1kP0lG0mLJsaHAmr4L0qfd2SrgTZtl&#10;q0rrxVcW7of1loZ1flbq86OXTEAEasO/+OVemjh/NIDnM/EC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jxG8AAAA&#10;3AAAAA8AAAAAAAAAAQAgAAAAIgAAAGRycy9kb3ducmV2LnhtbFBLAQIUABQAAAAIAIdO4kAzLwWe&#10;OwAAADkAAAAQAAAAAAAAAAEAIAAAAAsBAABkcnMvc2hhcGV4bWwueG1sUEsFBgAAAAAGAAYAWwEA&#10;ALUDAAAAAA==&#10;">
                        <v:fill on="f" focussize="0,0"/>
                        <v:stroke weight="1pt" color="#000000" joinstyle="round" dashstyle="longDash" endarrow="block"/>
                        <v:imagedata o:title=""/>
                        <o:lock v:ext="edit" aspectratio="f"/>
                        <v:shadow on="t" color="#000000" opacity="24903f" offset="0pt,1.5748031496063pt" origin="0f,32768f" matrix="65536f,0f,0f,65536f"/>
                      </v:line>
                      <v:shape id="文本框 11" o:spid="_x0000_s1026" o:spt="202" type="#_x0000_t202" style="position:absolute;left:13230;top:91587;height:567;width:2551;v-text-anchor:middle;" fillcolor="#FFFFFF" filled="t" stroked="t" coordsize="21600,21600" o:gfxdata="UEsDBAoAAAAAAIdO4kAAAAAAAAAAAAAAAAAEAAAAZHJzL1BLAwQUAAAACACHTuJAoYhiwL0AAADc&#10;AAAADwAAAGRycy9kb3ducmV2LnhtbEVPS2sCMRC+F/wPYYTeauIWH2yNHta2CD25SqG3YTPdrG4m&#10;6yb18e+bQsHbfHzPWayurhVn6kPjWcN4pEAQV940XGvY796e5iBCRDbYeiYNNwqwWg4eFpgbf+Et&#10;nctYixTCIUcNNsYulzJUlhyGke+IE/fte4cxwb6WpsdLCnetzJSaSocNpwaLHRWWqmP54zR8nJ7D&#10;Wm3nzUwVnc1eJ5/l1+Fd68fhWL2AiHSNd/G/e2PS/OkE/p5JF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GLAvQAA&#10;ANwAAAAPAAAAAAAAAAEAIAAAACIAAABkcnMvZG93bnJldi54bWxQSwECFAAUAAAACACHTuJAMy8F&#10;njsAAAA5AAAAEAAAAAAAAAABACAAAAAMAQAAZHJzL3NoYXBleG1sLnhtbFBLBQYAAAAABgAGAFsB&#10;AAC2AwAAAAA=&#10;">
                        <v:fill on="t" focussize="0,0"/>
                        <v:stroke weight="1pt" color="#000000" joinstyle="round" dashstyle="longDash"/>
                        <v:imagedata o:title=""/>
                        <o:lock v:ext="edit" aspectratio="f"/>
                        <v:textbox>
                          <w:txbxContent>
                            <w:p w14:paraId="1B44EA82">
                              <w:pPr>
                                <w:jc w:val="center"/>
                                <w:rPr>
                                  <w:color w:val="000000"/>
                                  <w:sz w:val="18"/>
                                  <w:szCs w:val="18"/>
                                </w:rPr>
                              </w:pPr>
                              <w:r>
                                <w:rPr>
                                  <w:rFonts w:hint="eastAsia"/>
                                  <w:sz w:val="18"/>
                                  <w:szCs w:val="18"/>
                                  <w:lang w:val="en-US" w:eastAsia="zh-CN"/>
                                </w:rPr>
                                <w:t>未沾染化学试剂</w:t>
                              </w:r>
                              <w:r>
                                <w:rPr>
                                  <w:rFonts w:hint="eastAsia"/>
                                  <w:sz w:val="18"/>
                                  <w:szCs w:val="18"/>
                                </w:rPr>
                                <w:t>的废包装物</w:t>
                              </w:r>
                            </w:p>
                          </w:txbxContent>
                        </v:textbox>
                      </v:shape>
                      <v:shape id="文本框 11" o:spid="_x0000_s1026" o:spt="202" type="#_x0000_t202" style="position:absolute;left:13215;top:92247;height:1417;width:2551;v-text-anchor:middle;" fillcolor="#FFFFFF" filled="t" stroked="t" coordsize="21600,21600" o:gfxdata="UEsDBAoAAAAAAIdO4kAAAAAAAAAAAAAAAAAEAAAAZHJzL1BLAwQUAAAACACHTuJAUVr8t7wAAADc&#10;AAAADwAAAGRycy9kb3ducmV2LnhtbEVPTWsCMRC9F/wPYYTeaqKlq6xGD9qWgidXEbwNm3Gzupls&#10;N6naf28KBW/zeJ8zW9xcIy7UhdqzhuFAgSAuvam50rDbfrxMQISIbLDxTBp+KcBi3nuaYW78lTd0&#10;KWIlUgiHHDXYGNtcylBachgGviVO3NF3DmOCXSVNh9cU7ho5UiqTDmtODRZbWloqz8WP07D+fg0r&#10;tZnUY7Vs7ej9bV8cTp9aP/eHagoi0i0+xP/uL5PmZxn8PZMuk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a/Le8AAAA&#10;3AAAAA8AAAAAAAAAAQAgAAAAIgAAAGRycy9kb3ducmV2LnhtbFBLAQIUABQAAAAIAIdO4kAzLwWe&#10;OwAAADkAAAAQAAAAAAAAAAEAIAAAAAsBAABkcnMvc2hhcGV4bWwueG1sUEsFBgAAAAAGAAYAWwEA&#10;ALUDAAAAAA==&#10;">
                        <v:fill on="t" focussize="0,0"/>
                        <v:stroke weight="1pt" color="#000000" joinstyle="round" dashstyle="longDash"/>
                        <v:imagedata o:title=""/>
                        <o:lock v:ext="edit" aspectratio="f"/>
                        <v:textbox>
                          <w:txbxContent>
                            <w:p w14:paraId="190FCDD2">
                              <w:pPr>
                                <w:jc w:val="both"/>
                                <w:rPr>
                                  <w:rFonts w:hint="default"/>
                                  <w:lang w:val="en-US"/>
                                </w:rPr>
                              </w:pPr>
                              <w:r>
                                <w:rPr>
                                  <w:rFonts w:hint="eastAsia" w:eastAsia="宋体"/>
                                  <w:sz w:val="18"/>
                                  <w:szCs w:val="18"/>
                                  <w:lang w:val="en-US" w:eastAsia="zh-CN"/>
                                </w:rPr>
                                <w:t>废试剂瓶、废试剂、废一次性耗材、废培养基、检测废液、清洗废液、废活性炭</w:t>
                              </w:r>
                              <w:r>
                                <w:rPr>
                                  <w:rFonts w:hint="eastAsia"/>
                                  <w:sz w:val="18"/>
                                  <w:szCs w:val="18"/>
                                  <w:lang w:val="en-US" w:eastAsia="zh-CN"/>
                                </w:rPr>
                                <w:t>、</w:t>
                              </w:r>
                              <w:r>
                                <w:rPr>
                                  <w:rFonts w:hint="eastAsia" w:eastAsia="宋体"/>
                                  <w:sz w:val="18"/>
                                  <w:szCs w:val="18"/>
                                  <w:lang w:val="en-US" w:eastAsia="zh-CN"/>
                                </w:rPr>
                                <w:t>废石英砂、废样品</w:t>
                              </w:r>
                            </w:p>
                          </w:txbxContent>
                        </v:textbox>
                      </v:shape>
                      <v:line id="直接连接符 23" o:spid="_x0000_s1026" o:spt="20" style="position:absolute;left:12555;top:92817;height:1;width:680;" filled="f" stroked="t" coordsize="21600,21600" o:gfxdata="UEsDBAoAAAAAAIdO4kAAAAAAAAAAAAAAAAAEAAAAZHJzL1BLAwQUAAAACACHTuJAD24RZr0AAADc&#10;AAAADwAAAGRycy9kb3ducmV2LnhtbEVPO2/CMBDekfgP1lXqBg6tCijFyYDU9MECgYHxZF+TqPE5&#10;ig2k/fU1EhLbffqet8oH24oz9b5xrGA2TUAQa2carhQc9m+TJQgfkA22jknBL3nIs/FohalxF97R&#10;uQyViCHsU1RQh9ClUnpdk0U/dR1x5L5dbzFE2FfS9HiJ4baVT0kylxYbjg01drSuSf+UJ6uAN0NR&#10;fLZavz8X4e/4taWXrjop9fgwS15BBBrCXXxzf5g4f76A6zPxAp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bhFmvQAA&#10;ANwAAAAPAAAAAAAAAAEAIAAAACIAAABkcnMvZG93bnJldi54bWxQSwECFAAUAAAACACHTuJAMy8F&#10;njsAAAA5AAAAEAAAAAAAAAABACAAAAAMAQAAZHJzL3NoYXBleG1sLnhtbFBLBQYAAAAABgAGAFsB&#10;AAC2AwAAAAA=&#10;">
                        <v:fill on="f" focussize="0,0"/>
                        <v:stroke weight="1pt" color="#000000" joinstyle="round" dashstyle="longDash" endarrow="block"/>
                        <v:imagedata o:title=""/>
                        <o:lock v:ext="edit" aspectratio="f"/>
                        <v:shadow on="t" color="#000000" opacity="24903f" offset="0pt,1.5748031496063pt" origin="0f,32768f" matrix="65536f,0f,0f,65536f"/>
                      </v:line>
                      <v:line id="直接连接符 23" o:spid="_x0000_s1026" o:spt="20" style="position:absolute;left:12556;top:89876;flip:y;height:304;width:674;" filled="f" stroked="t" coordsize="21600,21600" o:gfxdata="UEsDBAoAAAAAAIdO4kAAAAAAAAAAAAAAAAAEAAAAZHJzL1BLAwQUAAAACACHTuJAQhNTJ8AAAADc&#10;AAAADwAAAGRycy9kb3ducmV2LnhtbEWPQWvCQBCF74L/YRmhF6kbC4qkrh4qhSJYaJSCtyE7ZtNm&#10;Z0N21dhf7xwK3mZ4b977ZrnufaMu1MU6sIHpJANFXAZbc2XgsH9/XoCKCdliE5gM3CjCejUcLDG3&#10;4cpfdClSpSSEY44GXEptrnUsHXmMk9ASi3YKnccka1dp2+FVwn2jX7Jsrj3WLA0OW3pzVP4WZ29g&#10;e3Dj0+azsLPj7vsnjWnTH/nPmKfRNHsFlahPD/P/9YcV/LnQyjMygV7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E1Mn&#10;wAAAANwAAAAPAAAAAAAAAAEAIAAAACIAAABkcnMvZG93bnJldi54bWxQSwECFAAUAAAACACHTuJA&#10;My8FnjsAAAA5AAAAEAAAAAAAAAABACAAAAAPAQAAZHJzL3NoYXBleG1sLnhtbFBLBQYAAAAABgAG&#10;AFsBAAC5AwAAAAA=&#10;">
                        <v:fill on="f" focussize="0,0"/>
                        <v:stroke weight="1pt" color="#000000" joinstyle="round" dashstyle="longDash" endarrow="block"/>
                        <v:imagedata o:title=""/>
                        <o:lock v:ext="edit" aspectratio="f"/>
                        <v:shadow on="t" color="#000000" opacity="24903f" offset="0pt,1.5748031496063pt" origin="0f,32768f" matrix="65536f,0f,0f,65536f"/>
                      </v:line>
                      <v:line id="直接连接符 23" o:spid="_x0000_s1026" o:spt="20" style="position:absolute;left:12556;top:93277;height:923;width:673;" filled="f" stroked="t" coordsize="21600,21600" o:gfxdata="UEsDBAoAAAAAAIdO4kAAAAAAAAAAAAAAAAAEAAAAZHJzL1BLAwQUAAAACACHTuJAEb0gj70AAADc&#10;AAAADwAAAGRycy9kb3ducmV2LnhtbEVPO2/CMBDekfgP1lXqBg6tiiDFyYDU9MECgYHxZF+TqPE5&#10;ig2k/fU1EhLbffqet8oH24oz9b5xrGA2TUAQa2carhQc9m+TBQgfkA22jknBL3nIs/FohalxF97R&#10;uQyViCHsU1RQh9ClUnpdk0U/dR1x5L5dbzFE2FfS9HiJ4baVT0kylxYbjg01drSuSf+UJ6uAN0NR&#10;fLZavz8X4e/4taWXrjop9fgwS15BBBrCXXxzf5g4f76E6zPxAp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vSCPvQAA&#10;ANwAAAAPAAAAAAAAAAEAIAAAACIAAABkcnMvZG93bnJldi54bWxQSwECFAAUAAAACACHTuJAMy8F&#10;njsAAAA5AAAAEAAAAAAAAAABACAAAAAMAQAAZHJzL3NoYXBleG1sLnhtbFBLBQYAAAAABgAGAFsB&#10;AAC2AwAAAAA=&#10;">
                        <v:fill on="f" focussize="0,0"/>
                        <v:stroke weight="1pt" color="#000000" joinstyle="round" dashstyle="longDash" endarrow="block"/>
                        <v:imagedata o:title=""/>
                        <o:lock v:ext="edit" aspectratio="f"/>
                        <v:shadow on="t" color="#000000" opacity="24903f" offset="0pt,1.5748031496063pt" origin="0f,32768f" matrix="65536f,0f,0f,65536f"/>
                      </v:line>
                      <v:shape id="文本框 11" o:spid="_x0000_s1026" o:spt="202" type="#_x0000_t202" style="position:absolute;left:13229;top:93722;height:956;width:2551;v-text-anchor:middle;" fillcolor="#FFFFFF" filled="t" stroked="t" coordsize="21600,21600" o:gfxdata="UEsDBAoAAAAAAIdO4kAAAAAAAAAAAAAAAAAEAAAAZHJzL1BLAwQUAAAACACHTuJANCZXhcAAAADc&#10;AAAADwAAAGRycy9kb3ducmV2LnhtbEWPT08CMRDF7yZ8h2ZMvEkLBiELhQOoMeHEYky4TbbjdnU7&#10;XbeVP9+eOZhwm8l7895vFqtzaNWR+tREtjAaGlDEVXQN1xY+9q+PM1ApIztsI5OFCyVYLQd3Cyxc&#10;PPGOjmWulYRwKtCCz7krtE6Vp4BpGDti0b5iHzDL2tfa9XiS8NDqsTHPOmDD0uCxo7Wn6qf8Cxa2&#10;v09pY3azZmrWnR+/TD7Lw/ebtQ/3IzMHlemcb+b/63cn+FPBl2dkAr2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JleF&#10;wAAAANwAAAAPAAAAAAAAAAEAIAAAACIAAABkcnMvZG93bnJldi54bWxQSwECFAAUAAAACACHTuJA&#10;My8FnjsAAAA5AAAAEAAAAAAAAAABACAAAAAPAQAAZHJzL3NoYXBleG1sLnhtbFBLBQYAAAAABgAG&#10;AFsBAAC5AwAAAAA=&#10;">
                        <v:fill on="t" focussize="0,0"/>
                        <v:stroke weight="1pt" color="#000000" joinstyle="round" dashstyle="longDash"/>
                        <v:imagedata o:title=""/>
                        <o:lock v:ext="edit" aspectratio="f"/>
                        <v:textbox>
                          <w:txbxContent>
                            <w:p w14:paraId="615378E2">
                              <w:pPr>
                                <w:jc w:val="both"/>
                                <w:rPr>
                                  <w:rFonts w:hint="default" w:eastAsia="宋体"/>
                                  <w:sz w:val="18"/>
                                  <w:szCs w:val="18"/>
                                  <w:lang w:val="en-US" w:eastAsia="zh-CN"/>
                                </w:rPr>
                              </w:pPr>
                              <w:r>
                                <w:rPr>
                                  <w:rFonts w:hint="eastAsia" w:eastAsia="宋体"/>
                                  <w:sz w:val="18"/>
                                  <w:szCs w:val="18"/>
                                  <w:lang w:val="en-US" w:eastAsia="zh-CN"/>
                                </w:rPr>
                                <w:t>容器第三次及以后清洗废水、纯水制备废水、高压蒸汽灭菌废水</w:t>
                              </w:r>
                            </w:p>
                          </w:txbxContent>
                        </v:textbox>
                      </v:shape>
                      <v:shape id="文本框 11" o:spid="_x0000_s1026" o:spt="202" type="#_x0000_t202" style="position:absolute;left:13230;top:89592;height:567;width:1814;v-text-anchor:middle;" fillcolor="#FFFFFF" filled="t" stroked="t" coordsize="21600,21600" o:gfxdata="UEsDBAoAAAAAAIdO4kAAAAAAAAAAAAAAAAAEAAAAZHJzL1BLAwQUAAAACACHTuJAW2ryHrwAAADc&#10;AAAADwAAAGRycy9kb3ducmV2LnhtbEVPS2sCMRC+C/6HMII3TVZpldXowbZS6MltEbwNm3Gzupls&#10;N/HRf98UCt7m43vOcn13jbhSF2rPGrKxAkFcelNzpeHr8200BxEissHGM2n4oQDrVb+3xNz4G+/o&#10;WsRKpBAOOWqwMba5lKG05DCMfUucuKPvHMYEu0qaDm8p3DVyotSzdFhzarDY0sZSeS4uTsPH9zS8&#10;qN28nqlNayevT/vicNpqPRxkagEi0j0+xP/ud5PmzzL4eyZd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q8h68AAAA&#10;3AAAAA8AAAAAAAAAAQAgAAAAIgAAAGRycy9kb3ducmV2LnhtbFBLAQIUABQAAAAIAIdO4kAzLwWe&#10;OwAAADkAAAAQAAAAAAAAAAEAIAAAAAsBAABkcnMvc2hhcGV4bWwueG1sUEsFBgAAAAAGAAYAWwEA&#10;ALUDAAAAAA==&#10;">
                        <v:fill on="t" focussize="0,0"/>
                        <v:stroke weight="1pt" color="#000000" joinstyle="round" dashstyle="longDash"/>
                        <v:imagedata o:title=""/>
                        <o:lock v:ext="edit" aspectratio="f"/>
                        <v:textbox>
                          <w:txbxContent>
                            <w:p w14:paraId="62FAF400">
                              <w:pPr>
                                <w:jc w:val="center"/>
                                <w:rPr>
                                  <w:color w:val="000000"/>
                                  <w:sz w:val="18"/>
                                  <w:szCs w:val="18"/>
                                </w:rPr>
                              </w:pPr>
                              <w:r>
                                <w:rPr>
                                  <w:rFonts w:hint="eastAsia"/>
                                  <w:color w:val="000000"/>
                                  <w:sz w:val="18"/>
                                  <w:szCs w:val="18"/>
                                </w:rPr>
                                <w:t>有机废气</w:t>
                              </w:r>
                            </w:p>
                          </w:txbxContent>
                        </v:textbox>
                      </v:shape>
                      <w10:wrap type="topAndBottom"/>
                    </v:group>
                  </w:pict>
                </mc:Fallback>
              </mc:AlternateContent>
            </w:r>
            <w:r>
              <w:rPr>
                <w:rFonts w:hint="eastAsia" w:cs="Times New Roman"/>
                <w:b/>
                <w:bCs/>
                <w:color w:val="auto"/>
                <w:sz w:val="24"/>
                <w:szCs w:val="32"/>
                <w:highlight w:val="none"/>
                <w:lang w:val="en-US" w:eastAsia="zh-CN"/>
              </w:rPr>
              <w:t xml:space="preserve"> </w:t>
            </w:r>
            <w:r>
              <w:rPr>
                <w:rFonts w:hint="default" w:ascii="Times New Roman" w:hAnsi="Times New Roman" w:eastAsia="宋体" w:cs="Times New Roman"/>
                <w:b/>
                <w:bCs/>
                <w:color w:val="auto"/>
                <w:sz w:val="24"/>
                <w:szCs w:val="32"/>
                <w:highlight w:val="none"/>
              </w:rPr>
              <w:t xml:space="preserve"> </w:t>
            </w:r>
            <w:r>
              <w:rPr>
                <w:rFonts w:hint="eastAsia" w:cs="Times New Roman"/>
                <w:b/>
                <w:bCs/>
                <w:color w:val="auto"/>
                <w:sz w:val="24"/>
                <w:szCs w:val="32"/>
                <w:highlight w:val="none"/>
                <w:lang w:val="en-US" w:eastAsia="zh-CN"/>
              </w:rPr>
              <w:t>运营期检测</w:t>
            </w:r>
            <w:r>
              <w:rPr>
                <w:rFonts w:hint="default" w:ascii="Times New Roman" w:hAnsi="Times New Roman" w:eastAsia="宋体" w:cs="Times New Roman"/>
                <w:b/>
                <w:bCs/>
                <w:color w:val="auto"/>
                <w:sz w:val="24"/>
                <w:szCs w:val="32"/>
                <w:highlight w:val="none"/>
              </w:rPr>
              <w:t>流程及产污节点图</w:t>
            </w:r>
          </w:p>
          <w:p w14:paraId="63FED2F1">
            <w:pPr>
              <w:numPr>
                <w:ilvl w:val="0"/>
                <w:numId w:val="27"/>
              </w:numPr>
              <w:adjustRightInd w:val="0"/>
              <w:snapToGrid w:val="0"/>
              <w:spacing w:line="360" w:lineRule="auto"/>
              <w:ind w:firstLine="482" w:firstLineChars="200"/>
              <w:rPr>
                <w:rFonts w:hint="default" w:ascii="Times New Roman" w:hAnsi="Times New Roman" w:eastAsia="宋体" w:cs="Times New Roman"/>
                <w:b/>
                <w:bCs w:val="0"/>
                <w:color w:val="auto"/>
                <w:sz w:val="24"/>
                <w:highlight w:val="none"/>
                <w:lang w:val="en-US" w:eastAsia="zh-CN"/>
              </w:rPr>
            </w:pPr>
            <w:r>
              <w:rPr>
                <w:rFonts w:hint="eastAsia" w:ascii="Times New Roman" w:hAnsi="Times New Roman" w:eastAsia="宋体" w:cs="Times New Roman"/>
                <w:b/>
                <w:bCs w:val="0"/>
                <w:color w:val="auto"/>
                <w:sz w:val="24"/>
                <w:highlight w:val="none"/>
                <w:lang w:val="en-US" w:eastAsia="zh-CN"/>
              </w:rPr>
              <w:t>水和废水</w:t>
            </w:r>
          </w:p>
          <w:p w14:paraId="04634B2C">
            <w:pPr>
              <w:numPr>
                <w:ilvl w:val="0"/>
                <w:numId w:val="28"/>
              </w:numPr>
              <w:adjustRightInd w:val="0"/>
              <w:snapToGrid w:val="0"/>
              <w:spacing w:line="360" w:lineRule="auto"/>
              <w:ind w:left="0" w:leftChars="0" w:firstLine="482" w:firstLineChars="200"/>
              <w:rPr>
                <w:rFonts w:hint="default" w:cs="Times New Roman"/>
                <w:b/>
                <w:bCs w:val="0"/>
                <w:color w:val="auto"/>
                <w:sz w:val="24"/>
                <w:highlight w:val="none"/>
                <w:lang w:val="en-US" w:eastAsia="zh-CN"/>
              </w:rPr>
            </w:pPr>
            <w:r>
              <w:rPr>
                <w:rFonts w:hint="eastAsia" w:cs="Times New Roman"/>
                <w:b/>
                <w:bCs w:val="0"/>
                <w:color w:val="auto"/>
                <w:sz w:val="24"/>
                <w:highlight w:val="none"/>
                <w:lang w:val="en-US" w:eastAsia="zh-CN"/>
              </w:rPr>
              <w:t>分光光度法</w:t>
            </w:r>
          </w:p>
          <w:p w14:paraId="3D01B7E4">
            <w:pPr>
              <w:numPr>
                <w:ilvl w:val="0"/>
                <w:numId w:val="0"/>
              </w:numPr>
              <w:adjustRightInd w:val="0"/>
              <w:snapToGrid w:val="0"/>
              <w:spacing w:line="360" w:lineRule="auto"/>
              <w:ind w:firstLine="480" w:firstLineChars="200"/>
              <w:rPr>
                <w:rFonts w:hint="default" w:ascii="Times New Roman" w:hAnsi="Times New Roman" w:eastAsia="宋体" w:cs="Times New Roman"/>
                <w:b w:val="0"/>
                <w:bCs/>
                <w:color w:val="auto"/>
                <w:sz w:val="24"/>
                <w:highlight w:val="none"/>
                <w:lang w:val="en-US" w:eastAsia="zh-CN"/>
              </w:rPr>
            </w:pPr>
            <w:r>
              <w:rPr>
                <w:rFonts w:hint="eastAsia" w:cs="Times New Roman"/>
                <w:b w:val="0"/>
                <w:bCs/>
                <w:color w:val="auto"/>
                <w:sz w:val="24"/>
                <w:highlight w:val="none"/>
                <w:lang w:val="en-US" w:eastAsia="zh-CN"/>
              </w:rPr>
              <w:t>以氨氮、总氮、总磷、甲醛</w:t>
            </w:r>
            <w:r>
              <w:rPr>
                <w:rFonts w:hint="default" w:cs="Times New Roman"/>
                <w:b w:val="0"/>
                <w:bCs/>
                <w:color w:val="auto"/>
                <w:sz w:val="24"/>
                <w:highlight w:val="none"/>
                <w:lang w:val="en-US" w:eastAsia="zh-CN"/>
              </w:rPr>
              <w:t>的测定为典型的产污环节</w:t>
            </w:r>
            <w:r>
              <w:rPr>
                <w:rFonts w:hint="eastAsia" w:cs="Times New Roman"/>
                <w:b w:val="0"/>
                <w:bCs/>
                <w:color w:val="auto"/>
                <w:sz w:val="24"/>
                <w:highlight w:val="none"/>
                <w:lang w:val="en-US" w:eastAsia="zh-CN"/>
              </w:rPr>
              <w:t>。</w:t>
            </w:r>
          </w:p>
          <w:p w14:paraId="5E2BEF83">
            <w:pPr>
              <w:numPr>
                <w:ilvl w:val="0"/>
                <w:numId w:val="0"/>
              </w:numPr>
              <w:adjustRightInd w:val="0"/>
              <w:snapToGrid w:val="0"/>
              <w:spacing w:line="360" w:lineRule="auto"/>
              <w:ind w:firstLine="482"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样品采集与保存</w:t>
            </w:r>
            <w:r>
              <w:rPr>
                <w:rFonts w:hint="eastAsia" w:cs="Times New Roman"/>
                <w:b/>
                <w:bCs w:val="0"/>
                <w:color w:val="auto"/>
                <w:sz w:val="24"/>
                <w:highlight w:val="none"/>
                <w:lang w:val="en-US" w:eastAsia="zh-CN"/>
              </w:rPr>
              <w:t>：</w:t>
            </w:r>
            <w:r>
              <w:rPr>
                <w:rFonts w:hint="eastAsia" w:cs="Times New Roman"/>
                <w:b w:val="0"/>
                <w:bCs/>
                <w:color w:val="auto"/>
                <w:sz w:val="24"/>
                <w:highlight w:val="none"/>
                <w:lang w:val="en-US" w:eastAsia="zh-CN"/>
              </w:rPr>
              <w:t>按照标准要求分别用</w:t>
            </w:r>
            <w:r>
              <w:rPr>
                <w:rFonts w:hint="default" w:ascii="Times New Roman" w:hAnsi="Times New Roman" w:eastAsia="宋体" w:cs="Times New Roman"/>
                <w:b w:val="0"/>
                <w:bCs/>
                <w:color w:val="auto"/>
                <w:sz w:val="24"/>
                <w:highlight w:val="none"/>
                <w:lang w:val="en-US" w:eastAsia="zh-CN"/>
              </w:rPr>
              <w:t>玻璃瓶</w:t>
            </w:r>
            <w:r>
              <w:rPr>
                <w:rFonts w:hint="eastAsia" w:cs="Times New Roman"/>
                <w:b w:val="0"/>
                <w:bCs/>
                <w:color w:val="auto"/>
                <w:sz w:val="24"/>
                <w:highlight w:val="none"/>
                <w:lang w:val="en-US" w:eastAsia="zh-CN"/>
              </w:rPr>
              <w:t>或聚乙烯瓶采集水样</w:t>
            </w:r>
            <w:r>
              <w:rPr>
                <w:rFonts w:hint="default" w:ascii="Times New Roman" w:hAnsi="Times New Roman" w:eastAsia="宋体" w:cs="Times New Roman"/>
                <w:b w:val="0"/>
                <w:bCs/>
                <w:color w:val="auto"/>
                <w:sz w:val="24"/>
                <w:highlight w:val="none"/>
                <w:lang w:val="en-US" w:eastAsia="zh-CN"/>
              </w:rPr>
              <w:t>，样品按照技术规范要求密封保存</w:t>
            </w:r>
            <w:r>
              <w:rPr>
                <w:rFonts w:hint="eastAsia" w:cs="Times New Roman"/>
                <w:b w:val="0"/>
                <w:bCs/>
                <w:color w:val="auto"/>
                <w:sz w:val="24"/>
                <w:highlight w:val="none"/>
                <w:lang w:val="en-US" w:eastAsia="zh-CN"/>
              </w:rPr>
              <w:t>待检</w:t>
            </w:r>
            <w:r>
              <w:rPr>
                <w:rFonts w:hint="default" w:ascii="Times New Roman" w:hAnsi="Times New Roman" w:eastAsia="宋体" w:cs="Times New Roman"/>
                <w:b w:val="0"/>
                <w:bCs/>
                <w:color w:val="auto"/>
                <w:sz w:val="24"/>
                <w:highlight w:val="none"/>
                <w:lang w:val="en-US" w:eastAsia="zh-CN"/>
              </w:rPr>
              <w:t>。</w:t>
            </w:r>
          </w:p>
          <w:p w14:paraId="5162D3FC">
            <w:pPr>
              <w:numPr>
                <w:ilvl w:val="0"/>
                <w:numId w:val="0"/>
              </w:numPr>
              <w:adjustRightInd w:val="0"/>
              <w:snapToGrid w:val="0"/>
              <w:spacing w:line="360" w:lineRule="auto"/>
              <w:ind w:firstLine="482"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试剂配制</w:t>
            </w:r>
            <w:r>
              <w:rPr>
                <w:rFonts w:hint="eastAsia" w:cs="Times New Roman"/>
                <w:b/>
                <w:bCs w:val="0"/>
                <w:color w:val="auto"/>
                <w:sz w:val="24"/>
                <w:highlight w:val="none"/>
                <w:lang w:val="en-US" w:eastAsia="zh-CN"/>
              </w:rPr>
              <w:t>：</w:t>
            </w:r>
            <w:r>
              <w:rPr>
                <w:rFonts w:hint="default" w:ascii="Times New Roman" w:hAnsi="Times New Roman" w:eastAsia="宋体" w:cs="Times New Roman"/>
                <w:b w:val="0"/>
                <w:bCs/>
                <w:color w:val="auto"/>
                <w:sz w:val="24"/>
                <w:highlight w:val="none"/>
                <w:lang w:val="en-US" w:eastAsia="zh-CN"/>
              </w:rPr>
              <w:t>根据</w:t>
            </w:r>
            <w:r>
              <w:rPr>
                <w:rFonts w:hint="eastAsia" w:cs="Times New Roman"/>
                <w:b w:val="0"/>
                <w:bCs/>
                <w:color w:val="auto"/>
                <w:sz w:val="24"/>
                <w:highlight w:val="none"/>
                <w:lang w:val="en-US" w:eastAsia="zh-CN"/>
              </w:rPr>
              <w:t>不同</w:t>
            </w:r>
            <w:r>
              <w:rPr>
                <w:rFonts w:hint="default" w:ascii="Times New Roman" w:hAnsi="Times New Roman" w:eastAsia="宋体" w:cs="Times New Roman"/>
                <w:b w:val="0"/>
                <w:bCs/>
                <w:color w:val="auto"/>
                <w:sz w:val="24"/>
                <w:highlight w:val="none"/>
                <w:lang w:val="en-US" w:eastAsia="zh-CN"/>
              </w:rPr>
              <w:t>检测项目</w:t>
            </w:r>
            <w:r>
              <w:rPr>
                <w:rFonts w:hint="eastAsia" w:cs="Times New Roman"/>
                <w:b w:val="0"/>
                <w:bCs/>
                <w:color w:val="auto"/>
                <w:sz w:val="24"/>
                <w:highlight w:val="none"/>
                <w:lang w:val="en-US" w:eastAsia="zh-CN"/>
              </w:rPr>
              <w:t>，</w:t>
            </w:r>
            <w:r>
              <w:rPr>
                <w:rFonts w:hint="default" w:ascii="Times New Roman" w:hAnsi="Times New Roman" w:eastAsia="宋体" w:cs="Times New Roman"/>
                <w:b w:val="0"/>
                <w:bCs/>
                <w:color w:val="auto"/>
                <w:sz w:val="24"/>
                <w:highlight w:val="none"/>
                <w:lang w:val="en-US" w:eastAsia="zh-CN"/>
              </w:rPr>
              <w:t>按照标准配制检测液，涉及挥发性试剂在通风橱</w:t>
            </w:r>
            <w:r>
              <w:rPr>
                <w:rFonts w:hint="eastAsia" w:cs="Times New Roman"/>
                <w:b w:val="0"/>
                <w:bCs/>
                <w:color w:val="auto"/>
                <w:sz w:val="24"/>
                <w:highlight w:val="none"/>
                <w:lang w:val="en-US" w:eastAsia="zh-CN"/>
              </w:rPr>
              <w:t>内</w:t>
            </w:r>
            <w:r>
              <w:rPr>
                <w:rFonts w:hint="default" w:ascii="Times New Roman" w:hAnsi="Times New Roman" w:eastAsia="宋体" w:cs="Times New Roman"/>
                <w:b w:val="0"/>
                <w:bCs/>
                <w:color w:val="auto"/>
                <w:sz w:val="24"/>
                <w:highlight w:val="none"/>
                <w:lang w:val="en-US" w:eastAsia="zh-CN"/>
              </w:rPr>
              <w:t>操作。</w:t>
            </w:r>
          </w:p>
          <w:p w14:paraId="5A860A1F">
            <w:pPr>
              <w:numPr>
                <w:ilvl w:val="0"/>
                <w:numId w:val="0"/>
              </w:numPr>
              <w:adjustRightInd w:val="0"/>
              <w:snapToGrid w:val="0"/>
              <w:spacing w:line="360" w:lineRule="auto"/>
              <w:ind w:firstLine="482" w:firstLineChars="200"/>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该</w:t>
            </w:r>
            <w:r>
              <w:rPr>
                <w:rFonts w:hint="default" w:ascii="Times New Roman" w:hAnsi="Times New Roman" w:eastAsia="宋体" w:cs="Times New Roman"/>
                <w:b/>
                <w:bCs w:val="0"/>
                <w:color w:val="auto"/>
                <w:sz w:val="24"/>
                <w:highlight w:val="none"/>
                <w:lang w:val="en-US" w:eastAsia="zh-CN"/>
              </w:rPr>
              <w:t>过程产生挥发性有机废气</w:t>
            </w:r>
            <w:r>
              <w:rPr>
                <w:rFonts w:hint="eastAsia" w:cs="Times New Roman"/>
                <w:b/>
                <w:bCs w:val="0"/>
                <w:color w:val="auto"/>
                <w:sz w:val="24"/>
                <w:highlight w:val="none"/>
                <w:lang w:val="en-US" w:eastAsia="zh-CN"/>
              </w:rPr>
              <w:t>G1</w:t>
            </w:r>
            <w:r>
              <w:rPr>
                <w:rFonts w:hint="default" w:ascii="Times New Roman" w:hAnsi="Times New Roman" w:eastAsia="宋体" w:cs="Times New Roman"/>
                <w:b/>
                <w:bCs w:val="0"/>
                <w:color w:val="auto"/>
                <w:sz w:val="24"/>
                <w:highlight w:val="none"/>
                <w:lang w:val="en-US" w:eastAsia="zh-CN"/>
              </w:rPr>
              <w:t>、</w:t>
            </w:r>
            <w:r>
              <w:rPr>
                <w:rFonts w:hint="eastAsia" w:cs="Times New Roman"/>
                <w:b/>
                <w:bCs w:val="0"/>
                <w:color w:val="auto"/>
                <w:sz w:val="24"/>
                <w:highlight w:val="none"/>
                <w:lang w:val="en-US" w:eastAsia="zh-CN"/>
              </w:rPr>
              <w:t>挥发性无机废气G2（硫酸</w:t>
            </w:r>
            <w:r>
              <w:rPr>
                <w:rFonts w:hint="default" w:ascii="Times New Roman" w:hAnsi="Times New Roman" w:eastAsia="宋体" w:cs="Times New Roman"/>
                <w:b/>
                <w:bCs w:val="0"/>
                <w:color w:val="auto"/>
                <w:sz w:val="24"/>
                <w:highlight w:val="none"/>
                <w:lang w:val="en-US" w:eastAsia="zh-CN"/>
              </w:rPr>
              <w:t>雾、氯化氢</w:t>
            </w:r>
            <w:r>
              <w:rPr>
                <w:rFonts w:hint="eastAsia" w:cs="Times New Roman"/>
                <w:b/>
                <w:bCs w:val="0"/>
                <w:color w:val="auto"/>
                <w:sz w:val="24"/>
                <w:highlight w:val="none"/>
                <w:lang w:val="en-US" w:eastAsia="zh-CN"/>
              </w:rPr>
              <w:t>、氨、硝酸雾）、清洗废液S1、清洗废水W1、废试剂瓶S2、废一次性实验耗材（废手套、废称量纸、废移液枪头等）S3。</w:t>
            </w:r>
          </w:p>
          <w:p w14:paraId="21B20987">
            <w:pPr>
              <w:numPr>
                <w:ilvl w:val="0"/>
                <w:numId w:val="0"/>
              </w:numPr>
              <w:adjustRightInd w:val="0"/>
              <w:snapToGrid w:val="0"/>
              <w:spacing w:line="360" w:lineRule="auto"/>
              <w:ind w:firstLine="482" w:firstLineChars="200"/>
              <w:rPr>
                <w:rFonts w:hint="default" w:cs="Times New Roman"/>
                <w:b w:val="0"/>
                <w:bCs/>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样品处理</w:t>
            </w:r>
            <w:r>
              <w:rPr>
                <w:rFonts w:hint="eastAsia" w:cs="Times New Roman"/>
                <w:b/>
                <w:bCs w:val="0"/>
                <w:color w:val="auto"/>
                <w:sz w:val="24"/>
                <w:highlight w:val="none"/>
                <w:lang w:val="en-US" w:eastAsia="zh-CN"/>
              </w:rPr>
              <w:t>：</w:t>
            </w:r>
            <w:r>
              <w:rPr>
                <w:rFonts w:hint="default" w:ascii="Times New Roman" w:hAnsi="Times New Roman" w:eastAsia="宋体" w:cs="Times New Roman"/>
                <w:b w:val="0"/>
                <w:bCs/>
                <w:color w:val="auto"/>
                <w:sz w:val="24"/>
                <w:highlight w:val="none"/>
                <w:lang w:val="en-US" w:eastAsia="zh-CN"/>
              </w:rPr>
              <w:t>根据</w:t>
            </w:r>
            <w:r>
              <w:rPr>
                <w:rFonts w:hint="eastAsia" w:cs="Times New Roman"/>
                <w:b w:val="0"/>
                <w:bCs/>
                <w:color w:val="auto"/>
                <w:sz w:val="24"/>
                <w:highlight w:val="none"/>
                <w:lang w:val="en-US" w:eastAsia="zh-CN"/>
              </w:rPr>
              <w:t>不同</w:t>
            </w:r>
            <w:r>
              <w:rPr>
                <w:rFonts w:hint="default" w:ascii="Times New Roman" w:hAnsi="Times New Roman" w:eastAsia="宋体" w:cs="Times New Roman"/>
                <w:b w:val="0"/>
                <w:bCs/>
                <w:color w:val="auto"/>
                <w:sz w:val="24"/>
                <w:highlight w:val="none"/>
                <w:lang w:val="en-US" w:eastAsia="zh-CN"/>
              </w:rPr>
              <w:t>检测项目</w:t>
            </w:r>
            <w:r>
              <w:rPr>
                <w:rFonts w:hint="eastAsia" w:cs="Times New Roman"/>
                <w:b w:val="0"/>
                <w:bCs/>
                <w:color w:val="auto"/>
                <w:sz w:val="24"/>
                <w:highlight w:val="none"/>
                <w:lang w:val="en-US" w:eastAsia="zh-CN"/>
              </w:rPr>
              <w:t>，</w:t>
            </w:r>
            <w:r>
              <w:rPr>
                <w:rFonts w:hint="default" w:ascii="Times New Roman" w:hAnsi="Times New Roman" w:eastAsia="宋体" w:cs="Times New Roman"/>
                <w:b w:val="0"/>
                <w:bCs/>
                <w:color w:val="auto"/>
                <w:sz w:val="24"/>
                <w:highlight w:val="none"/>
                <w:lang w:val="en-US" w:eastAsia="zh-CN"/>
              </w:rPr>
              <w:t>按照标准对样品进行处理，涉及挥发性试剂在通风橱</w:t>
            </w:r>
            <w:r>
              <w:rPr>
                <w:rFonts w:hint="eastAsia" w:cs="Times New Roman"/>
                <w:b w:val="0"/>
                <w:bCs/>
                <w:color w:val="auto"/>
                <w:sz w:val="24"/>
                <w:highlight w:val="none"/>
                <w:lang w:val="en-US" w:eastAsia="zh-CN"/>
              </w:rPr>
              <w:t>内</w:t>
            </w:r>
            <w:r>
              <w:rPr>
                <w:rFonts w:hint="default" w:ascii="Times New Roman" w:hAnsi="Times New Roman" w:eastAsia="宋体" w:cs="Times New Roman"/>
                <w:b w:val="0"/>
                <w:bCs/>
                <w:color w:val="auto"/>
                <w:sz w:val="24"/>
                <w:highlight w:val="none"/>
                <w:lang w:val="en-US" w:eastAsia="zh-CN"/>
              </w:rPr>
              <w:t>操作</w:t>
            </w:r>
            <w:r>
              <w:rPr>
                <w:rFonts w:hint="default" w:cs="Times New Roman"/>
                <w:b w:val="0"/>
                <w:bCs/>
                <w:color w:val="auto"/>
                <w:sz w:val="24"/>
                <w:highlight w:val="none"/>
                <w:lang w:val="en-US" w:eastAsia="zh-CN"/>
              </w:rPr>
              <w:t>。</w:t>
            </w:r>
          </w:p>
          <w:p w14:paraId="5295B4DD">
            <w:pPr>
              <w:numPr>
                <w:ilvl w:val="0"/>
                <w:numId w:val="0"/>
              </w:numPr>
              <w:adjustRightInd w:val="0"/>
              <w:snapToGrid w:val="0"/>
              <w:spacing w:line="360" w:lineRule="auto"/>
              <w:ind w:firstLine="482" w:firstLineChars="200"/>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该</w:t>
            </w:r>
            <w:r>
              <w:rPr>
                <w:rFonts w:hint="default" w:ascii="Times New Roman" w:hAnsi="Times New Roman" w:eastAsia="宋体" w:cs="Times New Roman"/>
                <w:b/>
                <w:bCs w:val="0"/>
                <w:color w:val="auto"/>
                <w:sz w:val="24"/>
                <w:highlight w:val="none"/>
                <w:lang w:val="en-US" w:eastAsia="zh-CN"/>
              </w:rPr>
              <w:t>过程产生挥发性有机废气</w:t>
            </w:r>
            <w:r>
              <w:rPr>
                <w:rFonts w:hint="eastAsia" w:cs="Times New Roman"/>
                <w:b/>
                <w:bCs w:val="0"/>
                <w:color w:val="auto"/>
                <w:sz w:val="24"/>
                <w:highlight w:val="none"/>
                <w:lang w:val="en-US" w:eastAsia="zh-CN"/>
              </w:rPr>
              <w:t>G3</w:t>
            </w:r>
            <w:r>
              <w:rPr>
                <w:rFonts w:hint="default" w:ascii="Times New Roman" w:hAnsi="Times New Roman" w:eastAsia="宋体" w:cs="Times New Roman"/>
                <w:b/>
                <w:bCs w:val="0"/>
                <w:color w:val="auto"/>
                <w:sz w:val="24"/>
                <w:highlight w:val="none"/>
                <w:lang w:val="en-US" w:eastAsia="zh-CN"/>
              </w:rPr>
              <w:t>、</w:t>
            </w:r>
            <w:r>
              <w:rPr>
                <w:rFonts w:hint="eastAsia" w:cs="Times New Roman"/>
                <w:b/>
                <w:bCs w:val="0"/>
                <w:color w:val="auto"/>
                <w:sz w:val="24"/>
                <w:highlight w:val="none"/>
                <w:lang w:val="en-US" w:eastAsia="zh-CN"/>
              </w:rPr>
              <w:t>挥发性无机废气G4（硫酸</w:t>
            </w:r>
            <w:r>
              <w:rPr>
                <w:rFonts w:hint="default" w:ascii="Times New Roman" w:hAnsi="Times New Roman" w:eastAsia="宋体" w:cs="Times New Roman"/>
                <w:b/>
                <w:bCs w:val="0"/>
                <w:color w:val="auto"/>
                <w:sz w:val="24"/>
                <w:highlight w:val="none"/>
                <w:lang w:val="en-US" w:eastAsia="zh-CN"/>
              </w:rPr>
              <w:t>雾、氯化氢</w:t>
            </w:r>
            <w:r>
              <w:rPr>
                <w:rFonts w:hint="eastAsia" w:cs="Times New Roman"/>
                <w:b/>
                <w:bCs w:val="0"/>
                <w:color w:val="auto"/>
                <w:sz w:val="24"/>
                <w:highlight w:val="none"/>
                <w:lang w:val="en-US" w:eastAsia="zh-CN"/>
              </w:rPr>
              <w:t>、氨、硝酸雾）、清洗废液S1、清洗废水W1、废一次性实验耗材（废手套等）S3。</w:t>
            </w:r>
          </w:p>
          <w:p w14:paraId="745C1312">
            <w:pPr>
              <w:numPr>
                <w:ilvl w:val="0"/>
                <w:numId w:val="0"/>
              </w:numPr>
              <w:adjustRightInd w:val="0"/>
              <w:snapToGrid w:val="0"/>
              <w:spacing w:line="360" w:lineRule="auto"/>
              <w:ind w:firstLine="482" w:firstLineChars="200"/>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上机检测</w:t>
            </w:r>
            <w:r>
              <w:rPr>
                <w:rFonts w:hint="eastAsia" w:cs="Times New Roman"/>
                <w:b/>
                <w:bCs w:val="0"/>
                <w:color w:val="auto"/>
                <w:sz w:val="24"/>
                <w:highlight w:val="none"/>
                <w:lang w:val="en-US" w:eastAsia="zh-CN"/>
              </w:rPr>
              <w:t>：</w:t>
            </w:r>
            <w:r>
              <w:rPr>
                <w:rFonts w:hint="default" w:cs="Times New Roman"/>
                <w:b w:val="0"/>
                <w:bCs/>
                <w:color w:val="auto"/>
                <w:sz w:val="24"/>
                <w:highlight w:val="none"/>
                <w:lang w:val="en-US" w:eastAsia="zh-CN"/>
              </w:rPr>
              <w:t>对处理后的样品上机检测，</w:t>
            </w:r>
            <w:r>
              <w:rPr>
                <w:rFonts w:hint="eastAsia" w:cs="Times New Roman"/>
                <w:b w:val="0"/>
                <w:bCs/>
                <w:color w:val="auto"/>
                <w:sz w:val="24"/>
                <w:highlight w:val="none"/>
                <w:lang w:val="en-US" w:eastAsia="zh-CN"/>
              </w:rPr>
              <w:t>根据不同检测项目选择不同仪器条件，在一定波长下测</w:t>
            </w:r>
            <w:r>
              <w:rPr>
                <w:rFonts w:hint="default" w:cs="Times New Roman"/>
                <w:b w:val="0"/>
                <w:bCs/>
                <w:color w:val="auto"/>
                <w:sz w:val="24"/>
                <w:highlight w:val="none"/>
                <w:lang w:val="en-US" w:eastAsia="zh-CN"/>
              </w:rPr>
              <w:t>定吸光度，电脑分析数据出具报告。</w:t>
            </w:r>
          </w:p>
          <w:p w14:paraId="12AC7063">
            <w:pPr>
              <w:numPr>
                <w:ilvl w:val="0"/>
                <w:numId w:val="0"/>
              </w:numPr>
              <w:adjustRightInd w:val="0"/>
              <w:snapToGrid w:val="0"/>
              <w:spacing w:line="360" w:lineRule="auto"/>
              <w:ind w:firstLine="482" w:firstLineChars="200"/>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该</w:t>
            </w:r>
            <w:r>
              <w:rPr>
                <w:rFonts w:hint="default" w:ascii="Times New Roman" w:hAnsi="Times New Roman" w:eastAsia="宋体" w:cs="Times New Roman"/>
                <w:b/>
                <w:bCs w:val="0"/>
                <w:color w:val="auto"/>
                <w:sz w:val="24"/>
                <w:highlight w:val="none"/>
                <w:lang w:val="en-US" w:eastAsia="zh-CN"/>
              </w:rPr>
              <w:t>过程产生</w:t>
            </w:r>
            <w:r>
              <w:rPr>
                <w:rFonts w:hint="eastAsia" w:cs="Times New Roman"/>
                <w:b/>
                <w:bCs w:val="0"/>
                <w:color w:val="auto"/>
                <w:sz w:val="24"/>
                <w:highlight w:val="none"/>
                <w:lang w:val="en-US" w:eastAsia="zh-CN"/>
              </w:rPr>
              <w:t>清洗废液S1、清洗废水W1、废一次性实验耗材（废手套等）S3、检测废液S4。</w:t>
            </w:r>
          </w:p>
          <w:p w14:paraId="45A73937">
            <w:pPr>
              <w:numPr>
                <w:ilvl w:val="0"/>
                <w:numId w:val="28"/>
              </w:numPr>
              <w:adjustRightInd w:val="0"/>
              <w:snapToGrid w:val="0"/>
              <w:spacing w:line="360" w:lineRule="auto"/>
              <w:ind w:left="0" w:leftChars="0" w:firstLine="482" w:firstLineChars="200"/>
              <w:rPr>
                <w:rFonts w:hint="default" w:cs="Times New Roman"/>
                <w:b/>
                <w:bCs w:val="0"/>
                <w:color w:val="auto"/>
                <w:sz w:val="24"/>
                <w:highlight w:val="none"/>
                <w:lang w:val="en-US" w:eastAsia="zh-CN"/>
              </w:rPr>
            </w:pPr>
            <w:r>
              <w:rPr>
                <w:rFonts w:hint="default" w:cs="Times New Roman"/>
                <w:b/>
                <w:bCs w:val="0"/>
                <w:color w:val="auto"/>
                <w:sz w:val="24"/>
                <w:highlight w:val="none"/>
                <w:lang w:val="en-US" w:eastAsia="zh-CN"/>
              </w:rPr>
              <w:t>重量法</w:t>
            </w:r>
          </w:p>
          <w:p w14:paraId="4FA2FC2C">
            <w:pPr>
              <w:numPr>
                <w:ilvl w:val="0"/>
                <w:numId w:val="0"/>
              </w:numPr>
              <w:adjustRightInd w:val="0"/>
              <w:snapToGrid w:val="0"/>
              <w:spacing w:line="360" w:lineRule="auto"/>
              <w:ind w:firstLine="480"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以全盐量、悬浮物的测定为典型的产污环节</w:t>
            </w:r>
            <w:r>
              <w:rPr>
                <w:rFonts w:hint="eastAsia" w:cs="Times New Roman"/>
                <w:b w:val="0"/>
                <w:bCs/>
                <w:color w:val="auto"/>
                <w:sz w:val="24"/>
                <w:highlight w:val="none"/>
                <w:lang w:val="en-US" w:eastAsia="zh-CN"/>
              </w:rPr>
              <w:t>。</w:t>
            </w:r>
          </w:p>
          <w:p w14:paraId="7FB82408">
            <w:pPr>
              <w:numPr>
                <w:ilvl w:val="0"/>
                <w:numId w:val="0"/>
              </w:numPr>
              <w:adjustRightInd w:val="0"/>
              <w:snapToGrid w:val="0"/>
              <w:spacing w:line="360" w:lineRule="auto"/>
              <w:ind w:firstLine="482"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样品采集与保存</w:t>
            </w:r>
            <w:r>
              <w:rPr>
                <w:rFonts w:hint="eastAsia" w:cs="Times New Roman"/>
                <w:b/>
                <w:bCs w:val="0"/>
                <w:color w:val="auto"/>
                <w:sz w:val="24"/>
                <w:highlight w:val="none"/>
                <w:lang w:val="en-US" w:eastAsia="zh-CN"/>
              </w:rPr>
              <w:t>：</w:t>
            </w:r>
            <w:r>
              <w:rPr>
                <w:rFonts w:hint="eastAsia" w:cs="Times New Roman"/>
                <w:b w:val="0"/>
                <w:bCs/>
                <w:color w:val="auto"/>
                <w:sz w:val="24"/>
                <w:highlight w:val="none"/>
                <w:lang w:val="en-US" w:eastAsia="zh-CN"/>
              </w:rPr>
              <w:t>按照标准要求分别用</w:t>
            </w:r>
            <w:r>
              <w:rPr>
                <w:rFonts w:hint="default" w:ascii="Times New Roman" w:hAnsi="Times New Roman" w:eastAsia="宋体" w:cs="Times New Roman"/>
                <w:b w:val="0"/>
                <w:bCs/>
                <w:color w:val="auto"/>
                <w:sz w:val="24"/>
                <w:highlight w:val="none"/>
                <w:lang w:val="en-US" w:eastAsia="zh-CN"/>
              </w:rPr>
              <w:t>玻璃瓶</w:t>
            </w:r>
            <w:r>
              <w:rPr>
                <w:rFonts w:hint="eastAsia" w:cs="Times New Roman"/>
                <w:b w:val="0"/>
                <w:bCs/>
                <w:color w:val="auto"/>
                <w:sz w:val="24"/>
                <w:highlight w:val="none"/>
                <w:lang w:val="en-US" w:eastAsia="zh-CN"/>
              </w:rPr>
              <w:t>或聚乙烯瓶采集水样</w:t>
            </w:r>
            <w:r>
              <w:rPr>
                <w:rFonts w:hint="default" w:ascii="Times New Roman" w:hAnsi="Times New Roman" w:eastAsia="宋体" w:cs="Times New Roman"/>
                <w:b w:val="0"/>
                <w:bCs/>
                <w:color w:val="auto"/>
                <w:sz w:val="24"/>
                <w:highlight w:val="none"/>
                <w:lang w:val="en-US" w:eastAsia="zh-CN"/>
              </w:rPr>
              <w:t>，样品按照技术规范要求密封保存</w:t>
            </w:r>
            <w:r>
              <w:rPr>
                <w:rFonts w:hint="eastAsia" w:cs="Times New Roman"/>
                <w:b w:val="0"/>
                <w:bCs/>
                <w:color w:val="auto"/>
                <w:sz w:val="24"/>
                <w:highlight w:val="none"/>
                <w:lang w:val="en-US" w:eastAsia="zh-CN"/>
              </w:rPr>
              <w:t>待检</w:t>
            </w:r>
            <w:r>
              <w:rPr>
                <w:rFonts w:hint="default" w:ascii="Times New Roman" w:hAnsi="Times New Roman" w:eastAsia="宋体" w:cs="Times New Roman"/>
                <w:b w:val="0"/>
                <w:bCs/>
                <w:color w:val="auto"/>
                <w:sz w:val="24"/>
                <w:highlight w:val="none"/>
                <w:lang w:val="en-US" w:eastAsia="zh-CN"/>
              </w:rPr>
              <w:t>。</w:t>
            </w:r>
          </w:p>
          <w:p w14:paraId="4FFD7796">
            <w:pPr>
              <w:numPr>
                <w:ilvl w:val="0"/>
                <w:numId w:val="0"/>
              </w:numPr>
              <w:spacing w:line="360" w:lineRule="auto"/>
              <w:ind w:firstLine="482" w:firstLineChars="200"/>
              <w:jc w:val="left"/>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样品</w:t>
            </w:r>
            <w:r>
              <w:rPr>
                <w:rFonts w:hint="eastAsia" w:cs="Times New Roman"/>
                <w:b/>
                <w:bCs w:val="0"/>
                <w:color w:val="auto"/>
                <w:sz w:val="24"/>
                <w:highlight w:val="none"/>
                <w:lang w:val="en-US" w:eastAsia="zh-CN"/>
              </w:rPr>
              <w:t>处理：</w:t>
            </w:r>
            <w:r>
              <w:rPr>
                <w:rFonts w:hint="eastAsia" w:cs="Times New Roman"/>
                <w:b w:val="0"/>
                <w:bCs/>
                <w:color w:val="auto"/>
                <w:sz w:val="24"/>
                <w:highlight w:val="none"/>
                <w:lang w:val="en-US" w:eastAsia="zh-CN"/>
              </w:rPr>
              <w:t>按照标准要求取一定量水样，选择标准要求的滤膜过滤水样</w:t>
            </w:r>
            <w:r>
              <w:rPr>
                <w:rFonts w:hint="default" w:cs="Times New Roman"/>
                <w:b w:val="0"/>
                <w:bCs/>
                <w:color w:val="auto"/>
                <w:sz w:val="24"/>
                <w:highlight w:val="none"/>
                <w:lang w:val="en-US" w:eastAsia="zh-CN"/>
              </w:rPr>
              <w:t>。</w:t>
            </w:r>
          </w:p>
          <w:p w14:paraId="0471ECA7">
            <w:pPr>
              <w:numPr>
                <w:ilvl w:val="0"/>
                <w:numId w:val="0"/>
              </w:numPr>
              <w:spacing w:line="360" w:lineRule="auto"/>
              <w:ind w:firstLine="482" w:firstLineChars="200"/>
              <w:jc w:val="left"/>
              <w:rPr>
                <w:rFonts w:hint="default" w:cs="Times New Roman"/>
                <w:b w:val="0"/>
                <w:bCs/>
                <w:color w:val="auto"/>
                <w:sz w:val="24"/>
                <w:highlight w:val="none"/>
                <w:lang w:val="en-US" w:eastAsia="zh-CN"/>
              </w:rPr>
            </w:pPr>
            <w:r>
              <w:rPr>
                <w:rFonts w:hint="eastAsia" w:cs="Times New Roman"/>
                <w:b/>
                <w:bCs w:val="0"/>
                <w:color w:val="auto"/>
                <w:sz w:val="24"/>
                <w:highlight w:val="none"/>
                <w:lang w:val="en-US" w:eastAsia="zh-CN"/>
              </w:rPr>
              <w:t>样品检测：</w:t>
            </w:r>
            <w:r>
              <w:rPr>
                <w:rFonts w:hint="eastAsia" w:cs="Times New Roman"/>
                <w:b w:val="0"/>
                <w:bCs/>
                <w:color w:val="auto"/>
                <w:sz w:val="24"/>
                <w:highlight w:val="none"/>
                <w:lang w:val="en-US" w:eastAsia="zh-CN"/>
              </w:rPr>
              <w:t>按照标准要求将过滤后的滤膜或水样蒸发，将蒸发后的滤膜或烧杯在一定温度下烘干至恒重，通过称量前后的质量差值计算待测物质的含量</w:t>
            </w:r>
            <w:r>
              <w:rPr>
                <w:rFonts w:hint="default" w:cs="Times New Roman"/>
                <w:b w:val="0"/>
                <w:bCs/>
                <w:color w:val="auto"/>
                <w:sz w:val="24"/>
                <w:highlight w:val="none"/>
                <w:lang w:val="en-US" w:eastAsia="zh-CN"/>
              </w:rPr>
              <w:t>。</w:t>
            </w:r>
          </w:p>
          <w:p w14:paraId="1DB3C60D">
            <w:pPr>
              <w:numPr>
                <w:ilvl w:val="0"/>
                <w:numId w:val="0"/>
              </w:numPr>
              <w:adjustRightInd w:val="0"/>
              <w:snapToGrid w:val="0"/>
              <w:spacing w:line="360" w:lineRule="auto"/>
              <w:ind w:firstLine="482" w:firstLineChars="200"/>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该</w:t>
            </w:r>
            <w:r>
              <w:rPr>
                <w:rFonts w:hint="default" w:ascii="Times New Roman" w:hAnsi="Times New Roman" w:eastAsia="宋体" w:cs="Times New Roman"/>
                <w:b/>
                <w:bCs w:val="0"/>
                <w:color w:val="auto"/>
                <w:sz w:val="24"/>
                <w:highlight w:val="none"/>
                <w:lang w:val="en-US" w:eastAsia="zh-CN"/>
              </w:rPr>
              <w:t>过程产生</w:t>
            </w:r>
            <w:r>
              <w:rPr>
                <w:rFonts w:hint="eastAsia" w:cs="Times New Roman"/>
                <w:b/>
                <w:bCs w:val="0"/>
                <w:color w:val="auto"/>
                <w:sz w:val="24"/>
                <w:highlight w:val="none"/>
                <w:lang w:val="en-US" w:eastAsia="zh-CN"/>
              </w:rPr>
              <w:t>清洗废液S1、清洗废水W1、废一次性实验耗材（废手套、废滤膜等）S3。</w:t>
            </w:r>
          </w:p>
          <w:p w14:paraId="566D1C1A">
            <w:pPr>
              <w:numPr>
                <w:ilvl w:val="0"/>
                <w:numId w:val="28"/>
              </w:numPr>
              <w:adjustRightInd w:val="0"/>
              <w:snapToGrid w:val="0"/>
              <w:spacing w:line="360" w:lineRule="auto"/>
              <w:ind w:left="0" w:leftChars="0" w:firstLine="482" w:firstLineChars="200"/>
              <w:rPr>
                <w:rFonts w:hint="default" w:cs="Times New Roman"/>
                <w:b/>
                <w:bCs w:val="0"/>
                <w:color w:val="auto"/>
                <w:sz w:val="24"/>
                <w:highlight w:val="none"/>
                <w:lang w:val="en-US" w:eastAsia="zh-CN"/>
              </w:rPr>
            </w:pPr>
            <w:r>
              <w:rPr>
                <w:rFonts w:hint="default" w:cs="Times New Roman"/>
                <w:b/>
                <w:bCs w:val="0"/>
                <w:color w:val="auto"/>
                <w:sz w:val="24"/>
                <w:highlight w:val="none"/>
                <w:lang w:val="en-US" w:eastAsia="zh-CN"/>
              </w:rPr>
              <w:t>滴定法</w:t>
            </w:r>
          </w:p>
          <w:p w14:paraId="724977CA">
            <w:pPr>
              <w:numPr>
                <w:ilvl w:val="0"/>
                <w:numId w:val="0"/>
              </w:numPr>
              <w:adjustRightInd w:val="0"/>
              <w:snapToGrid w:val="0"/>
              <w:spacing w:line="360" w:lineRule="auto"/>
              <w:ind w:firstLine="480" w:firstLineChars="200"/>
              <w:rPr>
                <w:rFonts w:hint="default" w:cs="Times New Roman"/>
                <w:b/>
                <w:bCs w:val="0"/>
                <w:color w:val="auto"/>
                <w:sz w:val="24"/>
                <w:highlight w:val="none"/>
                <w:lang w:val="en-US" w:eastAsia="zh-CN"/>
              </w:rPr>
            </w:pPr>
            <w:r>
              <w:rPr>
                <w:rFonts w:hint="eastAsia" w:cs="Times New Roman"/>
                <w:b w:val="0"/>
                <w:bCs/>
                <w:color w:val="auto"/>
                <w:sz w:val="24"/>
                <w:highlight w:val="none"/>
                <w:lang w:val="en-US" w:eastAsia="zh-CN"/>
              </w:rPr>
              <w:t>以COD、酸碱度等</w:t>
            </w:r>
            <w:r>
              <w:rPr>
                <w:rFonts w:hint="default" w:cs="Times New Roman"/>
                <w:b w:val="0"/>
                <w:bCs/>
                <w:color w:val="auto"/>
                <w:sz w:val="24"/>
                <w:highlight w:val="none"/>
                <w:lang w:val="en-US" w:eastAsia="zh-CN"/>
              </w:rPr>
              <w:t>的测定为典型的产污环节</w:t>
            </w:r>
            <w:r>
              <w:rPr>
                <w:rFonts w:hint="eastAsia" w:cs="Times New Roman"/>
                <w:b w:val="0"/>
                <w:bCs/>
                <w:color w:val="auto"/>
                <w:sz w:val="24"/>
                <w:highlight w:val="none"/>
                <w:lang w:val="en-US" w:eastAsia="zh-CN"/>
              </w:rPr>
              <w:t>。</w:t>
            </w:r>
          </w:p>
          <w:p w14:paraId="0A8C0C91">
            <w:pPr>
              <w:numPr>
                <w:ilvl w:val="0"/>
                <w:numId w:val="0"/>
              </w:numPr>
              <w:adjustRightInd w:val="0"/>
              <w:snapToGrid w:val="0"/>
              <w:spacing w:line="360" w:lineRule="auto"/>
              <w:ind w:firstLine="482"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样品采集与保存</w:t>
            </w:r>
            <w:r>
              <w:rPr>
                <w:rFonts w:hint="eastAsia" w:cs="Times New Roman"/>
                <w:b/>
                <w:bCs w:val="0"/>
                <w:color w:val="auto"/>
                <w:sz w:val="24"/>
                <w:highlight w:val="none"/>
                <w:lang w:val="en-US" w:eastAsia="zh-CN"/>
              </w:rPr>
              <w:t>：</w:t>
            </w:r>
            <w:r>
              <w:rPr>
                <w:rFonts w:hint="eastAsia" w:cs="Times New Roman"/>
                <w:b w:val="0"/>
                <w:bCs/>
                <w:color w:val="auto"/>
                <w:sz w:val="24"/>
                <w:highlight w:val="none"/>
                <w:lang w:val="en-US" w:eastAsia="zh-CN"/>
              </w:rPr>
              <w:t>按照标准要求分别用</w:t>
            </w:r>
            <w:r>
              <w:rPr>
                <w:rFonts w:hint="default" w:ascii="Times New Roman" w:hAnsi="Times New Roman" w:eastAsia="宋体" w:cs="Times New Roman"/>
                <w:b w:val="0"/>
                <w:bCs/>
                <w:color w:val="auto"/>
                <w:sz w:val="24"/>
                <w:highlight w:val="none"/>
                <w:lang w:val="en-US" w:eastAsia="zh-CN"/>
              </w:rPr>
              <w:t>玻璃瓶</w:t>
            </w:r>
            <w:r>
              <w:rPr>
                <w:rFonts w:hint="eastAsia" w:cs="Times New Roman"/>
                <w:b w:val="0"/>
                <w:bCs/>
                <w:color w:val="auto"/>
                <w:sz w:val="24"/>
                <w:highlight w:val="none"/>
                <w:lang w:val="en-US" w:eastAsia="zh-CN"/>
              </w:rPr>
              <w:t>或聚四氟乙烯瓶采集水样</w:t>
            </w:r>
            <w:r>
              <w:rPr>
                <w:rFonts w:hint="default" w:ascii="Times New Roman" w:hAnsi="Times New Roman" w:eastAsia="宋体" w:cs="Times New Roman"/>
                <w:b w:val="0"/>
                <w:bCs/>
                <w:color w:val="auto"/>
                <w:sz w:val="24"/>
                <w:highlight w:val="none"/>
                <w:lang w:val="en-US" w:eastAsia="zh-CN"/>
              </w:rPr>
              <w:t>，样品按照技术规范要求密封保存</w:t>
            </w:r>
            <w:r>
              <w:rPr>
                <w:rFonts w:hint="eastAsia" w:cs="Times New Roman"/>
                <w:b w:val="0"/>
                <w:bCs/>
                <w:color w:val="auto"/>
                <w:sz w:val="24"/>
                <w:highlight w:val="none"/>
                <w:lang w:val="en-US" w:eastAsia="zh-CN"/>
              </w:rPr>
              <w:t>待检</w:t>
            </w:r>
            <w:r>
              <w:rPr>
                <w:rFonts w:hint="default" w:ascii="Times New Roman" w:hAnsi="Times New Roman" w:eastAsia="宋体" w:cs="Times New Roman"/>
                <w:b w:val="0"/>
                <w:bCs/>
                <w:color w:val="auto"/>
                <w:sz w:val="24"/>
                <w:highlight w:val="none"/>
                <w:lang w:val="en-US" w:eastAsia="zh-CN"/>
              </w:rPr>
              <w:t>。</w:t>
            </w:r>
          </w:p>
          <w:p w14:paraId="5108DAB4">
            <w:pPr>
              <w:numPr>
                <w:ilvl w:val="0"/>
                <w:numId w:val="0"/>
              </w:numPr>
              <w:adjustRightInd w:val="0"/>
              <w:snapToGrid w:val="0"/>
              <w:spacing w:line="360" w:lineRule="auto"/>
              <w:ind w:firstLine="482"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试剂配制</w:t>
            </w:r>
            <w:r>
              <w:rPr>
                <w:rFonts w:hint="eastAsia" w:cs="Times New Roman"/>
                <w:b/>
                <w:bCs w:val="0"/>
                <w:color w:val="auto"/>
                <w:sz w:val="24"/>
                <w:highlight w:val="none"/>
                <w:lang w:val="en-US" w:eastAsia="zh-CN"/>
              </w:rPr>
              <w:t>：</w:t>
            </w:r>
            <w:r>
              <w:rPr>
                <w:rFonts w:hint="default" w:ascii="Times New Roman" w:hAnsi="Times New Roman" w:eastAsia="宋体" w:cs="Times New Roman"/>
                <w:b w:val="0"/>
                <w:bCs/>
                <w:color w:val="auto"/>
                <w:sz w:val="24"/>
                <w:highlight w:val="none"/>
                <w:lang w:val="en-US" w:eastAsia="zh-CN"/>
              </w:rPr>
              <w:t>根据</w:t>
            </w:r>
            <w:r>
              <w:rPr>
                <w:rFonts w:hint="eastAsia" w:cs="Times New Roman"/>
                <w:b w:val="0"/>
                <w:bCs/>
                <w:color w:val="auto"/>
                <w:sz w:val="24"/>
                <w:highlight w:val="none"/>
                <w:lang w:val="en-US" w:eastAsia="zh-CN"/>
              </w:rPr>
              <w:t>不同</w:t>
            </w:r>
            <w:r>
              <w:rPr>
                <w:rFonts w:hint="default" w:ascii="Times New Roman" w:hAnsi="Times New Roman" w:eastAsia="宋体" w:cs="Times New Roman"/>
                <w:b w:val="0"/>
                <w:bCs/>
                <w:color w:val="auto"/>
                <w:sz w:val="24"/>
                <w:highlight w:val="none"/>
                <w:lang w:val="en-US" w:eastAsia="zh-CN"/>
              </w:rPr>
              <w:t>检测项目</w:t>
            </w:r>
            <w:r>
              <w:rPr>
                <w:rFonts w:hint="eastAsia" w:cs="Times New Roman"/>
                <w:b w:val="0"/>
                <w:bCs/>
                <w:color w:val="auto"/>
                <w:sz w:val="24"/>
                <w:highlight w:val="none"/>
                <w:lang w:val="en-US" w:eastAsia="zh-CN"/>
              </w:rPr>
              <w:t>，</w:t>
            </w:r>
            <w:r>
              <w:rPr>
                <w:rFonts w:hint="default" w:ascii="Times New Roman" w:hAnsi="Times New Roman" w:eastAsia="宋体" w:cs="Times New Roman"/>
                <w:b w:val="0"/>
                <w:bCs/>
                <w:color w:val="auto"/>
                <w:sz w:val="24"/>
                <w:highlight w:val="none"/>
                <w:lang w:val="en-US" w:eastAsia="zh-CN"/>
              </w:rPr>
              <w:t>按照标准配制</w:t>
            </w:r>
            <w:r>
              <w:rPr>
                <w:rFonts w:hint="eastAsia" w:cs="Times New Roman"/>
                <w:b w:val="0"/>
                <w:bCs/>
                <w:color w:val="auto"/>
                <w:sz w:val="24"/>
                <w:highlight w:val="none"/>
                <w:lang w:val="en-US" w:eastAsia="zh-CN"/>
              </w:rPr>
              <w:t>检测</w:t>
            </w:r>
            <w:r>
              <w:rPr>
                <w:rFonts w:hint="default" w:ascii="Times New Roman" w:hAnsi="Times New Roman" w:eastAsia="宋体" w:cs="Times New Roman"/>
                <w:b w:val="0"/>
                <w:bCs/>
                <w:color w:val="auto"/>
                <w:sz w:val="24"/>
                <w:highlight w:val="none"/>
                <w:lang w:val="en-US" w:eastAsia="zh-CN"/>
              </w:rPr>
              <w:t>液，涉及挥发性试剂在通风橱</w:t>
            </w:r>
            <w:r>
              <w:rPr>
                <w:rFonts w:hint="eastAsia" w:cs="Times New Roman"/>
                <w:b w:val="0"/>
                <w:bCs/>
                <w:color w:val="auto"/>
                <w:sz w:val="24"/>
                <w:highlight w:val="none"/>
                <w:lang w:val="en-US" w:eastAsia="zh-CN"/>
              </w:rPr>
              <w:t>内</w:t>
            </w:r>
            <w:r>
              <w:rPr>
                <w:rFonts w:hint="default" w:ascii="Times New Roman" w:hAnsi="Times New Roman" w:eastAsia="宋体" w:cs="Times New Roman"/>
                <w:b w:val="0"/>
                <w:bCs/>
                <w:color w:val="auto"/>
                <w:sz w:val="24"/>
                <w:highlight w:val="none"/>
                <w:lang w:val="en-US" w:eastAsia="zh-CN"/>
              </w:rPr>
              <w:t>操作。</w:t>
            </w:r>
          </w:p>
          <w:p w14:paraId="0C3ED03C">
            <w:pPr>
              <w:numPr>
                <w:ilvl w:val="0"/>
                <w:numId w:val="0"/>
              </w:numPr>
              <w:adjustRightInd w:val="0"/>
              <w:snapToGrid w:val="0"/>
              <w:spacing w:line="360" w:lineRule="auto"/>
              <w:ind w:firstLine="482" w:firstLineChars="200"/>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该</w:t>
            </w:r>
            <w:r>
              <w:rPr>
                <w:rFonts w:hint="default" w:ascii="Times New Roman" w:hAnsi="Times New Roman" w:eastAsia="宋体" w:cs="Times New Roman"/>
                <w:b/>
                <w:bCs w:val="0"/>
                <w:color w:val="auto"/>
                <w:sz w:val="24"/>
                <w:highlight w:val="none"/>
                <w:lang w:val="en-US" w:eastAsia="zh-CN"/>
              </w:rPr>
              <w:t>过程产生挥发性有机废气</w:t>
            </w:r>
            <w:r>
              <w:rPr>
                <w:rFonts w:hint="eastAsia" w:cs="Times New Roman"/>
                <w:b/>
                <w:bCs w:val="0"/>
                <w:color w:val="auto"/>
                <w:sz w:val="24"/>
                <w:highlight w:val="none"/>
                <w:lang w:val="en-US" w:eastAsia="zh-CN"/>
              </w:rPr>
              <w:t>G1</w:t>
            </w:r>
            <w:r>
              <w:rPr>
                <w:rFonts w:hint="default" w:ascii="Times New Roman" w:hAnsi="Times New Roman" w:eastAsia="宋体" w:cs="Times New Roman"/>
                <w:b/>
                <w:bCs w:val="0"/>
                <w:color w:val="auto"/>
                <w:sz w:val="24"/>
                <w:highlight w:val="none"/>
                <w:lang w:val="en-US" w:eastAsia="zh-CN"/>
              </w:rPr>
              <w:t>、</w:t>
            </w:r>
            <w:r>
              <w:rPr>
                <w:rFonts w:hint="eastAsia" w:cs="Times New Roman"/>
                <w:b/>
                <w:bCs w:val="0"/>
                <w:color w:val="auto"/>
                <w:sz w:val="24"/>
                <w:highlight w:val="none"/>
                <w:lang w:val="en-US" w:eastAsia="zh-CN"/>
              </w:rPr>
              <w:t>挥发性无机废气G2（硫酸</w:t>
            </w:r>
            <w:r>
              <w:rPr>
                <w:rFonts w:hint="default" w:ascii="Times New Roman" w:hAnsi="Times New Roman" w:eastAsia="宋体" w:cs="Times New Roman"/>
                <w:b/>
                <w:bCs w:val="0"/>
                <w:color w:val="auto"/>
                <w:sz w:val="24"/>
                <w:highlight w:val="none"/>
                <w:lang w:val="en-US" w:eastAsia="zh-CN"/>
              </w:rPr>
              <w:t>雾、氯化氢</w:t>
            </w:r>
            <w:r>
              <w:rPr>
                <w:rFonts w:hint="eastAsia" w:cs="Times New Roman"/>
                <w:b/>
                <w:bCs w:val="0"/>
                <w:color w:val="auto"/>
                <w:sz w:val="24"/>
                <w:highlight w:val="none"/>
                <w:lang w:val="en-US" w:eastAsia="zh-CN"/>
              </w:rPr>
              <w:t>、氨、硝酸雾）、清洗废液S1、清洗废水W1、废试剂瓶S2、废一次性实验耗材（废手套、废称量纸、废移液枪头等）S3。</w:t>
            </w:r>
          </w:p>
          <w:p w14:paraId="3778631C">
            <w:pPr>
              <w:numPr>
                <w:ilvl w:val="0"/>
                <w:numId w:val="0"/>
              </w:numPr>
              <w:adjustRightInd w:val="0"/>
              <w:snapToGrid w:val="0"/>
              <w:spacing w:line="360" w:lineRule="auto"/>
              <w:ind w:firstLine="482" w:firstLineChars="200"/>
              <w:rPr>
                <w:rFonts w:hint="default" w:cs="Times New Roman"/>
                <w:b w:val="0"/>
                <w:bCs/>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样品处理</w:t>
            </w:r>
            <w:r>
              <w:rPr>
                <w:rFonts w:hint="eastAsia" w:cs="Times New Roman"/>
                <w:b/>
                <w:bCs w:val="0"/>
                <w:color w:val="auto"/>
                <w:sz w:val="24"/>
                <w:highlight w:val="none"/>
                <w:lang w:val="en-US" w:eastAsia="zh-CN"/>
              </w:rPr>
              <w:t>：</w:t>
            </w:r>
            <w:r>
              <w:rPr>
                <w:rFonts w:hint="default" w:ascii="Times New Roman" w:hAnsi="Times New Roman" w:eastAsia="宋体" w:cs="Times New Roman"/>
                <w:b w:val="0"/>
                <w:bCs/>
                <w:color w:val="auto"/>
                <w:sz w:val="24"/>
                <w:highlight w:val="none"/>
                <w:lang w:val="en-US" w:eastAsia="zh-CN"/>
              </w:rPr>
              <w:t>根据</w:t>
            </w:r>
            <w:r>
              <w:rPr>
                <w:rFonts w:hint="eastAsia" w:cs="Times New Roman"/>
                <w:b w:val="0"/>
                <w:bCs/>
                <w:color w:val="auto"/>
                <w:sz w:val="24"/>
                <w:highlight w:val="none"/>
                <w:lang w:val="en-US" w:eastAsia="zh-CN"/>
              </w:rPr>
              <w:t>不同</w:t>
            </w:r>
            <w:r>
              <w:rPr>
                <w:rFonts w:hint="default" w:ascii="Times New Roman" w:hAnsi="Times New Roman" w:eastAsia="宋体" w:cs="Times New Roman"/>
                <w:b w:val="0"/>
                <w:bCs/>
                <w:color w:val="auto"/>
                <w:sz w:val="24"/>
                <w:highlight w:val="none"/>
                <w:lang w:val="en-US" w:eastAsia="zh-CN"/>
              </w:rPr>
              <w:t>检测项目</w:t>
            </w:r>
            <w:r>
              <w:rPr>
                <w:rFonts w:hint="eastAsia" w:cs="Times New Roman"/>
                <w:b w:val="0"/>
                <w:bCs/>
                <w:color w:val="auto"/>
                <w:sz w:val="24"/>
                <w:highlight w:val="none"/>
                <w:lang w:val="en-US" w:eastAsia="zh-CN"/>
              </w:rPr>
              <w:t>，</w:t>
            </w:r>
            <w:r>
              <w:rPr>
                <w:rFonts w:hint="default" w:ascii="Times New Roman" w:hAnsi="Times New Roman" w:eastAsia="宋体" w:cs="Times New Roman"/>
                <w:b w:val="0"/>
                <w:bCs/>
                <w:color w:val="auto"/>
                <w:sz w:val="24"/>
                <w:highlight w:val="none"/>
                <w:lang w:val="en-US" w:eastAsia="zh-CN"/>
              </w:rPr>
              <w:t>按照标准对样品进行处理，涉及挥发性试剂在通风橱</w:t>
            </w:r>
            <w:r>
              <w:rPr>
                <w:rFonts w:hint="eastAsia" w:cs="Times New Roman"/>
                <w:b w:val="0"/>
                <w:bCs/>
                <w:color w:val="auto"/>
                <w:sz w:val="24"/>
                <w:highlight w:val="none"/>
                <w:lang w:val="en-US" w:eastAsia="zh-CN"/>
              </w:rPr>
              <w:t>内</w:t>
            </w:r>
            <w:r>
              <w:rPr>
                <w:rFonts w:hint="default" w:ascii="Times New Roman" w:hAnsi="Times New Roman" w:eastAsia="宋体" w:cs="Times New Roman"/>
                <w:b w:val="0"/>
                <w:bCs/>
                <w:color w:val="auto"/>
                <w:sz w:val="24"/>
                <w:highlight w:val="none"/>
                <w:lang w:val="en-US" w:eastAsia="zh-CN"/>
              </w:rPr>
              <w:t>操作</w:t>
            </w:r>
            <w:r>
              <w:rPr>
                <w:rFonts w:hint="default" w:cs="Times New Roman"/>
                <w:b w:val="0"/>
                <w:bCs/>
                <w:color w:val="auto"/>
                <w:sz w:val="24"/>
                <w:highlight w:val="none"/>
                <w:lang w:val="en-US" w:eastAsia="zh-CN"/>
              </w:rPr>
              <w:t>。</w:t>
            </w:r>
          </w:p>
          <w:p w14:paraId="41349447">
            <w:pPr>
              <w:numPr>
                <w:ilvl w:val="0"/>
                <w:numId w:val="0"/>
              </w:numPr>
              <w:adjustRightInd w:val="0"/>
              <w:snapToGrid w:val="0"/>
              <w:spacing w:line="360" w:lineRule="auto"/>
              <w:ind w:firstLine="482" w:firstLineChars="200"/>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该</w:t>
            </w:r>
            <w:r>
              <w:rPr>
                <w:rFonts w:hint="default" w:ascii="Times New Roman" w:hAnsi="Times New Roman" w:eastAsia="宋体" w:cs="Times New Roman"/>
                <w:b/>
                <w:bCs w:val="0"/>
                <w:color w:val="auto"/>
                <w:sz w:val="24"/>
                <w:highlight w:val="none"/>
                <w:lang w:val="en-US" w:eastAsia="zh-CN"/>
              </w:rPr>
              <w:t>过程产生挥发性有机废气</w:t>
            </w:r>
            <w:r>
              <w:rPr>
                <w:rFonts w:hint="eastAsia" w:cs="Times New Roman"/>
                <w:b/>
                <w:bCs w:val="0"/>
                <w:color w:val="auto"/>
                <w:sz w:val="24"/>
                <w:highlight w:val="none"/>
                <w:lang w:val="en-US" w:eastAsia="zh-CN"/>
              </w:rPr>
              <w:t>G3</w:t>
            </w:r>
            <w:r>
              <w:rPr>
                <w:rFonts w:hint="default" w:ascii="Times New Roman" w:hAnsi="Times New Roman" w:eastAsia="宋体" w:cs="Times New Roman"/>
                <w:b/>
                <w:bCs w:val="0"/>
                <w:color w:val="auto"/>
                <w:sz w:val="24"/>
                <w:highlight w:val="none"/>
                <w:lang w:val="en-US" w:eastAsia="zh-CN"/>
              </w:rPr>
              <w:t>、</w:t>
            </w:r>
            <w:r>
              <w:rPr>
                <w:rFonts w:hint="eastAsia" w:cs="Times New Roman"/>
                <w:b/>
                <w:bCs w:val="0"/>
                <w:color w:val="auto"/>
                <w:sz w:val="24"/>
                <w:highlight w:val="none"/>
                <w:lang w:val="en-US" w:eastAsia="zh-CN"/>
              </w:rPr>
              <w:t>挥发性无机废气G4（硫酸雾）、清洗废液S1、清洗废水W1、废一次性实验耗材（废手套等）S3。</w:t>
            </w:r>
          </w:p>
          <w:p w14:paraId="262D1911">
            <w:pPr>
              <w:numPr>
                <w:ilvl w:val="0"/>
                <w:numId w:val="0"/>
              </w:numPr>
              <w:adjustRightInd w:val="0"/>
              <w:snapToGrid w:val="0"/>
              <w:spacing w:line="360" w:lineRule="auto"/>
              <w:ind w:firstLine="482" w:firstLineChars="200"/>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滴定检测</w:t>
            </w:r>
            <w:r>
              <w:rPr>
                <w:rFonts w:hint="eastAsia" w:cs="Times New Roman"/>
                <w:b/>
                <w:bCs w:val="0"/>
                <w:color w:val="auto"/>
                <w:sz w:val="24"/>
                <w:highlight w:val="none"/>
                <w:lang w:val="en-US" w:eastAsia="zh-CN"/>
              </w:rPr>
              <w:t>：</w:t>
            </w:r>
            <w:r>
              <w:rPr>
                <w:rFonts w:hint="eastAsia" w:cs="Times New Roman"/>
                <w:b w:val="0"/>
                <w:bCs/>
                <w:color w:val="auto"/>
                <w:sz w:val="24"/>
                <w:highlight w:val="none"/>
                <w:lang w:val="en-US" w:eastAsia="zh-CN"/>
              </w:rPr>
              <w:t>取一定量样品加入锥形瓶中，加入指示剂，用标准滴定溶液滴定至终点，根据公式计算物质含量</w:t>
            </w:r>
            <w:r>
              <w:rPr>
                <w:rFonts w:hint="default" w:cs="Times New Roman"/>
                <w:b w:val="0"/>
                <w:bCs/>
                <w:color w:val="auto"/>
                <w:sz w:val="24"/>
                <w:highlight w:val="none"/>
                <w:lang w:val="en-US" w:eastAsia="zh-CN"/>
              </w:rPr>
              <w:t>。</w:t>
            </w:r>
          </w:p>
          <w:p w14:paraId="7DFDE4F4">
            <w:pPr>
              <w:numPr>
                <w:ilvl w:val="0"/>
                <w:numId w:val="0"/>
              </w:numPr>
              <w:adjustRightInd w:val="0"/>
              <w:snapToGrid w:val="0"/>
              <w:spacing w:line="360" w:lineRule="auto"/>
              <w:ind w:firstLine="482" w:firstLineChars="200"/>
              <w:rPr>
                <w:rFonts w:hint="eastAsia" w:cs="Times New Roman"/>
                <w:b/>
                <w:bCs w:val="0"/>
                <w:color w:val="auto"/>
                <w:sz w:val="24"/>
                <w:highlight w:val="none"/>
                <w:lang w:val="en-US" w:eastAsia="zh-CN"/>
              </w:rPr>
            </w:pPr>
            <w:r>
              <w:rPr>
                <w:rFonts w:hint="eastAsia" w:cs="Times New Roman"/>
                <w:b/>
                <w:bCs w:val="0"/>
                <w:color w:val="auto"/>
                <w:sz w:val="24"/>
                <w:highlight w:val="none"/>
                <w:lang w:val="en-US" w:eastAsia="zh-CN"/>
              </w:rPr>
              <w:t>该</w:t>
            </w:r>
            <w:r>
              <w:rPr>
                <w:rFonts w:hint="default" w:ascii="Times New Roman" w:hAnsi="Times New Roman" w:eastAsia="宋体" w:cs="Times New Roman"/>
                <w:b/>
                <w:bCs w:val="0"/>
                <w:color w:val="auto"/>
                <w:sz w:val="24"/>
                <w:highlight w:val="none"/>
                <w:lang w:val="en-US" w:eastAsia="zh-CN"/>
              </w:rPr>
              <w:t>过程产生</w:t>
            </w:r>
            <w:r>
              <w:rPr>
                <w:rFonts w:hint="eastAsia" w:cs="Times New Roman"/>
                <w:b/>
                <w:bCs w:val="0"/>
                <w:color w:val="auto"/>
                <w:sz w:val="24"/>
                <w:highlight w:val="none"/>
                <w:lang w:val="en-US" w:eastAsia="zh-CN"/>
              </w:rPr>
              <w:t>清洗废液S1、清洗废水W1、废一次性实验耗材（废手套等）S3、检测废液S4。</w:t>
            </w:r>
          </w:p>
          <w:p w14:paraId="260F7481">
            <w:pPr>
              <w:numPr>
                <w:ilvl w:val="0"/>
                <w:numId w:val="27"/>
              </w:numPr>
              <w:adjustRightInd w:val="0"/>
              <w:snapToGrid w:val="0"/>
              <w:spacing w:line="360" w:lineRule="auto"/>
              <w:ind w:firstLine="482" w:firstLineChars="200"/>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微生物</w:t>
            </w:r>
          </w:p>
          <w:p w14:paraId="2B57C25A">
            <w:pPr>
              <w:numPr>
                <w:ilvl w:val="0"/>
                <w:numId w:val="0"/>
              </w:numPr>
              <w:adjustRightInd w:val="0"/>
              <w:snapToGrid w:val="0"/>
              <w:spacing w:line="360" w:lineRule="auto"/>
              <w:ind w:firstLine="480" w:firstLineChars="200"/>
              <w:rPr>
                <w:rFonts w:hint="default" w:ascii="Times New Roman" w:hAnsi="Times New Roman" w:eastAsia="宋体" w:cs="Times New Roman"/>
                <w:b/>
                <w:bCs w:val="0"/>
                <w:color w:val="auto"/>
                <w:sz w:val="24"/>
                <w:highlight w:val="none"/>
                <w:lang w:val="en-US" w:eastAsia="zh-CN"/>
              </w:rPr>
            </w:pPr>
            <w:r>
              <w:rPr>
                <w:rFonts w:hint="eastAsia" w:cs="Times New Roman"/>
                <w:b w:val="0"/>
                <w:bCs/>
                <w:color w:val="auto"/>
                <w:sz w:val="24"/>
                <w:highlight w:val="none"/>
                <w:lang w:val="en-US" w:eastAsia="zh-CN"/>
              </w:rPr>
              <w:t>以粪大肠菌群等</w:t>
            </w:r>
            <w:r>
              <w:rPr>
                <w:rFonts w:hint="default" w:cs="Times New Roman"/>
                <w:b w:val="0"/>
                <w:bCs/>
                <w:color w:val="auto"/>
                <w:sz w:val="24"/>
                <w:highlight w:val="none"/>
                <w:lang w:val="en-US" w:eastAsia="zh-CN"/>
              </w:rPr>
              <w:t>的测定为典型的产污环节</w:t>
            </w:r>
            <w:r>
              <w:rPr>
                <w:rFonts w:hint="eastAsia" w:cs="Times New Roman"/>
                <w:b w:val="0"/>
                <w:bCs/>
                <w:color w:val="auto"/>
                <w:sz w:val="24"/>
                <w:highlight w:val="none"/>
                <w:lang w:val="en-US" w:eastAsia="zh-CN"/>
              </w:rPr>
              <w:t>。</w:t>
            </w:r>
          </w:p>
          <w:p w14:paraId="508FEEB2">
            <w:pPr>
              <w:numPr>
                <w:ilvl w:val="0"/>
                <w:numId w:val="0"/>
              </w:numPr>
              <w:adjustRightInd w:val="0"/>
              <w:snapToGrid w:val="0"/>
              <w:spacing w:line="360" w:lineRule="auto"/>
              <w:ind w:firstLine="482"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样品采集与保存</w:t>
            </w:r>
            <w:r>
              <w:rPr>
                <w:rFonts w:hint="eastAsia" w:cs="Times New Roman"/>
                <w:b/>
                <w:bCs w:val="0"/>
                <w:color w:val="auto"/>
                <w:sz w:val="24"/>
                <w:highlight w:val="none"/>
                <w:lang w:val="en-US" w:eastAsia="zh-CN"/>
              </w:rPr>
              <w:t>：</w:t>
            </w:r>
            <w:r>
              <w:rPr>
                <w:rFonts w:hint="eastAsia" w:cs="Times New Roman"/>
                <w:b w:val="0"/>
                <w:bCs/>
                <w:color w:val="auto"/>
                <w:sz w:val="24"/>
                <w:highlight w:val="none"/>
                <w:lang w:val="en-US" w:eastAsia="zh-CN"/>
              </w:rPr>
              <w:t>按照标准要求分别用</w:t>
            </w:r>
            <w:r>
              <w:rPr>
                <w:rFonts w:hint="default" w:ascii="Times New Roman" w:hAnsi="Times New Roman" w:eastAsia="宋体" w:cs="Times New Roman"/>
                <w:b w:val="0"/>
                <w:bCs/>
                <w:color w:val="auto"/>
                <w:sz w:val="24"/>
                <w:highlight w:val="none"/>
                <w:lang w:val="en-US" w:eastAsia="zh-CN"/>
              </w:rPr>
              <w:t>玻璃瓶</w:t>
            </w:r>
            <w:r>
              <w:rPr>
                <w:rFonts w:hint="eastAsia" w:cs="Times New Roman"/>
                <w:b w:val="0"/>
                <w:bCs/>
                <w:color w:val="auto"/>
                <w:sz w:val="24"/>
                <w:highlight w:val="none"/>
                <w:lang w:val="en-US" w:eastAsia="zh-CN"/>
              </w:rPr>
              <w:t>或聚四氟乙烯瓶采集水样</w:t>
            </w:r>
            <w:r>
              <w:rPr>
                <w:rFonts w:hint="default" w:ascii="Times New Roman" w:hAnsi="Times New Roman" w:eastAsia="宋体" w:cs="Times New Roman"/>
                <w:b w:val="0"/>
                <w:bCs/>
                <w:color w:val="auto"/>
                <w:sz w:val="24"/>
                <w:highlight w:val="none"/>
                <w:lang w:val="en-US" w:eastAsia="zh-CN"/>
              </w:rPr>
              <w:t>，样品按照技术规范要求密封保存</w:t>
            </w:r>
            <w:r>
              <w:rPr>
                <w:rFonts w:hint="eastAsia" w:cs="Times New Roman"/>
                <w:b w:val="0"/>
                <w:bCs/>
                <w:color w:val="auto"/>
                <w:sz w:val="24"/>
                <w:highlight w:val="none"/>
                <w:lang w:val="en-US" w:eastAsia="zh-CN"/>
              </w:rPr>
              <w:t>待检</w:t>
            </w:r>
            <w:r>
              <w:rPr>
                <w:rFonts w:hint="default" w:ascii="Times New Roman" w:hAnsi="Times New Roman" w:eastAsia="宋体" w:cs="Times New Roman"/>
                <w:b w:val="0"/>
                <w:bCs/>
                <w:color w:val="auto"/>
                <w:sz w:val="24"/>
                <w:highlight w:val="none"/>
                <w:lang w:val="en-US" w:eastAsia="zh-CN"/>
              </w:rPr>
              <w:t>。</w:t>
            </w:r>
          </w:p>
          <w:p w14:paraId="6D2419EC">
            <w:pPr>
              <w:numPr>
                <w:ilvl w:val="0"/>
                <w:numId w:val="0"/>
              </w:numPr>
              <w:adjustRightInd w:val="0"/>
              <w:snapToGrid w:val="0"/>
              <w:spacing w:line="360" w:lineRule="auto"/>
              <w:ind w:firstLine="482" w:firstLineChars="200"/>
              <w:rPr>
                <w:rFonts w:hint="eastAsia" w:cs="Times New Roman"/>
                <w:b/>
                <w:bCs w:val="0"/>
                <w:color w:val="auto"/>
                <w:sz w:val="24"/>
                <w:highlight w:val="none"/>
                <w:lang w:val="en-US" w:eastAsia="zh-CN"/>
              </w:rPr>
            </w:pPr>
            <w:r>
              <w:rPr>
                <w:rFonts w:hint="default" w:cs="Times New Roman"/>
                <w:b/>
                <w:bCs w:val="0"/>
                <w:color w:val="auto"/>
                <w:sz w:val="24"/>
                <w:highlight w:val="none"/>
                <w:lang w:val="en-US" w:eastAsia="zh-CN"/>
              </w:rPr>
              <w:t>培养基制备</w:t>
            </w:r>
            <w:r>
              <w:rPr>
                <w:rFonts w:hint="eastAsia" w:cs="Times New Roman"/>
                <w:b/>
                <w:bCs w:val="0"/>
                <w:color w:val="auto"/>
                <w:sz w:val="24"/>
                <w:highlight w:val="none"/>
                <w:lang w:val="en-US" w:eastAsia="zh-CN"/>
              </w:rPr>
              <w:t>：</w:t>
            </w:r>
          </w:p>
          <w:p w14:paraId="7C00D985">
            <w:pPr>
              <w:numPr>
                <w:ilvl w:val="0"/>
                <w:numId w:val="0"/>
              </w:numPr>
              <w:adjustRightInd w:val="0"/>
              <w:snapToGrid w:val="0"/>
              <w:spacing w:line="360" w:lineRule="auto"/>
              <w:ind w:firstLine="480" w:firstLineChars="200"/>
              <w:rPr>
                <w:rFonts w:hint="default" w:cs="Times New Roman"/>
                <w:b w:val="0"/>
                <w:bCs/>
                <w:color w:val="auto"/>
                <w:sz w:val="24"/>
                <w:highlight w:val="none"/>
                <w:lang w:val="en-US" w:eastAsia="zh-CN"/>
              </w:rPr>
            </w:pPr>
            <w:r>
              <w:rPr>
                <w:rFonts w:hint="default" w:cs="Times New Roman"/>
                <w:b w:val="0"/>
                <w:bCs/>
                <w:color w:val="auto"/>
                <w:sz w:val="24"/>
                <w:highlight w:val="none"/>
                <w:lang w:val="en-US" w:eastAsia="zh-CN"/>
              </w:rPr>
              <w:t>制备培养基1：将可溶性淀粉、氯化钠加热溶解于1000mL 蒸馏水中，调节pH值到7.2～7.4，在通风橱中再加入75%乙醇溶液1mL，充分混匀，分装于含有倒置小玻璃管的试管中，115℃高压蒸汽灭菌 20min，储存于暗处备用。</w:t>
            </w:r>
          </w:p>
          <w:p w14:paraId="17180CD7">
            <w:pPr>
              <w:numPr>
                <w:ilvl w:val="0"/>
                <w:numId w:val="0"/>
              </w:numPr>
              <w:adjustRightInd w:val="0"/>
              <w:snapToGrid w:val="0"/>
              <w:spacing w:line="360" w:lineRule="auto"/>
              <w:ind w:firstLine="480" w:firstLineChars="200"/>
              <w:rPr>
                <w:rFonts w:hint="default" w:cs="Times New Roman"/>
                <w:b w:val="0"/>
                <w:bCs/>
                <w:color w:val="auto"/>
                <w:sz w:val="24"/>
                <w:highlight w:val="none"/>
                <w:lang w:val="en-US" w:eastAsia="zh-CN"/>
              </w:rPr>
            </w:pPr>
            <w:r>
              <w:rPr>
                <w:rFonts w:hint="default" w:cs="Times New Roman"/>
                <w:b w:val="0"/>
                <w:bCs/>
                <w:color w:val="auto"/>
                <w:sz w:val="24"/>
                <w:highlight w:val="none"/>
                <w:lang w:val="en-US" w:eastAsia="zh-CN"/>
              </w:rPr>
              <w:t>制备培养基2：将含有可溶性淀粉、磷酸氢二钠（Na</w:t>
            </w:r>
            <w:r>
              <w:rPr>
                <w:rFonts w:hint="default" w:cs="Times New Roman"/>
                <w:b w:val="0"/>
                <w:bCs/>
                <w:color w:val="auto"/>
                <w:sz w:val="24"/>
                <w:highlight w:val="none"/>
                <w:vertAlign w:val="subscript"/>
                <w:lang w:val="en-US" w:eastAsia="zh-CN"/>
              </w:rPr>
              <w:t>2</w:t>
            </w:r>
            <w:r>
              <w:rPr>
                <w:rFonts w:hint="default" w:cs="Times New Roman"/>
                <w:b w:val="0"/>
                <w:bCs/>
                <w:color w:val="auto"/>
                <w:sz w:val="24"/>
                <w:highlight w:val="none"/>
                <w:lang w:val="en-US" w:eastAsia="zh-CN"/>
              </w:rPr>
              <w:t>HPO</w:t>
            </w:r>
            <w:r>
              <w:rPr>
                <w:rFonts w:hint="default" w:cs="Times New Roman"/>
                <w:b w:val="0"/>
                <w:bCs/>
                <w:color w:val="auto"/>
                <w:sz w:val="24"/>
                <w:highlight w:val="none"/>
                <w:vertAlign w:val="subscript"/>
                <w:lang w:val="en-US" w:eastAsia="zh-CN"/>
              </w:rPr>
              <w:t>4</w:t>
            </w:r>
            <w:r>
              <w:rPr>
                <w:rFonts w:hint="default" w:cs="Times New Roman"/>
                <w:b w:val="0"/>
                <w:bCs/>
                <w:color w:val="auto"/>
                <w:sz w:val="24"/>
                <w:highlight w:val="none"/>
                <w:lang w:val="en-US" w:eastAsia="zh-CN"/>
              </w:rPr>
              <w:t>）、磷酸二氢钠（NaH</w:t>
            </w:r>
            <w:r>
              <w:rPr>
                <w:rFonts w:hint="default" w:cs="Times New Roman"/>
                <w:b w:val="0"/>
                <w:bCs/>
                <w:color w:val="auto"/>
                <w:sz w:val="24"/>
                <w:highlight w:val="none"/>
                <w:vertAlign w:val="subscript"/>
                <w:lang w:val="en-US" w:eastAsia="zh-CN"/>
              </w:rPr>
              <w:t>2</w:t>
            </w:r>
            <w:r>
              <w:rPr>
                <w:rFonts w:hint="default" w:cs="Times New Roman"/>
                <w:b w:val="0"/>
                <w:bCs/>
                <w:color w:val="auto"/>
                <w:sz w:val="24"/>
                <w:highlight w:val="none"/>
                <w:lang w:val="en-US" w:eastAsia="zh-CN"/>
              </w:rPr>
              <w:t>PO</w:t>
            </w:r>
            <w:r>
              <w:rPr>
                <w:rFonts w:hint="default" w:cs="Times New Roman"/>
                <w:b w:val="0"/>
                <w:bCs/>
                <w:color w:val="auto"/>
                <w:sz w:val="24"/>
                <w:highlight w:val="none"/>
                <w:vertAlign w:val="subscript"/>
                <w:lang w:val="en-US" w:eastAsia="zh-CN"/>
              </w:rPr>
              <w:t>4</w:t>
            </w:r>
            <w:r>
              <w:rPr>
                <w:rFonts w:hint="default" w:cs="Times New Roman"/>
                <w:b w:val="0"/>
                <w:bCs/>
                <w:color w:val="auto"/>
                <w:sz w:val="24"/>
                <w:highlight w:val="none"/>
                <w:lang w:val="en-US" w:eastAsia="zh-CN"/>
              </w:rPr>
              <w:t>）、氯化钠的市售成品加热溶解于1000mL蒸馏水中，然后分装于有玻璃倒管的试管中，115℃高压蒸汽灭菌 20min。</w:t>
            </w:r>
          </w:p>
          <w:p w14:paraId="275AD621">
            <w:pPr>
              <w:numPr>
                <w:ilvl w:val="0"/>
                <w:numId w:val="0"/>
              </w:numPr>
              <w:adjustRightInd w:val="0"/>
              <w:snapToGrid w:val="0"/>
              <w:spacing w:line="360" w:lineRule="auto"/>
              <w:ind w:firstLine="482" w:firstLineChars="200"/>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该</w:t>
            </w:r>
            <w:r>
              <w:rPr>
                <w:rFonts w:hint="default" w:ascii="Times New Roman" w:hAnsi="Times New Roman" w:eastAsia="宋体" w:cs="Times New Roman"/>
                <w:b/>
                <w:bCs w:val="0"/>
                <w:color w:val="auto"/>
                <w:sz w:val="24"/>
                <w:highlight w:val="none"/>
                <w:lang w:val="en-US" w:eastAsia="zh-CN"/>
              </w:rPr>
              <w:t>过程产生挥发性有机废气</w:t>
            </w:r>
            <w:r>
              <w:rPr>
                <w:rFonts w:hint="eastAsia" w:cs="Times New Roman"/>
                <w:b/>
                <w:bCs w:val="0"/>
                <w:color w:val="auto"/>
                <w:sz w:val="24"/>
                <w:highlight w:val="none"/>
                <w:lang w:val="en-US" w:eastAsia="zh-CN"/>
              </w:rPr>
              <w:t>G5</w:t>
            </w:r>
            <w:r>
              <w:rPr>
                <w:rFonts w:hint="default" w:ascii="Times New Roman" w:hAnsi="Times New Roman" w:eastAsia="宋体" w:cs="Times New Roman"/>
                <w:b/>
                <w:bCs w:val="0"/>
                <w:color w:val="auto"/>
                <w:sz w:val="24"/>
                <w:highlight w:val="none"/>
                <w:lang w:val="en-US" w:eastAsia="zh-CN"/>
              </w:rPr>
              <w:t>、</w:t>
            </w:r>
            <w:r>
              <w:rPr>
                <w:rFonts w:hint="eastAsia" w:cs="Times New Roman"/>
                <w:b/>
                <w:bCs w:val="0"/>
                <w:color w:val="auto"/>
                <w:sz w:val="24"/>
                <w:highlight w:val="none"/>
                <w:lang w:val="en-US" w:eastAsia="zh-CN"/>
              </w:rPr>
              <w:t>清洗废液S1、清洗废水W1、废一次性实验耗材（废手套等）S3。</w:t>
            </w:r>
          </w:p>
          <w:p w14:paraId="62C00686">
            <w:pPr>
              <w:numPr>
                <w:ilvl w:val="0"/>
                <w:numId w:val="0"/>
              </w:numPr>
              <w:adjustRightInd w:val="0"/>
              <w:snapToGrid w:val="0"/>
              <w:spacing w:line="360" w:lineRule="auto"/>
              <w:ind w:firstLine="482" w:firstLineChars="200"/>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样品接种</w:t>
            </w:r>
            <w:r>
              <w:rPr>
                <w:rFonts w:hint="eastAsia" w:cs="Times New Roman"/>
                <w:b/>
                <w:bCs w:val="0"/>
                <w:color w:val="auto"/>
                <w:sz w:val="24"/>
                <w:highlight w:val="none"/>
                <w:lang w:val="en-US" w:eastAsia="zh-CN"/>
              </w:rPr>
              <w:t>：</w:t>
            </w:r>
            <w:r>
              <w:rPr>
                <w:rFonts w:hint="default" w:eastAsia="宋体" w:cs="Times New Roman"/>
                <w:b w:val="0"/>
                <w:bCs/>
                <w:color w:val="auto"/>
                <w:sz w:val="24"/>
                <w:highlight w:val="none"/>
                <w:lang w:val="en-US" w:eastAsia="zh-CN"/>
              </w:rPr>
              <w:t>生物安全柜提前打开紫外灯杀毒1h</w:t>
            </w:r>
            <w:r>
              <w:rPr>
                <w:rFonts w:hint="eastAsia" w:eastAsia="宋体" w:cs="Times New Roman"/>
                <w:b w:val="0"/>
                <w:bCs/>
                <w:color w:val="auto"/>
                <w:sz w:val="24"/>
                <w:highlight w:val="none"/>
                <w:lang w:val="en-US" w:eastAsia="zh-CN"/>
              </w:rPr>
              <w:t>，</w:t>
            </w:r>
            <w:r>
              <w:rPr>
                <w:rFonts w:hint="default" w:eastAsia="宋体" w:cs="Times New Roman"/>
                <w:b w:val="0"/>
                <w:bCs/>
                <w:color w:val="auto"/>
                <w:sz w:val="24"/>
                <w:highlight w:val="none"/>
                <w:lang w:val="en-US" w:eastAsia="zh-CN"/>
              </w:rPr>
              <w:t>去除生物安全柜内微生物，将水样充分混匀，在2支装有已灭</w:t>
            </w:r>
            <w:r>
              <w:rPr>
                <w:rFonts w:hint="default" w:cs="Times New Roman"/>
                <w:b w:val="0"/>
                <w:bCs/>
                <w:color w:val="auto"/>
                <w:sz w:val="24"/>
                <w:highlight w:val="none"/>
                <w:lang w:val="en-US" w:eastAsia="zh-CN"/>
              </w:rPr>
              <w:t>菌的50mL三倍乳糖蛋白胨培养液的大试管中（内有倒管）</w:t>
            </w:r>
            <w:r>
              <w:rPr>
                <w:rFonts w:hint="eastAsia" w:cs="Times New Roman"/>
                <w:b w:val="0"/>
                <w:bCs/>
                <w:color w:val="auto"/>
                <w:sz w:val="24"/>
                <w:highlight w:val="none"/>
                <w:lang w:val="en-US" w:eastAsia="zh-CN"/>
              </w:rPr>
              <w:t>中</w:t>
            </w:r>
            <w:r>
              <w:rPr>
                <w:rFonts w:hint="default" w:cs="Times New Roman"/>
                <w:b w:val="0"/>
                <w:bCs/>
                <w:color w:val="auto"/>
                <w:sz w:val="24"/>
                <w:highlight w:val="none"/>
                <w:lang w:val="en-US" w:eastAsia="zh-CN"/>
              </w:rPr>
              <w:t>各加入水样 100mL，在10支装有已灭菌的5mL 三倍乳糖蛋白胨培养液的试管中（内有倒管）各加入水样10mL，共计12 管两个稀释度。对于较清洁水样，接种量为 10mL、1mL、0.1mL；对于受到污染的水样，接种量1mL、0.1mL、0.01mL 或 0.1mL、0.01mL、0.001mL 等，共计15管三个稀释度水样。</w:t>
            </w:r>
          </w:p>
          <w:p w14:paraId="6C4F06BD">
            <w:pPr>
              <w:numPr>
                <w:ilvl w:val="0"/>
                <w:numId w:val="0"/>
              </w:numPr>
              <w:adjustRightInd w:val="0"/>
              <w:snapToGrid w:val="0"/>
              <w:spacing w:line="360" w:lineRule="auto"/>
              <w:ind w:firstLine="482" w:firstLineChars="200"/>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培养与记录</w:t>
            </w:r>
            <w:r>
              <w:rPr>
                <w:rFonts w:hint="eastAsia" w:cs="Times New Roman"/>
                <w:b/>
                <w:bCs w:val="0"/>
                <w:color w:val="auto"/>
                <w:sz w:val="24"/>
                <w:highlight w:val="none"/>
                <w:lang w:val="en-US" w:eastAsia="zh-CN"/>
              </w:rPr>
              <w:t>：</w:t>
            </w:r>
            <w:r>
              <w:rPr>
                <w:rFonts w:hint="default" w:cs="Times New Roman"/>
                <w:b w:val="0"/>
                <w:bCs/>
                <w:color w:val="auto"/>
                <w:sz w:val="24"/>
                <w:highlight w:val="none"/>
                <w:lang w:val="en-US" w:eastAsia="zh-CN"/>
              </w:rPr>
              <w:t>将已充分混匀的水样以无菌操作分别接种到盛有乳糖蛋白胨培养液的试管中，在37±0.5℃下培养 24±2 h。产酸和产气的试管表明试验阳性。如在倒管内产气不明显，可轻拍试管，有小气泡升起的为阳性。轻微振荡在初发酵试验中显示为试验阳性的试管，用接种环将培养物转接到EC培养液中</w:t>
            </w:r>
            <w:r>
              <w:rPr>
                <w:rFonts w:hint="eastAsia" w:cs="Times New Roman"/>
                <w:b w:val="0"/>
                <w:bCs/>
                <w:color w:val="auto"/>
                <w:sz w:val="24"/>
                <w:highlight w:val="none"/>
                <w:lang w:val="en-US" w:eastAsia="zh-CN"/>
              </w:rPr>
              <w:t>，</w:t>
            </w:r>
            <w:r>
              <w:rPr>
                <w:rFonts w:hint="default" w:cs="Times New Roman"/>
                <w:b w:val="0"/>
                <w:bCs/>
                <w:color w:val="auto"/>
                <w:sz w:val="24"/>
                <w:highlight w:val="none"/>
                <w:lang w:val="en-US" w:eastAsia="zh-CN"/>
              </w:rPr>
              <w:t>在 44.5±0.5℃下培养 24±2 h。接种后所有试管必须在30 min内放进培养箱中。培养后立即观察，倒管中产气证实为粪大肠菌群阳性。</w:t>
            </w:r>
          </w:p>
          <w:p w14:paraId="11EA82F9">
            <w:pPr>
              <w:numPr>
                <w:ilvl w:val="0"/>
                <w:numId w:val="0"/>
              </w:numPr>
              <w:adjustRightInd w:val="0"/>
              <w:snapToGrid w:val="0"/>
              <w:spacing w:line="360" w:lineRule="auto"/>
              <w:ind w:firstLine="482" w:firstLineChars="200"/>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该</w:t>
            </w:r>
            <w:r>
              <w:rPr>
                <w:rFonts w:hint="default" w:ascii="Times New Roman" w:hAnsi="Times New Roman" w:eastAsia="宋体" w:cs="Times New Roman"/>
                <w:b/>
                <w:bCs w:val="0"/>
                <w:color w:val="auto"/>
                <w:sz w:val="24"/>
                <w:highlight w:val="none"/>
                <w:lang w:val="en-US" w:eastAsia="zh-CN"/>
              </w:rPr>
              <w:t>过程产生挥发性有机废气</w:t>
            </w:r>
            <w:r>
              <w:rPr>
                <w:rFonts w:hint="eastAsia" w:cs="Times New Roman"/>
                <w:b/>
                <w:bCs w:val="0"/>
                <w:color w:val="auto"/>
                <w:sz w:val="24"/>
                <w:highlight w:val="none"/>
                <w:lang w:val="en-US" w:eastAsia="zh-CN"/>
              </w:rPr>
              <w:t>G6</w:t>
            </w:r>
            <w:r>
              <w:rPr>
                <w:rFonts w:hint="default" w:ascii="Times New Roman" w:hAnsi="Times New Roman" w:eastAsia="宋体" w:cs="Times New Roman"/>
                <w:b/>
                <w:bCs w:val="0"/>
                <w:color w:val="auto"/>
                <w:sz w:val="24"/>
                <w:highlight w:val="none"/>
                <w:lang w:val="en-US" w:eastAsia="zh-CN"/>
              </w:rPr>
              <w:t>、</w:t>
            </w:r>
            <w:r>
              <w:rPr>
                <w:rFonts w:hint="eastAsia" w:cs="Times New Roman"/>
                <w:b/>
                <w:bCs w:val="0"/>
                <w:color w:val="auto"/>
                <w:sz w:val="24"/>
                <w:highlight w:val="none"/>
                <w:lang w:val="en-US" w:eastAsia="zh-CN"/>
              </w:rPr>
              <w:t>清洗废液S1、清洗废水W1、高压蒸汽灭菌废水W2、废一次性实验耗材（废手套等）S3、废培养基S5、废紫外灯管S6。</w:t>
            </w:r>
          </w:p>
          <w:p w14:paraId="0ADB70EA">
            <w:pPr>
              <w:widowControl w:val="0"/>
              <w:numPr>
                <w:ilvl w:val="0"/>
                <w:numId w:val="27"/>
              </w:numPr>
              <w:adjustRightInd w:val="0"/>
              <w:snapToGrid w:val="0"/>
              <w:spacing w:line="360" w:lineRule="auto"/>
              <w:ind w:left="0" w:leftChars="0" w:firstLine="482" w:firstLineChars="200"/>
              <w:jc w:val="both"/>
              <w:rPr>
                <w:rFonts w:hint="default" w:cs="Times New Roman"/>
                <w:b/>
                <w:bCs w:val="0"/>
                <w:color w:val="auto"/>
                <w:sz w:val="24"/>
                <w:highlight w:val="none"/>
                <w:lang w:val="en-US" w:eastAsia="zh-CN"/>
              </w:rPr>
            </w:pPr>
            <w:r>
              <w:rPr>
                <w:rFonts w:hint="default" w:cs="Times New Roman"/>
                <w:b/>
                <w:bCs w:val="0"/>
                <w:color w:val="auto"/>
                <w:sz w:val="24"/>
                <w:highlight w:val="none"/>
                <w:lang w:val="en-US" w:eastAsia="zh-CN"/>
              </w:rPr>
              <w:t>空气和废气</w:t>
            </w:r>
          </w:p>
          <w:p w14:paraId="56CE5421">
            <w:pPr>
              <w:widowControl w:val="0"/>
              <w:numPr>
                <w:ilvl w:val="0"/>
                <w:numId w:val="29"/>
              </w:numPr>
              <w:adjustRightInd w:val="0"/>
              <w:snapToGrid w:val="0"/>
              <w:spacing w:line="360" w:lineRule="auto"/>
              <w:ind w:left="0" w:leftChars="0" w:firstLine="482" w:firstLineChars="200"/>
              <w:jc w:val="both"/>
              <w:rPr>
                <w:rFonts w:hint="default" w:cs="Times New Roman"/>
                <w:b/>
                <w:bCs w:val="0"/>
                <w:color w:val="auto"/>
                <w:sz w:val="24"/>
                <w:highlight w:val="none"/>
                <w:lang w:val="en-US" w:eastAsia="zh-CN"/>
              </w:rPr>
            </w:pPr>
            <w:r>
              <w:rPr>
                <w:rFonts w:hint="default" w:cs="Times New Roman"/>
                <w:b/>
                <w:bCs w:val="0"/>
                <w:color w:val="auto"/>
                <w:sz w:val="24"/>
                <w:highlight w:val="none"/>
                <w:lang w:val="en-US" w:eastAsia="zh-CN"/>
              </w:rPr>
              <w:t>重量法检测</w:t>
            </w:r>
          </w:p>
          <w:p w14:paraId="0ABEE3A3">
            <w:pPr>
              <w:widowControl w:val="0"/>
              <w:numPr>
                <w:ilvl w:val="0"/>
                <w:numId w:val="0"/>
              </w:numPr>
              <w:adjustRightInd w:val="0"/>
              <w:snapToGrid w:val="0"/>
              <w:spacing w:line="360" w:lineRule="auto"/>
              <w:ind w:firstLine="480" w:firstLineChars="200"/>
              <w:jc w:val="both"/>
              <w:rPr>
                <w:rFonts w:hint="eastAsia" w:cs="Times New Roman"/>
                <w:b w:val="0"/>
                <w:bCs/>
                <w:color w:val="auto"/>
                <w:sz w:val="24"/>
                <w:highlight w:val="none"/>
                <w:lang w:val="en-US" w:eastAsia="zh-CN"/>
              </w:rPr>
            </w:pPr>
            <w:r>
              <w:rPr>
                <w:rFonts w:hint="default" w:cs="Times New Roman"/>
                <w:b w:val="0"/>
                <w:bCs/>
                <w:color w:val="auto"/>
                <w:sz w:val="24"/>
                <w:highlight w:val="none"/>
                <w:lang w:val="en-US" w:eastAsia="zh-CN"/>
              </w:rPr>
              <w:t>以颗粒物、PM</w:t>
            </w:r>
            <w:r>
              <w:rPr>
                <w:rFonts w:hint="default" w:cs="Times New Roman"/>
                <w:b w:val="0"/>
                <w:bCs/>
                <w:color w:val="auto"/>
                <w:sz w:val="24"/>
                <w:highlight w:val="none"/>
                <w:vertAlign w:val="subscript"/>
                <w:lang w:val="en-US" w:eastAsia="zh-CN"/>
              </w:rPr>
              <w:t>10</w:t>
            </w:r>
            <w:r>
              <w:rPr>
                <w:rFonts w:hint="default" w:cs="Times New Roman"/>
                <w:b w:val="0"/>
                <w:bCs/>
                <w:color w:val="auto"/>
                <w:sz w:val="24"/>
                <w:highlight w:val="none"/>
                <w:lang w:val="en-US" w:eastAsia="zh-CN"/>
              </w:rPr>
              <w:t>、PM</w:t>
            </w:r>
            <w:r>
              <w:rPr>
                <w:rFonts w:hint="default" w:cs="Times New Roman"/>
                <w:b w:val="0"/>
                <w:bCs/>
                <w:color w:val="auto"/>
                <w:sz w:val="24"/>
                <w:highlight w:val="none"/>
                <w:vertAlign w:val="subscript"/>
                <w:lang w:val="en-US" w:eastAsia="zh-CN"/>
              </w:rPr>
              <w:t>2.5</w:t>
            </w:r>
            <w:r>
              <w:rPr>
                <w:rFonts w:hint="default" w:cs="Times New Roman"/>
                <w:b w:val="0"/>
                <w:bCs/>
                <w:color w:val="auto"/>
                <w:sz w:val="24"/>
                <w:highlight w:val="none"/>
                <w:lang w:val="en-US" w:eastAsia="zh-CN"/>
              </w:rPr>
              <w:t>、总悬浮颗粒物的测定为典型的产污环节</w:t>
            </w:r>
            <w:r>
              <w:rPr>
                <w:rFonts w:hint="eastAsia" w:cs="Times New Roman"/>
                <w:b w:val="0"/>
                <w:bCs/>
                <w:color w:val="auto"/>
                <w:sz w:val="24"/>
                <w:highlight w:val="none"/>
                <w:lang w:val="en-US" w:eastAsia="zh-CN"/>
              </w:rPr>
              <w:t>。</w:t>
            </w:r>
          </w:p>
          <w:p w14:paraId="466FF19C">
            <w:pPr>
              <w:widowControl w:val="0"/>
              <w:numPr>
                <w:ilvl w:val="0"/>
                <w:numId w:val="0"/>
              </w:numPr>
              <w:adjustRightInd w:val="0"/>
              <w:snapToGrid w:val="0"/>
              <w:spacing w:line="360" w:lineRule="auto"/>
              <w:ind w:firstLine="482" w:firstLineChars="200"/>
              <w:jc w:val="both"/>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样品采集与保存</w:t>
            </w:r>
            <w:r>
              <w:rPr>
                <w:rFonts w:hint="eastAsia" w:cs="Times New Roman"/>
                <w:b/>
                <w:bCs w:val="0"/>
                <w:color w:val="auto"/>
                <w:sz w:val="24"/>
                <w:highlight w:val="none"/>
                <w:lang w:val="en-US" w:eastAsia="zh-CN"/>
              </w:rPr>
              <w:t>：</w:t>
            </w:r>
            <w:r>
              <w:rPr>
                <w:rFonts w:hint="default" w:cs="Times New Roman"/>
                <w:b w:val="0"/>
                <w:bCs/>
                <w:color w:val="auto"/>
                <w:sz w:val="24"/>
                <w:highlight w:val="none"/>
                <w:lang w:val="en-US" w:eastAsia="zh-CN"/>
              </w:rPr>
              <w:t>选择合适的采样滤膜和采样头，按标准要求抽取气体，样品存放于实验室恒重</w:t>
            </w:r>
            <w:r>
              <w:rPr>
                <w:rFonts w:hint="eastAsia" w:cs="Times New Roman"/>
                <w:b w:val="0"/>
                <w:bCs/>
                <w:color w:val="auto"/>
                <w:sz w:val="24"/>
                <w:highlight w:val="none"/>
                <w:lang w:val="en-US" w:eastAsia="zh-CN"/>
              </w:rPr>
              <w:t>待检测</w:t>
            </w:r>
            <w:r>
              <w:rPr>
                <w:rFonts w:hint="default" w:cs="Times New Roman"/>
                <w:b w:val="0"/>
                <w:bCs/>
                <w:color w:val="auto"/>
                <w:sz w:val="24"/>
                <w:highlight w:val="none"/>
                <w:lang w:val="en-US" w:eastAsia="zh-CN"/>
              </w:rPr>
              <w:t>。</w:t>
            </w:r>
          </w:p>
          <w:p w14:paraId="416CC23E">
            <w:pPr>
              <w:widowControl w:val="0"/>
              <w:numPr>
                <w:ilvl w:val="0"/>
                <w:numId w:val="0"/>
              </w:numPr>
              <w:adjustRightInd w:val="0"/>
              <w:snapToGrid w:val="0"/>
              <w:spacing w:line="360" w:lineRule="auto"/>
              <w:ind w:firstLine="482" w:firstLineChars="200"/>
              <w:jc w:val="both"/>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样品称重测量</w:t>
            </w:r>
            <w:r>
              <w:rPr>
                <w:rFonts w:hint="eastAsia" w:cs="Times New Roman"/>
                <w:b/>
                <w:bCs w:val="0"/>
                <w:color w:val="auto"/>
                <w:sz w:val="24"/>
                <w:highlight w:val="none"/>
                <w:lang w:val="en-US" w:eastAsia="zh-CN"/>
              </w:rPr>
              <w:t>：</w:t>
            </w:r>
            <w:r>
              <w:rPr>
                <w:rFonts w:hint="default" w:cs="Times New Roman"/>
                <w:b w:val="0"/>
                <w:bCs/>
                <w:color w:val="auto"/>
                <w:sz w:val="24"/>
                <w:highlight w:val="none"/>
                <w:lang w:val="en-US" w:eastAsia="zh-CN"/>
              </w:rPr>
              <w:t>用电子天平测量采样结果。</w:t>
            </w:r>
          </w:p>
          <w:p w14:paraId="0E755DE0">
            <w:pPr>
              <w:numPr>
                <w:ilvl w:val="0"/>
                <w:numId w:val="0"/>
              </w:numPr>
              <w:adjustRightInd w:val="0"/>
              <w:snapToGrid w:val="0"/>
              <w:spacing w:line="360" w:lineRule="auto"/>
              <w:ind w:firstLine="482" w:firstLineChars="200"/>
              <w:rPr>
                <w:rFonts w:hint="eastAsia" w:cs="Times New Roman"/>
                <w:b/>
                <w:bCs w:val="0"/>
                <w:color w:val="auto"/>
                <w:sz w:val="24"/>
                <w:highlight w:val="none"/>
                <w:lang w:val="en-US" w:eastAsia="zh-CN"/>
              </w:rPr>
            </w:pPr>
            <w:r>
              <w:rPr>
                <w:rFonts w:hint="eastAsia" w:cs="Times New Roman"/>
                <w:b/>
                <w:bCs w:val="0"/>
                <w:color w:val="auto"/>
                <w:sz w:val="24"/>
                <w:highlight w:val="none"/>
                <w:lang w:val="en-US" w:eastAsia="zh-CN"/>
              </w:rPr>
              <w:t>该</w:t>
            </w:r>
            <w:r>
              <w:rPr>
                <w:rFonts w:hint="default" w:ascii="Times New Roman" w:hAnsi="Times New Roman" w:eastAsia="宋体" w:cs="Times New Roman"/>
                <w:b/>
                <w:bCs w:val="0"/>
                <w:color w:val="auto"/>
                <w:sz w:val="24"/>
                <w:highlight w:val="none"/>
                <w:lang w:val="en-US" w:eastAsia="zh-CN"/>
              </w:rPr>
              <w:t>过程产生</w:t>
            </w:r>
            <w:r>
              <w:rPr>
                <w:rFonts w:hint="eastAsia" w:cs="Times New Roman"/>
                <w:b/>
                <w:bCs w:val="0"/>
                <w:color w:val="auto"/>
                <w:sz w:val="24"/>
                <w:highlight w:val="none"/>
                <w:lang w:val="en-US" w:eastAsia="zh-CN"/>
              </w:rPr>
              <w:t>废一次性实验耗材（废滤膜）S3。</w:t>
            </w:r>
          </w:p>
          <w:p w14:paraId="0F899127">
            <w:pPr>
              <w:numPr>
                <w:ilvl w:val="0"/>
                <w:numId w:val="0"/>
              </w:numPr>
              <w:adjustRightInd w:val="0"/>
              <w:snapToGrid w:val="0"/>
              <w:spacing w:line="360" w:lineRule="auto"/>
              <w:ind w:firstLine="482" w:firstLineChars="200"/>
              <w:rPr>
                <w:rFonts w:hint="default" w:cs="Times New Roman"/>
                <w:b/>
                <w:bCs w:val="0"/>
                <w:color w:val="auto"/>
                <w:sz w:val="24"/>
                <w:highlight w:val="none"/>
                <w:lang w:val="en-US" w:eastAsia="zh-CN"/>
              </w:rPr>
            </w:pPr>
            <w:r>
              <w:rPr>
                <w:rFonts w:hint="eastAsia" w:cs="Times New Roman"/>
                <w:b/>
                <w:bCs w:val="0"/>
                <w:color w:val="auto"/>
                <w:sz w:val="24"/>
                <w:highlight w:val="none"/>
                <w:lang w:val="en-US" w:eastAsia="zh-CN"/>
              </w:rPr>
              <w:t>结果计算：</w:t>
            </w:r>
            <w:r>
              <w:rPr>
                <w:rFonts w:hint="eastAsia" w:cs="Times New Roman"/>
                <w:b w:val="0"/>
                <w:bCs/>
                <w:color w:val="auto"/>
                <w:sz w:val="24"/>
                <w:highlight w:val="none"/>
                <w:lang w:val="en-US" w:eastAsia="zh-CN"/>
              </w:rPr>
              <w:t>根据滤膜质量变化及采样体积计算含量。</w:t>
            </w:r>
          </w:p>
          <w:p w14:paraId="2DD3A89A">
            <w:pPr>
              <w:widowControl w:val="0"/>
              <w:numPr>
                <w:ilvl w:val="0"/>
                <w:numId w:val="29"/>
              </w:numPr>
              <w:adjustRightInd w:val="0"/>
              <w:snapToGrid w:val="0"/>
              <w:spacing w:line="360" w:lineRule="auto"/>
              <w:ind w:left="0" w:leftChars="0" w:firstLine="482" w:firstLineChars="200"/>
              <w:jc w:val="both"/>
              <w:rPr>
                <w:rFonts w:hint="default" w:cs="Times New Roman"/>
                <w:b/>
                <w:bCs w:val="0"/>
                <w:color w:val="auto"/>
                <w:sz w:val="24"/>
                <w:highlight w:val="none"/>
                <w:lang w:val="en-US" w:eastAsia="zh-CN"/>
              </w:rPr>
            </w:pPr>
            <w:r>
              <w:rPr>
                <w:rFonts w:hint="default" w:cs="Times New Roman"/>
                <w:b/>
                <w:bCs w:val="0"/>
                <w:color w:val="auto"/>
                <w:sz w:val="24"/>
                <w:highlight w:val="none"/>
                <w:lang w:val="en-US" w:eastAsia="zh-CN"/>
              </w:rPr>
              <w:t>氟化物的测定</w:t>
            </w:r>
          </w:p>
          <w:p w14:paraId="51738738">
            <w:pPr>
              <w:widowControl w:val="0"/>
              <w:numPr>
                <w:ilvl w:val="0"/>
                <w:numId w:val="0"/>
              </w:numPr>
              <w:adjustRightInd w:val="0"/>
              <w:snapToGrid w:val="0"/>
              <w:spacing w:line="360" w:lineRule="auto"/>
              <w:ind w:firstLine="482" w:firstLineChars="200"/>
              <w:jc w:val="both"/>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样品采集与保存</w:t>
            </w:r>
            <w:r>
              <w:rPr>
                <w:rFonts w:hint="eastAsia" w:cs="Times New Roman"/>
                <w:b/>
                <w:bCs w:val="0"/>
                <w:color w:val="auto"/>
                <w:sz w:val="24"/>
                <w:highlight w:val="none"/>
                <w:lang w:val="en-US" w:eastAsia="zh-CN"/>
              </w:rPr>
              <w:t>：</w:t>
            </w:r>
            <w:r>
              <w:rPr>
                <w:rFonts w:hint="default" w:cs="Times New Roman"/>
                <w:b w:val="0"/>
                <w:bCs/>
                <w:color w:val="auto"/>
                <w:sz w:val="24"/>
                <w:highlight w:val="none"/>
                <w:lang w:val="en-US" w:eastAsia="zh-CN"/>
              </w:rPr>
              <w:t>选择合适的采样滤膜和采样头，按标准要求抽取气体，样品存放于塑料盒（袋）中密封，贮存在密闭容器中</w:t>
            </w:r>
            <w:r>
              <w:rPr>
                <w:rFonts w:hint="eastAsia" w:cs="Times New Roman"/>
                <w:b w:val="0"/>
                <w:bCs/>
                <w:color w:val="auto"/>
                <w:sz w:val="24"/>
                <w:highlight w:val="none"/>
                <w:lang w:val="en-US" w:eastAsia="zh-CN"/>
              </w:rPr>
              <w:t>待检测</w:t>
            </w:r>
            <w:r>
              <w:rPr>
                <w:rFonts w:hint="default" w:cs="Times New Roman"/>
                <w:b w:val="0"/>
                <w:bCs/>
                <w:color w:val="auto"/>
                <w:sz w:val="24"/>
                <w:highlight w:val="none"/>
                <w:lang w:val="en-US" w:eastAsia="zh-CN"/>
              </w:rPr>
              <w:t>。</w:t>
            </w:r>
          </w:p>
          <w:p w14:paraId="62989F94">
            <w:pPr>
              <w:widowControl w:val="0"/>
              <w:numPr>
                <w:ilvl w:val="0"/>
                <w:numId w:val="0"/>
              </w:numPr>
              <w:adjustRightInd w:val="0"/>
              <w:snapToGrid w:val="0"/>
              <w:spacing w:line="360" w:lineRule="auto"/>
              <w:ind w:firstLine="482" w:firstLineChars="200"/>
              <w:jc w:val="both"/>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样品制备</w:t>
            </w:r>
            <w:r>
              <w:rPr>
                <w:rFonts w:hint="eastAsia" w:cs="Times New Roman"/>
                <w:b/>
                <w:bCs w:val="0"/>
                <w:color w:val="auto"/>
                <w:sz w:val="24"/>
                <w:highlight w:val="none"/>
                <w:lang w:val="en-US" w:eastAsia="zh-CN"/>
              </w:rPr>
              <w:t>：</w:t>
            </w:r>
            <w:r>
              <w:rPr>
                <w:rFonts w:hint="default" w:cs="Times New Roman"/>
                <w:b w:val="0"/>
                <w:bCs/>
                <w:color w:val="auto"/>
                <w:sz w:val="24"/>
                <w:highlight w:val="none"/>
                <w:lang w:val="en-US" w:eastAsia="zh-CN"/>
              </w:rPr>
              <w:t>将样品滤膜剪成小碎块，放入50mL带盖聚乙烯瓶中，加盐酸溶液20.0mL，摇动使滤膜充分分散并浸湿后，再加入氢氧化钠溶液5.0 mL，水15.0 mL及缓冲溶液10.0mL，总体积 50.0 mL，混匀后转移至100mL聚乙烯烧杯中待测定。</w:t>
            </w:r>
          </w:p>
          <w:p w14:paraId="19D14CC4">
            <w:pPr>
              <w:widowControl w:val="0"/>
              <w:numPr>
                <w:ilvl w:val="0"/>
                <w:numId w:val="0"/>
              </w:numPr>
              <w:adjustRightInd w:val="0"/>
              <w:snapToGrid w:val="0"/>
              <w:spacing w:line="360" w:lineRule="auto"/>
              <w:ind w:firstLine="482" w:firstLineChars="200"/>
              <w:jc w:val="both"/>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样品测定</w:t>
            </w:r>
            <w:r>
              <w:rPr>
                <w:rFonts w:hint="eastAsia" w:cs="Times New Roman"/>
                <w:b/>
                <w:bCs w:val="0"/>
                <w:color w:val="auto"/>
                <w:sz w:val="24"/>
                <w:highlight w:val="none"/>
                <w:lang w:val="en-US" w:eastAsia="zh-CN"/>
              </w:rPr>
              <w:t>：</w:t>
            </w:r>
            <w:r>
              <w:rPr>
                <w:rFonts w:hint="default" w:cs="Times New Roman"/>
                <w:b w:val="0"/>
                <w:bCs/>
                <w:color w:val="auto"/>
                <w:sz w:val="24"/>
                <w:highlight w:val="none"/>
                <w:lang w:val="en-US" w:eastAsia="zh-CN"/>
              </w:rPr>
              <w:t>将清洗干净的氟离子选择电极及参比电极(或复合电极)插入待测液中测定</w:t>
            </w:r>
            <w:r>
              <w:rPr>
                <w:rFonts w:hint="eastAsia" w:cs="Times New Roman"/>
                <w:b w:val="0"/>
                <w:bCs/>
                <w:color w:val="auto"/>
                <w:sz w:val="24"/>
                <w:highlight w:val="none"/>
                <w:lang w:val="en-US" w:eastAsia="zh-CN"/>
              </w:rPr>
              <w:t>，</w:t>
            </w:r>
            <w:r>
              <w:rPr>
                <w:rFonts w:hint="default" w:cs="Times New Roman"/>
                <w:b w:val="0"/>
                <w:bCs/>
                <w:color w:val="auto"/>
                <w:sz w:val="24"/>
                <w:highlight w:val="none"/>
                <w:lang w:val="en-US" w:eastAsia="zh-CN"/>
              </w:rPr>
              <w:t>读取电位响应值，同时记录测定时的温度。</w:t>
            </w:r>
          </w:p>
          <w:p w14:paraId="55940E55">
            <w:pPr>
              <w:numPr>
                <w:ilvl w:val="0"/>
                <w:numId w:val="0"/>
              </w:numPr>
              <w:adjustRightInd w:val="0"/>
              <w:snapToGrid w:val="0"/>
              <w:spacing w:line="360" w:lineRule="auto"/>
              <w:ind w:firstLine="482" w:firstLineChars="200"/>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该</w:t>
            </w:r>
            <w:r>
              <w:rPr>
                <w:rFonts w:hint="default" w:ascii="Times New Roman" w:hAnsi="Times New Roman" w:eastAsia="宋体" w:cs="Times New Roman"/>
                <w:b/>
                <w:bCs w:val="0"/>
                <w:color w:val="auto"/>
                <w:sz w:val="24"/>
                <w:highlight w:val="none"/>
                <w:lang w:val="en-US" w:eastAsia="zh-CN"/>
              </w:rPr>
              <w:t>过程产生挥发性</w:t>
            </w:r>
            <w:r>
              <w:rPr>
                <w:rFonts w:hint="eastAsia" w:cs="Times New Roman"/>
                <w:b/>
                <w:bCs w:val="0"/>
                <w:color w:val="auto"/>
                <w:sz w:val="24"/>
                <w:highlight w:val="none"/>
                <w:lang w:val="en-US" w:eastAsia="zh-CN"/>
              </w:rPr>
              <w:t>无机</w:t>
            </w:r>
            <w:r>
              <w:rPr>
                <w:rFonts w:hint="default" w:ascii="Times New Roman" w:hAnsi="Times New Roman" w:eastAsia="宋体" w:cs="Times New Roman"/>
                <w:b/>
                <w:bCs w:val="0"/>
                <w:color w:val="auto"/>
                <w:sz w:val="24"/>
                <w:highlight w:val="none"/>
                <w:lang w:val="en-US" w:eastAsia="zh-CN"/>
              </w:rPr>
              <w:t>废气</w:t>
            </w:r>
            <w:r>
              <w:rPr>
                <w:rFonts w:hint="eastAsia" w:cs="Times New Roman"/>
                <w:b/>
                <w:bCs w:val="0"/>
                <w:color w:val="auto"/>
                <w:sz w:val="24"/>
                <w:highlight w:val="none"/>
                <w:lang w:val="en-US" w:eastAsia="zh-CN"/>
              </w:rPr>
              <w:t>G7</w:t>
            </w:r>
            <w:r>
              <w:rPr>
                <w:rFonts w:hint="default" w:ascii="Times New Roman" w:hAnsi="Times New Roman" w:eastAsia="宋体" w:cs="Times New Roman"/>
                <w:b/>
                <w:bCs w:val="0"/>
                <w:color w:val="auto"/>
                <w:sz w:val="24"/>
                <w:highlight w:val="none"/>
                <w:lang w:val="en-US" w:eastAsia="zh-CN"/>
              </w:rPr>
              <w:t>、</w:t>
            </w:r>
            <w:r>
              <w:rPr>
                <w:rFonts w:hint="eastAsia" w:cs="Times New Roman"/>
                <w:b/>
                <w:bCs w:val="0"/>
                <w:color w:val="auto"/>
                <w:sz w:val="24"/>
                <w:highlight w:val="none"/>
                <w:lang w:val="en-US" w:eastAsia="zh-CN"/>
              </w:rPr>
              <w:t>清洗废液S1、清洗废水W1、废一次性实验耗材（废手套等）S3、检测废液S4。</w:t>
            </w:r>
          </w:p>
          <w:p w14:paraId="66891800">
            <w:pPr>
              <w:widowControl w:val="0"/>
              <w:numPr>
                <w:ilvl w:val="0"/>
                <w:numId w:val="0"/>
              </w:numPr>
              <w:adjustRightInd w:val="0"/>
              <w:snapToGrid w:val="0"/>
              <w:spacing w:line="360" w:lineRule="auto"/>
              <w:ind w:firstLine="482" w:firstLineChars="200"/>
              <w:jc w:val="both"/>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结果记录</w:t>
            </w:r>
            <w:r>
              <w:rPr>
                <w:rFonts w:hint="eastAsia" w:cs="Times New Roman"/>
                <w:b/>
                <w:bCs w:val="0"/>
                <w:color w:val="auto"/>
                <w:sz w:val="24"/>
                <w:highlight w:val="none"/>
                <w:lang w:val="en-US" w:eastAsia="zh-CN"/>
              </w:rPr>
              <w:t>：</w:t>
            </w:r>
            <w:r>
              <w:rPr>
                <w:rFonts w:hint="default" w:cs="Times New Roman"/>
                <w:b w:val="0"/>
                <w:bCs/>
                <w:color w:val="auto"/>
                <w:sz w:val="24"/>
                <w:highlight w:val="none"/>
                <w:lang w:val="en-US" w:eastAsia="zh-CN"/>
              </w:rPr>
              <w:t>按照标准曲线计算出样品氟化物含量。</w:t>
            </w:r>
          </w:p>
          <w:p w14:paraId="0EBE2696">
            <w:pPr>
              <w:widowControl w:val="0"/>
              <w:numPr>
                <w:ilvl w:val="0"/>
                <w:numId w:val="29"/>
              </w:numPr>
              <w:adjustRightInd w:val="0"/>
              <w:snapToGrid w:val="0"/>
              <w:spacing w:line="360" w:lineRule="auto"/>
              <w:ind w:left="0" w:leftChars="0" w:firstLine="482" w:firstLineChars="200"/>
              <w:jc w:val="both"/>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分光光度法</w:t>
            </w:r>
          </w:p>
          <w:p w14:paraId="7AD6D928">
            <w:pPr>
              <w:widowControl w:val="0"/>
              <w:numPr>
                <w:ilvl w:val="0"/>
                <w:numId w:val="0"/>
              </w:numPr>
              <w:adjustRightInd w:val="0"/>
              <w:snapToGrid w:val="0"/>
              <w:spacing w:line="360" w:lineRule="auto"/>
              <w:ind w:firstLine="480" w:firstLineChars="200"/>
              <w:jc w:val="both"/>
              <w:rPr>
                <w:rFonts w:hint="default" w:cs="Times New Roman"/>
                <w:b w:val="0"/>
                <w:bCs/>
                <w:color w:val="auto"/>
                <w:sz w:val="24"/>
                <w:highlight w:val="none"/>
                <w:lang w:val="en-US" w:eastAsia="zh-CN"/>
              </w:rPr>
            </w:pPr>
            <w:r>
              <w:rPr>
                <w:rFonts w:hint="default" w:cs="Times New Roman"/>
                <w:b w:val="0"/>
                <w:bCs/>
                <w:color w:val="auto"/>
                <w:sz w:val="24"/>
                <w:highlight w:val="none"/>
                <w:lang w:val="en-US" w:eastAsia="zh-CN"/>
              </w:rPr>
              <w:t>以硫化氢</w:t>
            </w:r>
            <w:r>
              <w:rPr>
                <w:rFonts w:hint="eastAsia" w:cs="Times New Roman"/>
                <w:b w:val="0"/>
                <w:bCs/>
                <w:color w:val="auto"/>
                <w:sz w:val="24"/>
                <w:highlight w:val="none"/>
                <w:lang w:val="en-US" w:eastAsia="zh-CN"/>
              </w:rPr>
              <w:t>、氨、甲醛</w:t>
            </w:r>
            <w:r>
              <w:rPr>
                <w:rFonts w:hint="default" w:cs="Times New Roman"/>
                <w:b w:val="0"/>
                <w:bCs/>
                <w:color w:val="auto"/>
                <w:sz w:val="24"/>
                <w:highlight w:val="none"/>
                <w:lang w:val="en-US" w:eastAsia="zh-CN"/>
              </w:rPr>
              <w:t>的测定为典型的产污环节</w:t>
            </w:r>
            <w:r>
              <w:rPr>
                <w:rFonts w:hint="eastAsia" w:cs="Times New Roman"/>
                <w:b w:val="0"/>
                <w:bCs/>
                <w:color w:val="auto"/>
                <w:sz w:val="24"/>
                <w:highlight w:val="none"/>
                <w:lang w:val="en-US" w:eastAsia="zh-CN"/>
              </w:rPr>
              <w:t>。</w:t>
            </w:r>
          </w:p>
          <w:p w14:paraId="7C776133">
            <w:pPr>
              <w:widowControl w:val="0"/>
              <w:numPr>
                <w:ilvl w:val="0"/>
                <w:numId w:val="0"/>
              </w:numPr>
              <w:adjustRightInd w:val="0"/>
              <w:snapToGrid w:val="0"/>
              <w:spacing w:line="360" w:lineRule="auto"/>
              <w:ind w:firstLine="482" w:firstLineChars="200"/>
              <w:jc w:val="both"/>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样品采集与保存</w:t>
            </w:r>
            <w:r>
              <w:rPr>
                <w:rFonts w:hint="eastAsia" w:cs="Times New Roman"/>
                <w:b/>
                <w:bCs w:val="0"/>
                <w:color w:val="auto"/>
                <w:sz w:val="24"/>
                <w:highlight w:val="none"/>
                <w:lang w:val="en-US" w:eastAsia="zh-CN"/>
              </w:rPr>
              <w:t>：</w:t>
            </w:r>
            <w:r>
              <w:rPr>
                <w:rFonts w:hint="default" w:cs="Times New Roman"/>
                <w:b w:val="0"/>
                <w:bCs/>
                <w:color w:val="auto"/>
                <w:sz w:val="24"/>
                <w:highlight w:val="none"/>
                <w:lang w:val="en-US" w:eastAsia="zh-CN"/>
              </w:rPr>
              <w:t>使用</w:t>
            </w:r>
            <w:r>
              <w:rPr>
                <w:rFonts w:hint="eastAsia" w:cs="Times New Roman"/>
                <w:b w:val="0"/>
                <w:bCs/>
                <w:color w:val="auto"/>
                <w:sz w:val="24"/>
                <w:highlight w:val="none"/>
                <w:lang w:val="en-US" w:eastAsia="zh-CN"/>
              </w:rPr>
              <w:t>标准要求的</w:t>
            </w:r>
            <w:r>
              <w:rPr>
                <w:rFonts w:hint="default" w:cs="Times New Roman"/>
                <w:b w:val="0"/>
                <w:bCs/>
                <w:color w:val="auto"/>
                <w:sz w:val="24"/>
                <w:highlight w:val="none"/>
                <w:lang w:val="en-US" w:eastAsia="zh-CN"/>
              </w:rPr>
              <w:t>吸收液，用大气采样器在</w:t>
            </w:r>
            <w:r>
              <w:rPr>
                <w:rFonts w:hint="eastAsia" w:cs="Times New Roman"/>
                <w:b w:val="0"/>
                <w:bCs/>
                <w:color w:val="auto"/>
                <w:sz w:val="24"/>
                <w:highlight w:val="none"/>
                <w:lang w:val="en-US" w:eastAsia="zh-CN"/>
              </w:rPr>
              <w:t>一定</w:t>
            </w:r>
            <w:r>
              <w:rPr>
                <w:rFonts w:hint="default" w:cs="Times New Roman"/>
                <w:b w:val="0"/>
                <w:bCs/>
                <w:color w:val="auto"/>
                <w:sz w:val="24"/>
                <w:highlight w:val="none"/>
                <w:lang w:val="en-US" w:eastAsia="zh-CN"/>
              </w:rPr>
              <w:t>流量</w:t>
            </w:r>
            <w:r>
              <w:rPr>
                <w:rFonts w:hint="eastAsia" w:cs="Times New Roman"/>
                <w:b w:val="0"/>
                <w:bCs/>
                <w:color w:val="auto"/>
                <w:sz w:val="24"/>
                <w:highlight w:val="none"/>
                <w:lang w:val="en-US" w:eastAsia="zh-CN"/>
              </w:rPr>
              <w:t>下</w:t>
            </w:r>
            <w:r>
              <w:rPr>
                <w:rFonts w:hint="default" w:cs="Times New Roman"/>
                <w:b w:val="0"/>
                <w:bCs/>
                <w:color w:val="auto"/>
                <w:sz w:val="24"/>
                <w:highlight w:val="none"/>
                <w:lang w:val="en-US" w:eastAsia="zh-CN"/>
              </w:rPr>
              <w:t>采样，采集样品后</w:t>
            </w:r>
            <w:r>
              <w:rPr>
                <w:rFonts w:hint="eastAsia" w:cs="Times New Roman"/>
                <w:b w:val="0"/>
                <w:bCs/>
                <w:color w:val="auto"/>
                <w:sz w:val="24"/>
                <w:highlight w:val="none"/>
                <w:lang w:val="en-US" w:eastAsia="zh-CN"/>
              </w:rPr>
              <w:t>的吸收液</w:t>
            </w:r>
            <w:r>
              <w:rPr>
                <w:rFonts w:hint="default" w:cs="Times New Roman"/>
                <w:b w:val="0"/>
                <w:bCs/>
                <w:color w:val="auto"/>
                <w:sz w:val="24"/>
                <w:highlight w:val="none"/>
                <w:lang w:val="en-US" w:eastAsia="zh-CN"/>
              </w:rPr>
              <w:t>避光保存</w:t>
            </w:r>
            <w:r>
              <w:rPr>
                <w:rFonts w:hint="eastAsia" w:cs="Times New Roman"/>
                <w:b w:val="0"/>
                <w:bCs/>
                <w:color w:val="auto"/>
                <w:sz w:val="24"/>
                <w:highlight w:val="none"/>
                <w:lang w:val="en-US" w:eastAsia="zh-CN"/>
              </w:rPr>
              <w:t>待检测</w:t>
            </w:r>
            <w:r>
              <w:rPr>
                <w:rFonts w:hint="default" w:cs="Times New Roman"/>
                <w:b w:val="0"/>
                <w:bCs/>
                <w:color w:val="auto"/>
                <w:sz w:val="24"/>
                <w:highlight w:val="none"/>
                <w:lang w:val="en-US" w:eastAsia="zh-CN"/>
              </w:rPr>
              <w:t>。</w:t>
            </w:r>
          </w:p>
          <w:p w14:paraId="250478AF">
            <w:pPr>
              <w:widowControl w:val="0"/>
              <w:numPr>
                <w:ilvl w:val="0"/>
                <w:numId w:val="0"/>
              </w:numPr>
              <w:adjustRightInd w:val="0"/>
              <w:snapToGrid w:val="0"/>
              <w:spacing w:line="360" w:lineRule="auto"/>
              <w:ind w:firstLine="482" w:firstLineChars="200"/>
              <w:jc w:val="both"/>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样品制备</w:t>
            </w:r>
            <w:r>
              <w:rPr>
                <w:rFonts w:hint="eastAsia" w:cs="Times New Roman"/>
                <w:b/>
                <w:bCs w:val="0"/>
                <w:color w:val="auto"/>
                <w:sz w:val="24"/>
                <w:highlight w:val="none"/>
                <w:lang w:val="en-US" w:eastAsia="zh-CN"/>
              </w:rPr>
              <w:t>：</w:t>
            </w:r>
            <w:r>
              <w:rPr>
                <w:rFonts w:hint="default" w:cs="Times New Roman"/>
                <w:b w:val="0"/>
                <w:bCs/>
                <w:color w:val="auto"/>
                <w:sz w:val="24"/>
                <w:highlight w:val="none"/>
                <w:lang w:val="en-US" w:eastAsia="zh-CN"/>
              </w:rPr>
              <w:t>取全部吸收液，</w:t>
            </w:r>
            <w:r>
              <w:rPr>
                <w:rFonts w:hint="eastAsia" w:cs="Times New Roman"/>
                <w:b w:val="0"/>
                <w:bCs/>
                <w:color w:val="auto"/>
                <w:sz w:val="24"/>
                <w:highlight w:val="none"/>
                <w:lang w:val="en-US" w:eastAsia="zh-CN"/>
              </w:rPr>
              <w:t>用蒸馏水补充到一定体积</w:t>
            </w:r>
            <w:r>
              <w:rPr>
                <w:rFonts w:hint="default" w:cs="Times New Roman"/>
                <w:b w:val="0"/>
                <w:bCs/>
                <w:color w:val="auto"/>
                <w:sz w:val="24"/>
                <w:highlight w:val="none"/>
                <w:lang w:val="en-US" w:eastAsia="zh-CN"/>
              </w:rPr>
              <w:t>。</w:t>
            </w:r>
          </w:p>
          <w:p w14:paraId="4634C266">
            <w:pPr>
              <w:widowControl w:val="0"/>
              <w:numPr>
                <w:ilvl w:val="0"/>
                <w:numId w:val="0"/>
              </w:numPr>
              <w:adjustRightInd w:val="0"/>
              <w:snapToGrid w:val="0"/>
              <w:spacing w:line="360" w:lineRule="auto"/>
              <w:ind w:firstLine="482" w:firstLineChars="200"/>
              <w:jc w:val="both"/>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上机检测</w:t>
            </w:r>
            <w:r>
              <w:rPr>
                <w:rFonts w:hint="eastAsia" w:cs="Times New Roman"/>
                <w:b/>
                <w:bCs w:val="0"/>
                <w:color w:val="auto"/>
                <w:sz w:val="24"/>
                <w:highlight w:val="none"/>
                <w:lang w:val="en-US" w:eastAsia="zh-CN"/>
              </w:rPr>
              <w:t>：</w:t>
            </w:r>
            <w:r>
              <w:rPr>
                <w:rFonts w:hint="eastAsia" w:cs="Times New Roman"/>
                <w:b w:val="0"/>
                <w:bCs/>
                <w:color w:val="auto"/>
                <w:sz w:val="24"/>
                <w:highlight w:val="none"/>
                <w:lang w:val="en-US" w:eastAsia="zh-CN"/>
              </w:rPr>
              <w:t>按标准要求加入</w:t>
            </w:r>
            <w:r>
              <w:rPr>
                <w:rFonts w:hint="default" w:cs="Times New Roman"/>
                <w:b w:val="0"/>
                <w:bCs/>
                <w:color w:val="auto"/>
                <w:sz w:val="24"/>
                <w:highlight w:val="none"/>
                <w:lang w:val="en-US" w:eastAsia="zh-CN"/>
              </w:rPr>
              <w:t>显色剂，在</w:t>
            </w:r>
            <w:r>
              <w:rPr>
                <w:rFonts w:hint="eastAsia" w:cs="Times New Roman"/>
                <w:b w:val="0"/>
                <w:bCs/>
                <w:color w:val="auto"/>
                <w:sz w:val="24"/>
                <w:highlight w:val="none"/>
                <w:lang w:val="en-US" w:eastAsia="zh-CN"/>
              </w:rPr>
              <w:t>一定波长下</w:t>
            </w:r>
            <w:r>
              <w:rPr>
                <w:rFonts w:hint="default" w:cs="Times New Roman"/>
                <w:b w:val="0"/>
                <w:bCs/>
                <w:color w:val="auto"/>
                <w:sz w:val="24"/>
                <w:highlight w:val="none"/>
                <w:lang w:val="en-US" w:eastAsia="zh-CN"/>
              </w:rPr>
              <w:t>测量吸光度。</w:t>
            </w:r>
          </w:p>
          <w:p w14:paraId="02F517E4">
            <w:pPr>
              <w:numPr>
                <w:ilvl w:val="0"/>
                <w:numId w:val="0"/>
              </w:numPr>
              <w:adjustRightInd w:val="0"/>
              <w:snapToGrid w:val="0"/>
              <w:spacing w:line="360" w:lineRule="auto"/>
              <w:ind w:firstLine="482" w:firstLineChars="200"/>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该</w:t>
            </w:r>
            <w:r>
              <w:rPr>
                <w:rFonts w:hint="default" w:ascii="Times New Roman" w:hAnsi="Times New Roman" w:eastAsia="宋体" w:cs="Times New Roman"/>
                <w:b/>
                <w:bCs w:val="0"/>
                <w:color w:val="auto"/>
                <w:sz w:val="24"/>
                <w:highlight w:val="none"/>
                <w:lang w:val="en-US" w:eastAsia="zh-CN"/>
              </w:rPr>
              <w:t>过程产生挥发性</w:t>
            </w:r>
            <w:r>
              <w:rPr>
                <w:rFonts w:hint="eastAsia" w:cs="Times New Roman"/>
                <w:b/>
                <w:bCs w:val="0"/>
                <w:color w:val="auto"/>
                <w:sz w:val="24"/>
                <w:highlight w:val="none"/>
                <w:lang w:val="en-US" w:eastAsia="zh-CN"/>
              </w:rPr>
              <w:t>无机</w:t>
            </w:r>
            <w:r>
              <w:rPr>
                <w:rFonts w:hint="default" w:ascii="Times New Roman" w:hAnsi="Times New Roman" w:eastAsia="宋体" w:cs="Times New Roman"/>
                <w:b/>
                <w:bCs w:val="0"/>
                <w:color w:val="auto"/>
                <w:sz w:val="24"/>
                <w:highlight w:val="none"/>
                <w:lang w:val="en-US" w:eastAsia="zh-CN"/>
              </w:rPr>
              <w:t>废气</w:t>
            </w:r>
            <w:r>
              <w:rPr>
                <w:rFonts w:hint="eastAsia" w:cs="Times New Roman"/>
                <w:b/>
                <w:bCs w:val="0"/>
                <w:color w:val="auto"/>
                <w:sz w:val="24"/>
                <w:highlight w:val="none"/>
                <w:lang w:val="en-US" w:eastAsia="zh-CN"/>
              </w:rPr>
              <w:t>G8</w:t>
            </w:r>
            <w:r>
              <w:rPr>
                <w:rFonts w:hint="default" w:ascii="Times New Roman" w:hAnsi="Times New Roman" w:eastAsia="宋体" w:cs="Times New Roman"/>
                <w:b/>
                <w:bCs w:val="0"/>
                <w:color w:val="auto"/>
                <w:sz w:val="24"/>
                <w:highlight w:val="none"/>
                <w:lang w:val="en-US" w:eastAsia="zh-CN"/>
              </w:rPr>
              <w:t>、</w:t>
            </w:r>
            <w:r>
              <w:rPr>
                <w:rFonts w:hint="eastAsia" w:cs="Times New Roman"/>
                <w:b/>
                <w:bCs w:val="0"/>
                <w:color w:val="auto"/>
                <w:sz w:val="24"/>
                <w:highlight w:val="none"/>
                <w:lang w:val="en-US" w:eastAsia="zh-CN"/>
              </w:rPr>
              <w:t>清洗废液S1、清洗废水W1、废一次性实验耗材（废手套等）S3、检测废液S4。</w:t>
            </w:r>
          </w:p>
          <w:p w14:paraId="29CB39E4">
            <w:pPr>
              <w:widowControl w:val="0"/>
              <w:numPr>
                <w:ilvl w:val="0"/>
                <w:numId w:val="29"/>
              </w:numPr>
              <w:adjustRightInd w:val="0"/>
              <w:snapToGrid w:val="0"/>
              <w:spacing w:line="360" w:lineRule="auto"/>
              <w:ind w:left="0" w:leftChars="0" w:firstLine="482" w:firstLineChars="200"/>
              <w:jc w:val="both"/>
              <w:rPr>
                <w:rFonts w:hint="default" w:cs="Times New Roman"/>
                <w:b/>
                <w:bCs w:val="0"/>
                <w:color w:val="auto"/>
                <w:sz w:val="24"/>
                <w:highlight w:val="none"/>
                <w:lang w:val="en-US" w:eastAsia="zh-CN"/>
              </w:rPr>
            </w:pPr>
            <w:r>
              <w:rPr>
                <w:rFonts w:hint="default" w:cs="Times New Roman"/>
                <w:b/>
                <w:bCs w:val="0"/>
                <w:color w:val="auto"/>
                <w:sz w:val="24"/>
                <w:highlight w:val="none"/>
                <w:lang w:val="en-US" w:eastAsia="zh-CN"/>
              </w:rPr>
              <w:t>三点式比臭法</w:t>
            </w:r>
          </w:p>
          <w:p w14:paraId="35CEC023">
            <w:pPr>
              <w:widowControl w:val="0"/>
              <w:numPr>
                <w:ilvl w:val="0"/>
                <w:numId w:val="0"/>
              </w:numPr>
              <w:adjustRightInd w:val="0"/>
              <w:snapToGrid w:val="0"/>
              <w:spacing w:line="360" w:lineRule="auto"/>
              <w:ind w:firstLine="482" w:firstLineChars="200"/>
              <w:jc w:val="both"/>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样品采集与保存</w:t>
            </w:r>
            <w:r>
              <w:rPr>
                <w:rFonts w:hint="eastAsia" w:cs="Times New Roman"/>
                <w:b/>
                <w:bCs w:val="0"/>
                <w:color w:val="auto"/>
                <w:sz w:val="24"/>
                <w:highlight w:val="none"/>
                <w:lang w:val="en-US" w:eastAsia="zh-CN"/>
              </w:rPr>
              <w:t>：</w:t>
            </w:r>
            <w:r>
              <w:rPr>
                <w:rFonts w:hint="default" w:cs="Times New Roman"/>
                <w:b w:val="0"/>
                <w:bCs/>
                <w:color w:val="auto"/>
                <w:sz w:val="24"/>
                <w:highlight w:val="none"/>
                <w:lang w:val="en-US" w:eastAsia="zh-CN"/>
              </w:rPr>
              <w:t>使用采样袋</w:t>
            </w:r>
            <w:r>
              <w:rPr>
                <w:rFonts w:hint="eastAsia" w:cs="Times New Roman"/>
                <w:b w:val="0"/>
                <w:bCs/>
                <w:color w:val="auto"/>
                <w:sz w:val="24"/>
                <w:highlight w:val="none"/>
                <w:lang w:val="en-US" w:eastAsia="zh-CN"/>
              </w:rPr>
              <w:t>采集</w:t>
            </w:r>
            <w:r>
              <w:rPr>
                <w:rFonts w:hint="default" w:cs="Times New Roman"/>
                <w:b w:val="0"/>
                <w:bCs/>
                <w:color w:val="auto"/>
                <w:sz w:val="24"/>
                <w:highlight w:val="none"/>
                <w:lang w:val="en-US" w:eastAsia="zh-CN"/>
              </w:rPr>
              <w:t>3L</w:t>
            </w:r>
            <w:r>
              <w:rPr>
                <w:rFonts w:hint="eastAsia" w:cs="Times New Roman"/>
                <w:b w:val="0"/>
                <w:bCs/>
                <w:color w:val="auto"/>
                <w:sz w:val="24"/>
                <w:highlight w:val="none"/>
                <w:lang w:val="en-US" w:eastAsia="zh-CN"/>
              </w:rPr>
              <w:t>样品</w:t>
            </w:r>
            <w:r>
              <w:rPr>
                <w:rFonts w:hint="default" w:cs="Times New Roman"/>
                <w:b w:val="0"/>
                <w:bCs/>
                <w:color w:val="auto"/>
                <w:sz w:val="24"/>
                <w:highlight w:val="none"/>
                <w:lang w:val="en-US" w:eastAsia="zh-CN"/>
              </w:rPr>
              <w:t>，3个为一组，采集样品后避光保存。</w:t>
            </w:r>
          </w:p>
          <w:p w14:paraId="61024B53">
            <w:pPr>
              <w:widowControl w:val="0"/>
              <w:numPr>
                <w:ilvl w:val="0"/>
                <w:numId w:val="0"/>
              </w:numPr>
              <w:adjustRightInd w:val="0"/>
              <w:snapToGrid w:val="0"/>
              <w:spacing w:line="360" w:lineRule="auto"/>
              <w:ind w:firstLine="482" w:firstLineChars="200"/>
              <w:jc w:val="both"/>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初始稀释倍数确定</w:t>
            </w:r>
            <w:r>
              <w:rPr>
                <w:rFonts w:hint="eastAsia" w:cs="Times New Roman"/>
                <w:b/>
                <w:bCs w:val="0"/>
                <w:color w:val="auto"/>
                <w:sz w:val="24"/>
                <w:highlight w:val="none"/>
                <w:lang w:val="en-US" w:eastAsia="zh-CN"/>
              </w:rPr>
              <w:t>：</w:t>
            </w:r>
            <w:r>
              <w:rPr>
                <w:rFonts w:hint="default" w:cs="Times New Roman"/>
                <w:b w:val="0"/>
                <w:bCs/>
                <w:color w:val="auto"/>
                <w:sz w:val="24"/>
                <w:highlight w:val="none"/>
                <w:lang w:val="en-US" w:eastAsia="zh-CN"/>
              </w:rPr>
              <w:t>配气人员将臭气样品按稀释梯度配制一组嗅辨气袋，进行嗅辨尝试，从中选择一个既能明显嗅出气味又不强烈刺激的嗅辨气袋，以此嗅辨气袋的稀释倍数作为实验初始稀释倍数。</w:t>
            </w:r>
          </w:p>
          <w:p w14:paraId="59BE593C">
            <w:pPr>
              <w:widowControl w:val="0"/>
              <w:numPr>
                <w:ilvl w:val="0"/>
                <w:numId w:val="0"/>
              </w:numPr>
              <w:adjustRightInd w:val="0"/>
              <w:snapToGrid w:val="0"/>
              <w:spacing w:line="360" w:lineRule="auto"/>
              <w:ind w:firstLine="482" w:firstLineChars="200"/>
              <w:jc w:val="both"/>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制作嗅辩组</w:t>
            </w:r>
            <w:r>
              <w:rPr>
                <w:rFonts w:hint="eastAsia" w:cs="Times New Roman"/>
                <w:b/>
                <w:bCs w:val="0"/>
                <w:color w:val="auto"/>
                <w:sz w:val="24"/>
                <w:highlight w:val="none"/>
                <w:lang w:val="en-US" w:eastAsia="zh-CN"/>
              </w:rPr>
              <w:t>：</w:t>
            </w:r>
            <w:r>
              <w:rPr>
                <w:rFonts w:hint="default" w:cs="Times New Roman"/>
                <w:b w:val="0"/>
                <w:bCs/>
                <w:color w:val="auto"/>
                <w:sz w:val="24"/>
                <w:highlight w:val="none"/>
                <w:lang w:val="en-US" w:eastAsia="zh-CN"/>
              </w:rPr>
              <w:t>将18只3L嗅辨气袋分成6组，每一组的3只气袋上分别标明A、B、C 号，其中一只按初始稀释倍数，将样品气体定量注入充有无臭空气的嗅辨气袋，其余两只仅充满无臭空气，然后将 6 组嗅辨气袋发给 6 名嗅辨员嗅辨，每个稀释倍数实验重复进行三次。此过程产生样品臭气，经嗅辩台的集气罩收集接入活性炭吸附装置处理后排放。</w:t>
            </w:r>
          </w:p>
          <w:p w14:paraId="1AE2149F">
            <w:pPr>
              <w:widowControl w:val="0"/>
              <w:numPr>
                <w:ilvl w:val="0"/>
                <w:numId w:val="0"/>
              </w:numPr>
              <w:adjustRightInd w:val="0"/>
              <w:snapToGrid w:val="0"/>
              <w:spacing w:line="360" w:lineRule="auto"/>
              <w:ind w:firstLine="482" w:firstLineChars="200"/>
              <w:jc w:val="both"/>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数据计算</w:t>
            </w:r>
            <w:r>
              <w:rPr>
                <w:rFonts w:hint="eastAsia" w:cs="Times New Roman"/>
                <w:b/>
                <w:bCs w:val="0"/>
                <w:color w:val="auto"/>
                <w:sz w:val="24"/>
                <w:highlight w:val="none"/>
                <w:lang w:val="en-US" w:eastAsia="zh-CN"/>
              </w:rPr>
              <w:t>：</w:t>
            </w:r>
            <w:r>
              <w:rPr>
                <w:rFonts w:hint="default" w:cs="Times New Roman"/>
                <w:b w:val="0"/>
                <w:bCs/>
                <w:color w:val="auto"/>
                <w:sz w:val="24"/>
                <w:highlight w:val="none"/>
                <w:lang w:val="en-US" w:eastAsia="zh-CN"/>
              </w:rPr>
              <w:t>逐步增加稀释倍数重复</w:t>
            </w:r>
            <w:r>
              <w:rPr>
                <w:rFonts w:hint="eastAsia" w:cs="Times New Roman"/>
                <w:b w:val="0"/>
                <w:bCs/>
                <w:color w:val="auto"/>
                <w:sz w:val="24"/>
                <w:highlight w:val="none"/>
                <w:lang w:val="en-US" w:eastAsia="zh-CN"/>
              </w:rPr>
              <w:t>以上步骤，</w:t>
            </w:r>
            <w:r>
              <w:rPr>
                <w:rFonts w:hint="default" w:cs="Times New Roman"/>
                <w:b w:val="0"/>
                <w:bCs/>
                <w:color w:val="auto"/>
                <w:sz w:val="24"/>
                <w:highlight w:val="none"/>
                <w:lang w:val="en-US" w:eastAsia="zh-CN"/>
              </w:rPr>
              <w:t>直至嗅辩不出臭味实验结束，计算臭气浓度。</w:t>
            </w:r>
          </w:p>
          <w:p w14:paraId="1B5E6B22">
            <w:pPr>
              <w:numPr>
                <w:ilvl w:val="0"/>
                <w:numId w:val="0"/>
              </w:numPr>
              <w:adjustRightInd w:val="0"/>
              <w:snapToGrid w:val="0"/>
              <w:spacing w:line="360" w:lineRule="auto"/>
              <w:ind w:firstLine="482" w:firstLineChars="200"/>
              <w:rPr>
                <w:rFonts w:hint="eastAsia" w:cs="Times New Roman"/>
                <w:b/>
                <w:bCs w:val="0"/>
                <w:color w:val="auto"/>
                <w:sz w:val="24"/>
                <w:highlight w:val="none"/>
                <w:lang w:val="en-US" w:eastAsia="zh-CN"/>
              </w:rPr>
            </w:pPr>
            <w:r>
              <w:rPr>
                <w:rFonts w:hint="eastAsia" w:cs="Times New Roman"/>
                <w:b/>
                <w:bCs w:val="0"/>
                <w:color w:val="auto"/>
                <w:sz w:val="24"/>
                <w:highlight w:val="none"/>
                <w:lang w:val="en-US" w:eastAsia="zh-CN"/>
              </w:rPr>
              <w:t>该</w:t>
            </w:r>
            <w:r>
              <w:rPr>
                <w:rFonts w:hint="default" w:ascii="Times New Roman" w:hAnsi="Times New Roman" w:eastAsia="宋体" w:cs="Times New Roman"/>
                <w:b/>
                <w:bCs w:val="0"/>
                <w:color w:val="auto"/>
                <w:sz w:val="24"/>
                <w:highlight w:val="none"/>
                <w:lang w:val="en-US" w:eastAsia="zh-CN"/>
              </w:rPr>
              <w:t>过程产生</w:t>
            </w:r>
            <w:r>
              <w:rPr>
                <w:rFonts w:hint="eastAsia" w:cs="Times New Roman"/>
                <w:b/>
                <w:bCs w:val="0"/>
                <w:color w:val="auto"/>
                <w:sz w:val="24"/>
                <w:highlight w:val="none"/>
                <w:lang w:val="en-US" w:eastAsia="zh-CN"/>
              </w:rPr>
              <w:t>废一次性实验耗材（废气袋）S3。</w:t>
            </w:r>
          </w:p>
          <w:p w14:paraId="1DF8024A">
            <w:pPr>
              <w:widowControl w:val="0"/>
              <w:numPr>
                <w:ilvl w:val="0"/>
                <w:numId w:val="27"/>
              </w:numPr>
              <w:adjustRightInd w:val="0"/>
              <w:snapToGrid w:val="0"/>
              <w:spacing w:line="360" w:lineRule="auto"/>
              <w:ind w:left="0" w:leftChars="0" w:firstLine="482" w:firstLineChars="200"/>
              <w:jc w:val="both"/>
              <w:rPr>
                <w:rFonts w:hint="default" w:cs="Times New Roman"/>
                <w:b/>
                <w:bCs w:val="0"/>
                <w:color w:val="auto"/>
                <w:sz w:val="24"/>
                <w:highlight w:val="none"/>
                <w:lang w:val="en-US" w:eastAsia="zh-CN"/>
              </w:rPr>
            </w:pPr>
            <w:r>
              <w:rPr>
                <w:rFonts w:hint="eastAsia" w:cs="Times New Roman"/>
                <w:b/>
                <w:bCs w:val="0"/>
                <w:color w:val="auto"/>
                <w:sz w:val="24"/>
                <w:highlight w:val="none"/>
                <w:lang w:val="en-US" w:eastAsia="zh-CN"/>
              </w:rPr>
              <w:t>土壤</w:t>
            </w:r>
          </w:p>
          <w:p w14:paraId="1E356397">
            <w:pPr>
              <w:numPr>
                <w:ilvl w:val="0"/>
                <w:numId w:val="30"/>
              </w:numPr>
              <w:adjustRightInd w:val="0"/>
              <w:snapToGrid w:val="0"/>
              <w:spacing w:line="360" w:lineRule="auto"/>
              <w:ind w:left="0" w:leftChars="0" w:firstLine="482" w:firstLineChars="200"/>
              <w:rPr>
                <w:rFonts w:hint="eastAsia" w:cs="Times New Roman"/>
                <w:b/>
                <w:bCs w:val="0"/>
                <w:color w:val="auto"/>
                <w:sz w:val="24"/>
                <w:highlight w:val="none"/>
                <w:lang w:val="en-US" w:eastAsia="zh-CN"/>
              </w:rPr>
            </w:pPr>
            <w:r>
              <w:rPr>
                <w:rFonts w:hint="default" w:cs="Times New Roman"/>
                <w:b/>
                <w:bCs w:val="0"/>
                <w:color w:val="auto"/>
                <w:sz w:val="24"/>
                <w:highlight w:val="none"/>
                <w:lang w:val="en-US" w:eastAsia="zh-CN"/>
              </w:rPr>
              <w:t>现场采样与保存：</w:t>
            </w:r>
          </w:p>
          <w:p w14:paraId="178F8AA1">
            <w:pPr>
              <w:numPr>
                <w:ilvl w:val="0"/>
                <w:numId w:val="0"/>
              </w:numPr>
              <w:adjustRightInd w:val="0"/>
              <w:snapToGrid w:val="0"/>
              <w:spacing w:line="360" w:lineRule="auto"/>
              <w:ind w:firstLine="480" w:firstLineChars="200"/>
              <w:rPr>
                <w:rFonts w:hint="default" w:cs="Times New Roman"/>
                <w:b w:val="0"/>
                <w:bCs/>
                <w:color w:val="auto"/>
                <w:sz w:val="24"/>
                <w:highlight w:val="none"/>
                <w:lang w:val="en-US" w:eastAsia="zh-CN"/>
              </w:rPr>
            </w:pPr>
            <w:r>
              <w:rPr>
                <w:rFonts w:hint="eastAsia" w:cs="Times New Roman"/>
                <w:b w:val="0"/>
                <w:bCs/>
                <w:color w:val="auto"/>
                <w:sz w:val="24"/>
                <w:highlight w:val="none"/>
                <w:lang w:val="en-US" w:eastAsia="zh-CN"/>
              </w:rPr>
              <w:t>用木铲采集土壤样品，</w:t>
            </w:r>
            <w:r>
              <w:rPr>
                <w:rFonts w:hint="default" w:cs="Times New Roman"/>
                <w:b w:val="0"/>
                <w:bCs/>
                <w:color w:val="auto"/>
                <w:sz w:val="24"/>
                <w:highlight w:val="none"/>
                <w:lang w:val="en-US" w:eastAsia="zh-CN"/>
              </w:rPr>
              <w:t>详细填写样品标签和现场记录单。</w:t>
            </w:r>
          </w:p>
          <w:p w14:paraId="54F51A7A">
            <w:pPr>
              <w:numPr>
                <w:ilvl w:val="0"/>
                <w:numId w:val="0"/>
              </w:numPr>
              <w:adjustRightInd w:val="0"/>
              <w:snapToGrid w:val="0"/>
              <w:spacing w:line="360" w:lineRule="auto"/>
              <w:ind w:firstLine="480" w:firstLineChars="200"/>
              <w:rPr>
                <w:rFonts w:hint="default" w:cs="Times New Roman"/>
                <w:b w:val="0"/>
                <w:bCs/>
                <w:color w:val="auto"/>
                <w:sz w:val="24"/>
                <w:highlight w:val="none"/>
                <w:lang w:val="en-US" w:eastAsia="zh-CN"/>
              </w:rPr>
            </w:pPr>
            <w:r>
              <w:rPr>
                <w:rFonts w:hint="default" w:cs="Times New Roman"/>
                <w:b w:val="0"/>
                <w:bCs/>
                <w:color w:val="auto"/>
                <w:sz w:val="24"/>
                <w:highlight w:val="none"/>
                <w:lang w:val="en-US" w:eastAsia="zh-CN"/>
              </w:rPr>
              <w:t>VOCs样品必须装入预先添加甲醇保护剂的棕色玻璃瓶中，装满且无顶空，并立即放入内置蓝冰的4℃冷藏箱中避光保存</w:t>
            </w:r>
            <w:r>
              <w:rPr>
                <w:rFonts w:hint="eastAsia" w:cs="Times New Roman"/>
                <w:b w:val="0"/>
                <w:bCs/>
                <w:color w:val="auto"/>
                <w:sz w:val="24"/>
                <w:highlight w:val="none"/>
                <w:lang w:val="en-US" w:eastAsia="zh-CN"/>
              </w:rPr>
              <w:t>，</w:t>
            </w:r>
            <w:r>
              <w:rPr>
                <w:rFonts w:hint="default" w:cs="Times New Roman"/>
                <w:b w:val="0"/>
                <w:bCs/>
                <w:color w:val="auto"/>
                <w:sz w:val="24"/>
                <w:highlight w:val="none"/>
                <w:lang w:val="en-US" w:eastAsia="zh-CN"/>
              </w:rPr>
              <w:t>其他样品可装入自封袋或玻璃瓶中</w:t>
            </w:r>
            <w:r>
              <w:rPr>
                <w:rFonts w:hint="eastAsia" w:cs="Times New Roman"/>
                <w:b w:val="0"/>
                <w:bCs/>
                <w:color w:val="auto"/>
                <w:sz w:val="24"/>
                <w:highlight w:val="none"/>
                <w:lang w:val="en-US" w:eastAsia="zh-CN"/>
              </w:rPr>
              <w:t>，</w:t>
            </w:r>
            <w:r>
              <w:rPr>
                <w:rFonts w:hint="default" w:cs="Times New Roman"/>
                <w:b w:val="0"/>
                <w:bCs/>
                <w:color w:val="auto"/>
                <w:sz w:val="24"/>
                <w:highlight w:val="none"/>
                <w:lang w:val="en-US" w:eastAsia="zh-CN"/>
              </w:rPr>
              <w:t>所有样品在运输和等待分析期间均</w:t>
            </w:r>
            <w:r>
              <w:rPr>
                <w:rFonts w:hint="eastAsia" w:cs="Times New Roman"/>
                <w:b w:val="0"/>
                <w:bCs/>
                <w:color w:val="auto"/>
                <w:sz w:val="24"/>
                <w:highlight w:val="none"/>
                <w:lang w:val="en-US" w:eastAsia="zh-CN"/>
              </w:rPr>
              <w:t>须</w:t>
            </w:r>
            <w:r>
              <w:rPr>
                <w:rFonts w:hint="default" w:cs="Times New Roman"/>
                <w:b w:val="0"/>
                <w:bCs/>
                <w:color w:val="auto"/>
                <w:sz w:val="24"/>
                <w:highlight w:val="none"/>
                <w:lang w:val="en-US" w:eastAsia="zh-CN"/>
              </w:rPr>
              <w:t>在4℃低温下保存。</w:t>
            </w:r>
          </w:p>
          <w:p w14:paraId="11E9529E">
            <w:pPr>
              <w:numPr>
                <w:ilvl w:val="0"/>
                <w:numId w:val="0"/>
              </w:numPr>
              <w:adjustRightInd w:val="0"/>
              <w:snapToGrid w:val="0"/>
              <w:spacing w:line="360" w:lineRule="auto"/>
              <w:ind w:firstLine="482" w:firstLineChars="200"/>
              <w:rPr>
                <w:rFonts w:hint="eastAsia" w:cs="Times New Roman"/>
                <w:b w:val="0"/>
                <w:bCs/>
                <w:color w:val="auto"/>
                <w:sz w:val="24"/>
                <w:highlight w:val="none"/>
                <w:lang w:val="en-US" w:eastAsia="zh-CN"/>
              </w:rPr>
            </w:pPr>
            <w:r>
              <w:rPr>
                <w:rFonts w:hint="eastAsia" w:cs="Times New Roman"/>
                <w:b/>
                <w:bCs w:val="0"/>
                <w:color w:val="auto"/>
                <w:sz w:val="24"/>
                <w:highlight w:val="none"/>
                <w:lang w:val="en-US" w:eastAsia="zh-CN"/>
              </w:rPr>
              <w:t>该</w:t>
            </w:r>
            <w:r>
              <w:rPr>
                <w:rFonts w:hint="default" w:ascii="Times New Roman" w:hAnsi="Times New Roman" w:eastAsia="宋体" w:cs="Times New Roman"/>
                <w:b/>
                <w:bCs w:val="0"/>
                <w:color w:val="auto"/>
                <w:sz w:val="24"/>
                <w:highlight w:val="none"/>
                <w:lang w:val="en-US" w:eastAsia="zh-CN"/>
              </w:rPr>
              <w:t>过程产生</w:t>
            </w:r>
            <w:r>
              <w:rPr>
                <w:rFonts w:hint="eastAsia" w:cs="Times New Roman"/>
                <w:b/>
                <w:bCs w:val="0"/>
                <w:color w:val="auto"/>
                <w:sz w:val="24"/>
                <w:highlight w:val="none"/>
                <w:lang w:val="en-US" w:eastAsia="zh-CN"/>
              </w:rPr>
              <w:t>废一次性实验耗材（废手套）S3。</w:t>
            </w:r>
          </w:p>
          <w:p w14:paraId="6FA53C7C">
            <w:pPr>
              <w:numPr>
                <w:ilvl w:val="0"/>
                <w:numId w:val="30"/>
              </w:numPr>
              <w:adjustRightInd w:val="0"/>
              <w:snapToGrid w:val="0"/>
              <w:spacing w:line="360" w:lineRule="auto"/>
              <w:ind w:left="0" w:leftChars="0" w:firstLine="482" w:firstLineChars="200"/>
              <w:rPr>
                <w:rFonts w:hint="eastAsia" w:cs="Times New Roman"/>
                <w:b w:val="0"/>
                <w:bCs/>
                <w:color w:val="auto"/>
                <w:sz w:val="24"/>
                <w:highlight w:val="none"/>
                <w:lang w:val="en-US" w:eastAsia="zh-CN"/>
              </w:rPr>
            </w:pPr>
            <w:r>
              <w:rPr>
                <w:rFonts w:hint="eastAsia" w:cs="Times New Roman"/>
                <w:b/>
                <w:bCs w:val="0"/>
                <w:color w:val="auto"/>
                <w:sz w:val="24"/>
                <w:highlight w:val="none"/>
                <w:lang w:val="en-US" w:eastAsia="zh-CN"/>
              </w:rPr>
              <w:t>样品处理</w:t>
            </w:r>
            <w:r>
              <w:rPr>
                <w:rFonts w:hint="default" w:cs="Times New Roman"/>
                <w:b w:val="0"/>
                <w:bCs/>
                <w:color w:val="auto"/>
                <w:sz w:val="24"/>
                <w:highlight w:val="none"/>
                <w:lang w:val="en-US" w:eastAsia="zh-CN"/>
              </w:rPr>
              <w:t xml:space="preserve"> </w:t>
            </w:r>
          </w:p>
          <w:p w14:paraId="6A72A717">
            <w:pPr>
              <w:numPr>
                <w:ilvl w:val="0"/>
                <w:numId w:val="0"/>
              </w:numPr>
              <w:adjustRightInd w:val="0"/>
              <w:snapToGrid w:val="0"/>
              <w:spacing w:line="360" w:lineRule="auto"/>
              <w:ind w:firstLine="480" w:firstLineChars="200"/>
              <w:rPr>
                <w:rFonts w:hint="eastAsia" w:cs="Times New Roman"/>
                <w:b w:val="0"/>
                <w:bCs/>
                <w:color w:val="auto"/>
                <w:sz w:val="24"/>
                <w:highlight w:val="none"/>
                <w:lang w:val="en-US" w:eastAsia="zh-CN"/>
              </w:rPr>
            </w:pPr>
            <w:r>
              <w:rPr>
                <w:rFonts w:hint="default" w:cs="Times New Roman"/>
                <w:b w:val="0"/>
                <w:bCs/>
                <w:color w:val="auto"/>
                <w:sz w:val="24"/>
                <w:highlight w:val="none"/>
                <w:lang w:val="en-US" w:eastAsia="zh-CN"/>
              </w:rPr>
              <w:t>除VOCs和恶臭污染物等需新鲜样品的测试外，</w:t>
            </w:r>
            <w:r>
              <w:rPr>
                <w:rFonts w:hint="eastAsia" w:cs="Times New Roman"/>
                <w:b w:val="0"/>
                <w:bCs/>
                <w:color w:val="auto"/>
                <w:sz w:val="24"/>
                <w:highlight w:val="none"/>
                <w:lang w:val="en-US" w:eastAsia="zh-CN"/>
              </w:rPr>
              <w:t>其他</w:t>
            </w:r>
            <w:r>
              <w:rPr>
                <w:rFonts w:hint="default" w:cs="Times New Roman"/>
                <w:b w:val="0"/>
                <w:bCs/>
                <w:color w:val="auto"/>
                <w:sz w:val="24"/>
                <w:highlight w:val="none"/>
                <w:lang w:val="en-US" w:eastAsia="zh-CN"/>
              </w:rPr>
              <w:t>样品需在通风无尘的室内风干，剔除石块和植物根系。用玛瑙研钵或木槌研磨后，过不同目数的尼龙筛，装袋待</w:t>
            </w:r>
            <w:r>
              <w:rPr>
                <w:rFonts w:hint="eastAsia" w:cs="Times New Roman"/>
                <w:b w:val="0"/>
                <w:bCs/>
                <w:color w:val="auto"/>
                <w:sz w:val="24"/>
                <w:highlight w:val="none"/>
                <w:lang w:val="en-US" w:eastAsia="zh-CN"/>
              </w:rPr>
              <w:t>检测</w:t>
            </w:r>
            <w:r>
              <w:rPr>
                <w:rFonts w:hint="default" w:cs="Times New Roman"/>
                <w:b w:val="0"/>
                <w:bCs/>
                <w:color w:val="auto"/>
                <w:sz w:val="24"/>
                <w:highlight w:val="none"/>
                <w:lang w:val="en-US" w:eastAsia="zh-CN"/>
              </w:rPr>
              <w:t>。</w:t>
            </w:r>
          </w:p>
          <w:p w14:paraId="21A4EA33">
            <w:pPr>
              <w:numPr>
                <w:ilvl w:val="0"/>
                <w:numId w:val="30"/>
              </w:numPr>
              <w:adjustRightInd w:val="0"/>
              <w:snapToGrid w:val="0"/>
              <w:spacing w:line="360" w:lineRule="auto"/>
              <w:ind w:left="0" w:leftChars="0" w:firstLine="480" w:firstLineChars="200"/>
              <w:rPr>
                <w:rFonts w:hint="eastAsia" w:cs="Times New Roman"/>
                <w:b/>
                <w:bCs w:val="0"/>
                <w:color w:val="auto"/>
                <w:sz w:val="24"/>
                <w:highlight w:val="none"/>
                <w:lang w:val="en-US" w:eastAsia="zh-CN"/>
              </w:rPr>
            </w:pPr>
            <w:r>
              <w:rPr>
                <w:rFonts w:hint="default" w:cs="Times New Roman"/>
                <w:b w:val="0"/>
                <w:bCs/>
                <w:color w:val="auto"/>
                <w:sz w:val="24"/>
                <w:highlight w:val="none"/>
                <w:lang w:val="en-US" w:eastAsia="zh-CN"/>
              </w:rPr>
              <w:t>根据检测项目的不同，采用不同的前处理方法将待测物从土壤基质中提取出来。酸消解/碱熔用于重金属分析</w:t>
            </w:r>
            <w:r>
              <w:rPr>
                <w:rFonts w:hint="eastAsia" w:cs="Times New Roman"/>
                <w:b w:val="0"/>
                <w:bCs/>
                <w:color w:val="auto"/>
                <w:sz w:val="24"/>
                <w:highlight w:val="none"/>
                <w:lang w:val="en-US" w:eastAsia="zh-CN"/>
              </w:rPr>
              <w:t>；</w:t>
            </w:r>
            <w:r>
              <w:rPr>
                <w:rFonts w:hint="default" w:cs="Times New Roman"/>
                <w:b w:val="0"/>
                <w:bCs/>
                <w:color w:val="auto"/>
                <w:sz w:val="24"/>
                <w:highlight w:val="none"/>
                <w:lang w:val="en-US" w:eastAsia="zh-CN"/>
              </w:rPr>
              <w:t>索氏提取、加压流体萃取（ASE） 用于有机污染物分析</w:t>
            </w:r>
            <w:r>
              <w:rPr>
                <w:rFonts w:hint="eastAsia" w:cs="Times New Roman"/>
                <w:b w:val="0"/>
                <w:bCs/>
                <w:color w:val="auto"/>
                <w:sz w:val="24"/>
                <w:highlight w:val="none"/>
                <w:lang w:val="en-US" w:eastAsia="zh-CN"/>
              </w:rPr>
              <w:t>；</w:t>
            </w:r>
            <w:r>
              <w:rPr>
                <w:rFonts w:hint="default" w:cs="Times New Roman"/>
                <w:b w:val="0"/>
                <w:bCs/>
                <w:color w:val="auto"/>
                <w:sz w:val="24"/>
                <w:highlight w:val="none"/>
                <w:lang w:val="en-US" w:eastAsia="zh-CN"/>
              </w:rPr>
              <w:t>吹扫捕集、顶空用于VOCs分析。</w:t>
            </w:r>
          </w:p>
          <w:p w14:paraId="0C042143">
            <w:pPr>
              <w:numPr>
                <w:ilvl w:val="0"/>
                <w:numId w:val="0"/>
              </w:numPr>
              <w:adjustRightInd w:val="0"/>
              <w:snapToGrid w:val="0"/>
              <w:spacing w:line="360" w:lineRule="auto"/>
              <w:ind w:firstLine="482" w:firstLineChars="200"/>
              <w:rPr>
                <w:rFonts w:hint="eastAsia" w:cs="Times New Roman"/>
                <w:b/>
                <w:bCs w:val="0"/>
                <w:color w:val="auto"/>
                <w:sz w:val="24"/>
                <w:highlight w:val="none"/>
                <w:lang w:val="en-US" w:eastAsia="zh-CN"/>
              </w:rPr>
            </w:pPr>
            <w:r>
              <w:rPr>
                <w:rFonts w:hint="eastAsia" w:cs="Times New Roman"/>
                <w:b/>
                <w:bCs w:val="0"/>
                <w:color w:val="auto"/>
                <w:sz w:val="24"/>
                <w:highlight w:val="none"/>
                <w:lang w:val="en-US" w:eastAsia="zh-CN"/>
              </w:rPr>
              <w:t>该</w:t>
            </w:r>
            <w:r>
              <w:rPr>
                <w:rFonts w:hint="default" w:ascii="Times New Roman" w:hAnsi="Times New Roman" w:eastAsia="宋体" w:cs="Times New Roman"/>
                <w:b/>
                <w:bCs w:val="0"/>
                <w:color w:val="auto"/>
                <w:sz w:val="24"/>
                <w:highlight w:val="none"/>
                <w:lang w:val="en-US" w:eastAsia="zh-CN"/>
              </w:rPr>
              <w:t>过程产生</w:t>
            </w:r>
            <w:r>
              <w:rPr>
                <w:rFonts w:hint="eastAsia" w:cs="Times New Roman"/>
                <w:b/>
                <w:bCs w:val="0"/>
                <w:color w:val="auto"/>
                <w:sz w:val="24"/>
                <w:highlight w:val="none"/>
                <w:lang w:val="en-US" w:eastAsia="zh-CN"/>
              </w:rPr>
              <w:t>废一次性实验耗材（废气袋）S3。</w:t>
            </w:r>
          </w:p>
          <w:p w14:paraId="7CEDB6AA">
            <w:pPr>
              <w:numPr>
                <w:ilvl w:val="0"/>
                <w:numId w:val="30"/>
              </w:numPr>
              <w:adjustRightInd w:val="0"/>
              <w:snapToGrid w:val="0"/>
              <w:spacing w:line="360" w:lineRule="auto"/>
              <w:ind w:left="0" w:leftChars="0" w:firstLine="482" w:firstLineChars="200"/>
              <w:rPr>
                <w:rFonts w:hint="eastAsia" w:cs="Times New Roman"/>
                <w:b/>
                <w:bCs w:val="0"/>
                <w:color w:val="auto"/>
                <w:sz w:val="24"/>
                <w:highlight w:val="none"/>
                <w:lang w:val="en-US" w:eastAsia="zh-CN"/>
              </w:rPr>
            </w:pPr>
            <w:r>
              <w:rPr>
                <w:rFonts w:hint="default" w:cs="Times New Roman"/>
                <w:b/>
                <w:bCs w:val="0"/>
                <w:color w:val="auto"/>
                <w:sz w:val="24"/>
                <w:highlight w:val="none"/>
                <w:lang w:val="en-US" w:eastAsia="zh-CN"/>
              </w:rPr>
              <w:t>上机检测</w:t>
            </w:r>
          </w:p>
          <w:p w14:paraId="2FEADD48">
            <w:pPr>
              <w:numPr>
                <w:ilvl w:val="0"/>
                <w:numId w:val="0"/>
              </w:numPr>
              <w:adjustRightInd w:val="0"/>
              <w:snapToGrid w:val="0"/>
              <w:spacing w:line="360" w:lineRule="auto"/>
              <w:ind w:firstLine="480" w:firstLineChars="200"/>
              <w:rPr>
                <w:rFonts w:hint="eastAsia" w:cs="Times New Roman"/>
                <w:b w:val="0"/>
                <w:bCs/>
                <w:color w:val="auto"/>
                <w:sz w:val="24"/>
                <w:highlight w:val="none"/>
                <w:lang w:val="en-US" w:eastAsia="zh-CN"/>
              </w:rPr>
            </w:pPr>
            <w:r>
              <w:rPr>
                <w:rFonts w:hint="default" w:cs="Times New Roman"/>
                <w:b w:val="0"/>
                <w:bCs/>
                <w:color w:val="auto"/>
                <w:sz w:val="24"/>
                <w:highlight w:val="none"/>
                <w:lang w:val="en-US" w:eastAsia="zh-CN"/>
              </w:rPr>
              <w:t>重金属（铅、镉、汞、砷等）：采用电感耦合等离子体质谱法（ICP-MS）、原子吸收光谱法（AAS）等。</w:t>
            </w:r>
          </w:p>
          <w:p w14:paraId="4BDC27B8">
            <w:pPr>
              <w:numPr>
                <w:ilvl w:val="0"/>
                <w:numId w:val="0"/>
              </w:numPr>
              <w:adjustRightInd w:val="0"/>
              <w:snapToGrid w:val="0"/>
              <w:spacing w:line="360" w:lineRule="auto"/>
              <w:ind w:firstLine="480" w:firstLineChars="200"/>
              <w:rPr>
                <w:rFonts w:hint="eastAsia" w:cs="Times New Roman"/>
                <w:b w:val="0"/>
                <w:bCs/>
                <w:color w:val="auto"/>
                <w:sz w:val="24"/>
                <w:highlight w:val="none"/>
                <w:lang w:val="en-US" w:eastAsia="zh-CN"/>
              </w:rPr>
            </w:pPr>
            <w:r>
              <w:rPr>
                <w:rFonts w:hint="default" w:cs="Times New Roman"/>
                <w:b w:val="0"/>
                <w:bCs/>
                <w:color w:val="auto"/>
                <w:sz w:val="24"/>
                <w:highlight w:val="none"/>
                <w:lang w:val="en-US" w:eastAsia="zh-CN"/>
              </w:rPr>
              <w:t>VOCs：采用气相色谱-质谱联用（GC-MS）。</w:t>
            </w:r>
          </w:p>
          <w:p w14:paraId="47634F96">
            <w:pPr>
              <w:numPr>
                <w:ilvl w:val="0"/>
                <w:numId w:val="0"/>
              </w:numPr>
              <w:adjustRightInd w:val="0"/>
              <w:snapToGrid w:val="0"/>
              <w:spacing w:line="360" w:lineRule="auto"/>
              <w:ind w:firstLine="480" w:firstLineChars="200"/>
              <w:rPr>
                <w:rFonts w:hint="eastAsia" w:cs="Times New Roman"/>
                <w:b w:val="0"/>
                <w:bCs/>
                <w:color w:val="auto"/>
                <w:sz w:val="24"/>
                <w:highlight w:val="none"/>
                <w:lang w:val="en-US" w:eastAsia="zh-CN"/>
              </w:rPr>
            </w:pPr>
            <w:r>
              <w:rPr>
                <w:rFonts w:hint="default" w:cs="Times New Roman"/>
                <w:b w:val="0"/>
                <w:bCs/>
                <w:color w:val="auto"/>
                <w:sz w:val="24"/>
                <w:highlight w:val="none"/>
                <w:lang w:val="en-US" w:eastAsia="zh-CN"/>
              </w:rPr>
              <w:t>石油烃（TPH）：采用气相色谱-氢火焰离子化检测器（GC-FID）。</w:t>
            </w:r>
          </w:p>
          <w:p w14:paraId="53FACC01">
            <w:pPr>
              <w:numPr>
                <w:ilvl w:val="0"/>
                <w:numId w:val="0"/>
              </w:numPr>
              <w:adjustRightInd w:val="0"/>
              <w:snapToGrid w:val="0"/>
              <w:spacing w:line="360" w:lineRule="auto"/>
              <w:ind w:firstLine="482" w:firstLineChars="200"/>
              <w:rPr>
                <w:rFonts w:hint="default" w:cs="Times New Roman"/>
                <w:b/>
                <w:bCs w:val="0"/>
                <w:color w:val="auto"/>
                <w:sz w:val="24"/>
                <w:highlight w:val="none"/>
                <w:lang w:val="en-US" w:eastAsia="zh-CN"/>
              </w:rPr>
            </w:pPr>
            <w:r>
              <w:rPr>
                <w:rFonts w:hint="eastAsia" w:cs="Times New Roman"/>
                <w:b/>
                <w:bCs w:val="0"/>
                <w:color w:val="auto"/>
                <w:sz w:val="24"/>
                <w:highlight w:val="none"/>
                <w:lang w:val="en-US" w:eastAsia="zh-CN"/>
              </w:rPr>
              <w:t>该</w:t>
            </w:r>
            <w:r>
              <w:rPr>
                <w:rFonts w:hint="default" w:ascii="Times New Roman" w:hAnsi="Times New Roman" w:eastAsia="宋体" w:cs="Times New Roman"/>
                <w:b/>
                <w:bCs w:val="0"/>
                <w:color w:val="auto"/>
                <w:sz w:val="24"/>
                <w:highlight w:val="none"/>
                <w:lang w:val="en-US" w:eastAsia="zh-CN"/>
              </w:rPr>
              <w:t>过程产生挥发性</w:t>
            </w:r>
            <w:r>
              <w:rPr>
                <w:rFonts w:hint="eastAsia" w:cs="Times New Roman"/>
                <w:b/>
                <w:bCs w:val="0"/>
                <w:color w:val="auto"/>
                <w:sz w:val="24"/>
                <w:highlight w:val="none"/>
                <w:lang w:val="en-US" w:eastAsia="zh-CN"/>
              </w:rPr>
              <w:t>无机</w:t>
            </w:r>
            <w:r>
              <w:rPr>
                <w:rFonts w:hint="default" w:ascii="Times New Roman" w:hAnsi="Times New Roman" w:eastAsia="宋体" w:cs="Times New Roman"/>
                <w:b/>
                <w:bCs w:val="0"/>
                <w:color w:val="auto"/>
                <w:sz w:val="24"/>
                <w:highlight w:val="none"/>
                <w:lang w:val="en-US" w:eastAsia="zh-CN"/>
              </w:rPr>
              <w:t>废气</w:t>
            </w:r>
            <w:r>
              <w:rPr>
                <w:rFonts w:hint="eastAsia" w:cs="Times New Roman"/>
                <w:b/>
                <w:bCs w:val="0"/>
                <w:color w:val="auto"/>
                <w:sz w:val="24"/>
                <w:highlight w:val="none"/>
                <w:lang w:val="en-US" w:eastAsia="zh-CN"/>
              </w:rPr>
              <w:t>G7</w:t>
            </w:r>
            <w:r>
              <w:rPr>
                <w:rFonts w:hint="default" w:ascii="Times New Roman" w:hAnsi="Times New Roman" w:eastAsia="宋体" w:cs="Times New Roman"/>
                <w:b/>
                <w:bCs w:val="0"/>
                <w:color w:val="auto"/>
                <w:sz w:val="24"/>
                <w:highlight w:val="none"/>
                <w:lang w:val="en-US" w:eastAsia="zh-CN"/>
              </w:rPr>
              <w:t>、</w:t>
            </w:r>
            <w:r>
              <w:rPr>
                <w:rFonts w:hint="eastAsia" w:cs="Times New Roman"/>
                <w:b/>
                <w:bCs w:val="0"/>
                <w:color w:val="auto"/>
                <w:sz w:val="24"/>
                <w:highlight w:val="none"/>
                <w:lang w:val="en-US" w:eastAsia="zh-CN"/>
              </w:rPr>
              <w:t>清洗废液S1、清洗废水W1、废一次性实验耗材（废手套等）S3、检测废液S4。还会产生滤纸</w:t>
            </w:r>
            <w:r>
              <w:rPr>
                <w:rFonts w:hint="default" w:cs="Times New Roman"/>
                <w:b/>
                <w:bCs w:val="0"/>
                <w:color w:val="auto"/>
                <w:sz w:val="24"/>
                <w:highlight w:val="none"/>
                <w:lang w:val="en-US" w:eastAsia="zh-CN"/>
              </w:rPr>
              <w:t>、一次性手套、样品瓶盖、移液枪吸头、离心管、破碎的玻璃器皿等。</w:t>
            </w:r>
          </w:p>
          <w:p w14:paraId="3FE635E9">
            <w:pPr>
              <w:adjustRightInd w:val="0"/>
              <w:snapToGrid w:val="0"/>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其他产污环节</w:t>
            </w:r>
            <w:r>
              <w:rPr>
                <w:rFonts w:hint="default" w:ascii="Times New Roman" w:hAnsi="Times New Roman" w:eastAsia="宋体" w:cs="Times New Roman"/>
                <w:b/>
                <w:color w:val="auto"/>
                <w:sz w:val="24"/>
                <w:highlight w:val="none"/>
              </w:rPr>
              <w:t>：</w:t>
            </w:r>
          </w:p>
          <w:p w14:paraId="0BE46DF8">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纯水制备过程中会产生废反渗透膜</w:t>
            </w:r>
            <w:r>
              <w:rPr>
                <w:rFonts w:hint="default" w:ascii="Times New Roman" w:hAnsi="Times New Roman" w:eastAsia="宋体" w:cs="Times New Roman"/>
                <w:b w:val="0"/>
                <w:bCs w:val="0"/>
                <w:color w:val="auto"/>
                <w:sz w:val="24"/>
                <w:highlight w:val="none"/>
                <w:lang w:val="en-US" w:eastAsia="zh-CN"/>
              </w:rPr>
              <w:t>S</w:t>
            </w:r>
            <w:r>
              <w:rPr>
                <w:rFonts w:hint="eastAsia" w:cs="Times New Roman"/>
                <w:b w:val="0"/>
                <w:bCs w:val="0"/>
                <w:color w:val="auto"/>
                <w:sz w:val="24"/>
                <w:highlight w:val="none"/>
                <w:lang w:val="en-US" w:eastAsia="zh-CN"/>
              </w:rPr>
              <w:t>7、</w:t>
            </w:r>
            <w:r>
              <w:rPr>
                <w:rFonts w:hint="default" w:ascii="Times New Roman" w:hAnsi="Times New Roman" w:eastAsia="宋体" w:cs="Times New Roman"/>
                <w:b w:val="0"/>
                <w:bCs w:val="0"/>
                <w:color w:val="auto"/>
                <w:sz w:val="24"/>
                <w:highlight w:val="none"/>
              </w:rPr>
              <w:t>废气治理设施运行过程中会产生废活性炭</w:t>
            </w:r>
            <w:r>
              <w:rPr>
                <w:rFonts w:hint="default" w:ascii="Times New Roman" w:hAnsi="Times New Roman" w:eastAsia="宋体" w:cs="Times New Roman"/>
                <w:b w:val="0"/>
                <w:bCs w:val="0"/>
                <w:color w:val="auto"/>
                <w:sz w:val="24"/>
                <w:highlight w:val="none"/>
                <w:lang w:val="en-US" w:eastAsia="zh-CN"/>
              </w:rPr>
              <w:t>S</w:t>
            </w:r>
            <w:r>
              <w:rPr>
                <w:rFonts w:hint="eastAsia" w:cs="Times New Roman"/>
                <w:b w:val="0"/>
                <w:bCs w:val="0"/>
                <w:color w:val="auto"/>
                <w:sz w:val="24"/>
                <w:highlight w:val="none"/>
                <w:lang w:val="en-US" w:eastAsia="zh-CN"/>
              </w:rPr>
              <w:t>8</w:t>
            </w:r>
            <w:r>
              <w:rPr>
                <w:rFonts w:hint="default" w:ascii="Times New Roman" w:hAnsi="Times New Roman" w:eastAsia="宋体" w:cs="Times New Roman"/>
                <w:b w:val="0"/>
                <w:bCs w:val="0"/>
                <w:color w:val="auto"/>
                <w:sz w:val="24"/>
                <w:highlight w:val="none"/>
                <w:lang w:val="en-US" w:eastAsia="zh-CN"/>
              </w:rPr>
              <w:t>、</w:t>
            </w:r>
            <w:r>
              <w:rPr>
                <w:rFonts w:hint="eastAsia" w:cs="Times New Roman"/>
                <w:b w:val="0"/>
                <w:bCs w:val="0"/>
                <w:color w:val="auto"/>
                <w:sz w:val="24"/>
                <w:highlight w:val="none"/>
                <w:lang w:val="en-US" w:eastAsia="zh-CN"/>
              </w:rPr>
              <w:t>试剂</w:t>
            </w:r>
            <w:r>
              <w:rPr>
                <w:rFonts w:hint="default" w:ascii="Times New Roman" w:hAnsi="Times New Roman" w:eastAsia="宋体" w:cs="Times New Roman"/>
                <w:b w:val="0"/>
                <w:bCs w:val="0"/>
                <w:color w:val="auto"/>
                <w:sz w:val="24"/>
                <w:highlight w:val="none"/>
                <w:lang w:val="en-US" w:eastAsia="zh-CN"/>
              </w:rPr>
              <w:t>使用后会产生</w:t>
            </w:r>
            <w:r>
              <w:rPr>
                <w:rFonts w:hint="eastAsia" w:cs="Times New Roman"/>
                <w:b w:val="0"/>
                <w:bCs w:val="0"/>
                <w:color w:val="auto"/>
                <w:sz w:val="24"/>
                <w:highlight w:val="none"/>
                <w:lang w:val="en-US" w:eastAsia="zh-CN"/>
              </w:rPr>
              <w:t>废试剂瓶</w:t>
            </w:r>
            <w:r>
              <w:rPr>
                <w:rFonts w:hint="default" w:ascii="Times New Roman" w:hAnsi="Times New Roman" w:eastAsia="宋体" w:cs="Times New Roman"/>
                <w:b w:val="0"/>
                <w:bCs w:val="0"/>
                <w:color w:val="auto"/>
                <w:sz w:val="24"/>
                <w:highlight w:val="none"/>
                <w:lang w:val="en-US" w:eastAsia="zh-CN"/>
              </w:rPr>
              <w:t>S</w:t>
            </w:r>
            <w:r>
              <w:rPr>
                <w:rFonts w:hint="eastAsia" w:cs="Times New Roman"/>
                <w:b w:val="0"/>
                <w:bCs w:val="0"/>
                <w:color w:val="auto"/>
                <w:sz w:val="24"/>
                <w:highlight w:val="none"/>
                <w:lang w:val="en-US" w:eastAsia="zh-CN"/>
              </w:rPr>
              <w:t>9、</w:t>
            </w:r>
            <w:r>
              <w:rPr>
                <w:rFonts w:hint="default" w:ascii="Times New Roman" w:hAnsi="Times New Roman" w:eastAsia="宋体" w:cs="Times New Roman"/>
                <w:b w:val="0"/>
                <w:bCs w:val="0"/>
                <w:color w:val="auto"/>
                <w:sz w:val="24"/>
                <w:highlight w:val="none"/>
                <w:lang w:val="en-US" w:eastAsia="zh-CN"/>
              </w:rPr>
              <w:t>原辅料包装会产生不沾染化学试剂的废包装物S</w:t>
            </w:r>
            <w:r>
              <w:rPr>
                <w:rFonts w:hint="eastAsia" w:cs="Times New Roman"/>
                <w:b w:val="0"/>
                <w:bCs w:val="0"/>
                <w:color w:val="auto"/>
                <w:sz w:val="24"/>
                <w:highlight w:val="none"/>
                <w:lang w:val="en-US" w:eastAsia="zh-CN"/>
              </w:rPr>
              <w:t>10</w:t>
            </w:r>
            <w:r>
              <w:rPr>
                <w:rFonts w:hint="default"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rPr>
              <w:t>员工生活会产生生活垃圾</w:t>
            </w:r>
            <w:r>
              <w:rPr>
                <w:rFonts w:hint="default" w:ascii="Times New Roman" w:hAnsi="Times New Roman" w:eastAsia="宋体" w:cs="Times New Roman"/>
                <w:b w:val="0"/>
                <w:bCs w:val="0"/>
                <w:color w:val="auto"/>
                <w:sz w:val="24"/>
                <w:highlight w:val="none"/>
                <w:lang w:val="en-US" w:eastAsia="zh-CN"/>
              </w:rPr>
              <w:t>S</w:t>
            </w:r>
            <w:r>
              <w:rPr>
                <w:rFonts w:hint="eastAsia" w:cs="Times New Roman"/>
                <w:b w:val="0"/>
                <w:bCs w:val="0"/>
                <w:color w:val="auto"/>
                <w:sz w:val="24"/>
                <w:highlight w:val="none"/>
                <w:lang w:val="en-US" w:eastAsia="zh-CN"/>
              </w:rPr>
              <w:t>11、</w:t>
            </w:r>
            <w:r>
              <w:rPr>
                <w:rFonts w:hint="eastAsia" w:cs="Times New Roman"/>
                <w:color w:val="auto"/>
                <w:kern w:val="0"/>
                <w:sz w:val="21"/>
                <w:szCs w:val="21"/>
                <w:lang w:val="en-US" w:eastAsia="zh-CN" w:bidi="ar"/>
              </w:rPr>
              <w:t>地面清洗回产生地面清洗废水</w:t>
            </w:r>
            <w:r>
              <w:rPr>
                <w:rFonts w:hint="eastAsia" w:cs="Times New Roman"/>
                <w:b/>
                <w:bCs w:val="0"/>
                <w:color w:val="auto"/>
                <w:sz w:val="24"/>
                <w:highlight w:val="none"/>
                <w:lang w:val="en-US" w:eastAsia="zh-CN"/>
              </w:rPr>
              <w:t>W2</w:t>
            </w:r>
            <w:r>
              <w:rPr>
                <w:rFonts w:hint="default" w:ascii="Times New Roman" w:hAnsi="Times New Roman" w:eastAsia="宋体" w:cs="Times New Roman"/>
                <w:b w:val="0"/>
                <w:bCs w:val="0"/>
                <w:color w:val="auto"/>
                <w:sz w:val="24"/>
                <w:highlight w:val="none"/>
              </w:rPr>
              <w:t>。</w:t>
            </w:r>
          </w:p>
          <w:p w14:paraId="51C4803F">
            <w:pPr>
              <w:adjustRightInd w:val="0"/>
              <w:snapToGrid w:val="0"/>
              <w:spacing w:line="360" w:lineRule="auto"/>
              <w:ind w:firstLine="482"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噪声：</w:t>
            </w:r>
            <w:r>
              <w:rPr>
                <w:rFonts w:hint="default" w:ascii="Times New Roman" w:hAnsi="Times New Roman" w:eastAsia="宋体" w:cs="Times New Roman"/>
                <w:b w:val="0"/>
                <w:bCs w:val="0"/>
                <w:color w:val="auto"/>
                <w:sz w:val="24"/>
                <w:highlight w:val="none"/>
                <w:lang w:val="en-US" w:eastAsia="zh-CN"/>
              </w:rPr>
              <w:t>本项目公用工程、实验设备、环保设施运行过会产生噪声。</w:t>
            </w:r>
          </w:p>
          <w:p w14:paraId="35B6C0AA">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使用过程涉及铬酸钾的所有检测废液、清洗废水全部作危险废物收集，暂存危险废物暂存间，委托资质单位处置。</w:t>
            </w:r>
          </w:p>
          <w:p w14:paraId="64C782A8">
            <w:pPr>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36"/>
                <w:szCs w:val="36"/>
                <w:highlight w:val="none"/>
              </w:rPr>
              <w:br w:type="page"/>
            </w:r>
            <w:r>
              <w:rPr>
                <w:rFonts w:hint="default" w:ascii="Times New Roman" w:hAnsi="Times New Roman" w:eastAsia="宋体" w:cs="Times New Roman"/>
                <w:b/>
                <w:color w:val="auto"/>
                <w:sz w:val="24"/>
                <w:highlight w:val="none"/>
              </w:rPr>
              <w:t>主要污染工序：</w:t>
            </w:r>
          </w:p>
          <w:p w14:paraId="1B554284">
            <w:pPr>
              <w:adjustRightInd w:val="0"/>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根据本项目的性质，运营期的主要污染源及污染因子识别见下表。</w:t>
            </w:r>
          </w:p>
          <w:p w14:paraId="615A0136">
            <w:pPr>
              <w:numPr>
                <w:ilvl w:val="0"/>
                <w:numId w:val="22"/>
              </w:numPr>
              <w:adjustRightInd w:val="0"/>
              <w:snapToGrid w:val="0"/>
              <w:spacing w:line="360" w:lineRule="auto"/>
              <w:jc w:val="center"/>
              <w:rPr>
                <w:rFonts w:hint="default" w:ascii="Times New Roman" w:hAnsi="Times New Roman" w:eastAsia="宋体" w:cs="Times New Roman"/>
                <w:b/>
                <w:color w:val="auto"/>
                <w:sz w:val="24"/>
                <w:highlight w:val="none"/>
                <w:lang w:val="zh-CN"/>
              </w:rPr>
            </w:pPr>
            <w:r>
              <w:rPr>
                <w:rFonts w:hint="default" w:ascii="Times New Roman" w:hAnsi="Times New Roman" w:eastAsia="宋体" w:cs="Times New Roman"/>
                <w:b/>
                <w:color w:val="auto"/>
                <w:sz w:val="24"/>
                <w:highlight w:val="none"/>
                <w:lang w:val="zh-CN"/>
              </w:rPr>
              <w:t>主要污染源及污染因子识别表</w:t>
            </w:r>
          </w:p>
          <w:tbl>
            <w:tblPr>
              <w:tblStyle w:val="23"/>
              <w:tblW w:w="7816"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134" w:type="dxa"/>
                <w:bottom w:w="0" w:type="dxa"/>
                <w:right w:w="1701" w:type="dxa"/>
              </w:tblCellMar>
            </w:tblPr>
            <w:tblGrid>
              <w:gridCol w:w="907"/>
              <w:gridCol w:w="1958"/>
              <w:gridCol w:w="2568"/>
              <w:gridCol w:w="2383"/>
            </w:tblGrid>
            <w:tr w14:paraId="614A2B8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34" w:type="dxa"/>
                  <w:bottom w:w="0" w:type="dxa"/>
                  <w:right w:w="1701" w:type="dxa"/>
                </w:tblCellMar>
              </w:tblPrEx>
              <w:trPr>
                <w:trHeight w:val="406" w:hRule="atLeast"/>
                <w:jc w:val="center"/>
              </w:trPr>
              <w:tc>
                <w:tcPr>
                  <w:tcW w:w="907" w:type="dxa"/>
                  <w:tcBorders>
                    <w:tl2br w:val="nil"/>
                    <w:tr2bl w:val="nil"/>
                  </w:tcBorders>
                  <w:tcMar>
                    <w:top w:w="0" w:type="dxa"/>
                    <w:left w:w="113" w:type="dxa"/>
                    <w:bottom w:w="0" w:type="dxa"/>
                    <w:right w:w="113" w:type="dxa"/>
                  </w:tcMar>
                  <w:vAlign w:val="center"/>
                </w:tcPr>
                <w:p w14:paraId="61B0F0B0">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zh-CN"/>
                    </w:rPr>
                    <w:t>污染物类别</w:t>
                  </w:r>
                </w:p>
              </w:tc>
              <w:tc>
                <w:tcPr>
                  <w:tcW w:w="1958" w:type="dxa"/>
                  <w:tcBorders>
                    <w:tl2br w:val="nil"/>
                    <w:tr2bl w:val="nil"/>
                  </w:tcBorders>
                  <w:tcMar>
                    <w:top w:w="0" w:type="dxa"/>
                    <w:left w:w="113" w:type="dxa"/>
                    <w:bottom w:w="0" w:type="dxa"/>
                    <w:right w:w="113" w:type="dxa"/>
                  </w:tcMar>
                  <w:vAlign w:val="center"/>
                </w:tcPr>
                <w:p w14:paraId="5EC9A50F">
                  <w:pPr>
                    <w:adjustRightInd w:val="0"/>
                    <w:snapToGrid w:val="0"/>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lang w:val="en-US" w:eastAsia="zh-CN"/>
                    </w:rPr>
                    <w:t>排污节点</w:t>
                  </w:r>
                </w:p>
              </w:tc>
              <w:tc>
                <w:tcPr>
                  <w:tcW w:w="2568" w:type="dxa"/>
                  <w:tcBorders>
                    <w:tl2br w:val="nil"/>
                    <w:tr2bl w:val="nil"/>
                  </w:tcBorders>
                  <w:tcMar>
                    <w:top w:w="0" w:type="dxa"/>
                    <w:left w:w="113" w:type="dxa"/>
                    <w:bottom w:w="0" w:type="dxa"/>
                    <w:right w:w="113" w:type="dxa"/>
                  </w:tcMar>
                  <w:vAlign w:val="center"/>
                </w:tcPr>
                <w:p w14:paraId="4D6C8F8B">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w:t>
                  </w:r>
                </w:p>
              </w:tc>
              <w:tc>
                <w:tcPr>
                  <w:tcW w:w="2383" w:type="dxa"/>
                  <w:tcBorders>
                    <w:tl2br w:val="nil"/>
                    <w:tr2bl w:val="nil"/>
                  </w:tcBorders>
                  <w:tcMar>
                    <w:top w:w="0" w:type="dxa"/>
                    <w:left w:w="113" w:type="dxa"/>
                    <w:bottom w:w="0" w:type="dxa"/>
                    <w:right w:w="113" w:type="dxa"/>
                  </w:tcMar>
                  <w:vAlign w:val="center"/>
                </w:tcPr>
                <w:p w14:paraId="08284C65">
                  <w:pPr>
                    <w:adjustRightInd w:val="0"/>
                    <w:snapToGrid w:val="0"/>
                    <w:jc w:val="center"/>
                    <w:rPr>
                      <w:rFonts w:hint="default" w:ascii="Times New Roman" w:hAnsi="Times New Roman" w:eastAsia="宋体" w:cs="Times New Roman"/>
                      <w:b/>
                      <w:bCs/>
                      <w:color w:val="auto"/>
                      <w:szCs w:val="21"/>
                      <w:highlight w:val="none"/>
                      <w:lang w:val="zh-CN" w:eastAsia="zh-CN"/>
                    </w:rPr>
                  </w:pPr>
                  <w:r>
                    <w:rPr>
                      <w:rFonts w:hint="default" w:ascii="Times New Roman" w:hAnsi="Times New Roman" w:eastAsia="宋体" w:cs="Times New Roman"/>
                      <w:b/>
                      <w:bCs/>
                      <w:color w:val="auto"/>
                      <w:szCs w:val="21"/>
                      <w:highlight w:val="none"/>
                      <w:lang w:val="en-US" w:eastAsia="zh-CN"/>
                    </w:rPr>
                    <w:t>治理措施</w:t>
                  </w:r>
                </w:p>
              </w:tc>
            </w:tr>
            <w:tr w14:paraId="6367164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34" w:type="dxa"/>
                  <w:bottom w:w="0" w:type="dxa"/>
                  <w:right w:w="1701" w:type="dxa"/>
                </w:tblCellMar>
              </w:tblPrEx>
              <w:trPr>
                <w:trHeight w:val="785" w:hRule="atLeast"/>
                <w:jc w:val="center"/>
              </w:trPr>
              <w:tc>
                <w:tcPr>
                  <w:tcW w:w="907" w:type="dxa"/>
                  <w:tcBorders>
                    <w:tl2br w:val="nil"/>
                    <w:tr2bl w:val="nil"/>
                  </w:tcBorders>
                  <w:tcMar>
                    <w:top w:w="0" w:type="dxa"/>
                    <w:left w:w="113" w:type="dxa"/>
                    <w:bottom w:w="0" w:type="dxa"/>
                    <w:right w:w="113" w:type="dxa"/>
                  </w:tcMar>
                  <w:vAlign w:val="center"/>
                </w:tcPr>
                <w:p w14:paraId="6AE9D6F7">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废气</w:t>
                  </w:r>
                </w:p>
              </w:tc>
              <w:tc>
                <w:tcPr>
                  <w:tcW w:w="1958" w:type="dxa"/>
                  <w:tcBorders>
                    <w:tl2br w:val="nil"/>
                    <w:tr2bl w:val="nil"/>
                  </w:tcBorders>
                  <w:tcMar>
                    <w:top w:w="0" w:type="dxa"/>
                    <w:left w:w="113" w:type="dxa"/>
                    <w:bottom w:w="0" w:type="dxa"/>
                    <w:right w:w="113" w:type="dxa"/>
                  </w:tcMar>
                  <w:vAlign w:val="center"/>
                </w:tcPr>
                <w:p w14:paraId="13F97BF7">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试剂配制、样品前处理、样品检测</w:t>
                  </w:r>
                </w:p>
              </w:tc>
              <w:tc>
                <w:tcPr>
                  <w:tcW w:w="2568" w:type="dxa"/>
                  <w:tcBorders>
                    <w:tl2br w:val="nil"/>
                    <w:tr2bl w:val="nil"/>
                  </w:tcBorders>
                  <w:shd w:val="clear" w:color="auto" w:fill="auto"/>
                  <w:tcMar>
                    <w:top w:w="0" w:type="dxa"/>
                    <w:left w:w="113" w:type="dxa"/>
                    <w:bottom w:w="0" w:type="dxa"/>
                    <w:right w:w="113" w:type="dxa"/>
                  </w:tcMar>
                  <w:vAlign w:val="center"/>
                </w:tcPr>
                <w:p w14:paraId="223D9BD7">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highlight w:val="none"/>
                      <w:vertAlign w:val="baseline"/>
                      <w:lang w:val="en-US" w:eastAsia="zh-CN"/>
                    </w:rPr>
                    <w:t>非甲烷总烃、甲醇、其他A类物质（乙酸）、其他C类物质（乙酸乙酯、乙醚）、</w:t>
                  </w:r>
                  <w:r>
                    <w:rPr>
                      <w:rFonts w:hint="eastAsia" w:cs="Times New Roman"/>
                      <w:b w:val="0"/>
                      <w:bCs w:val="0"/>
                      <w:color w:val="auto"/>
                      <w:kern w:val="0"/>
                      <w:sz w:val="21"/>
                      <w:szCs w:val="21"/>
                      <w:highlight w:val="none"/>
                      <w:vertAlign w:val="baseline"/>
                      <w:lang w:val="en-US" w:eastAsia="zh-CN"/>
                    </w:rPr>
                    <w:t>氯化氢、</w:t>
                  </w:r>
                  <w:r>
                    <w:rPr>
                      <w:rFonts w:hint="eastAsia" w:cs="Times New Roman"/>
                      <w:b w:val="0"/>
                      <w:bCs w:val="0"/>
                      <w:color w:val="auto"/>
                      <w:kern w:val="0"/>
                      <w:sz w:val="21"/>
                      <w:szCs w:val="21"/>
                      <w:highlight w:val="none"/>
                      <w:vertAlign w:val="baseline"/>
                      <w:lang w:val="en-US" w:eastAsia="zh-CN" w:bidi="ar-SA"/>
                    </w:rPr>
                    <w:t>氮氧化物、硫酸雾</w:t>
                  </w:r>
                  <w:r>
                    <w:rPr>
                      <w:rFonts w:hint="eastAsia" w:cs="Times New Roman"/>
                      <w:b w:val="0"/>
                      <w:bCs w:val="0"/>
                      <w:color w:val="auto"/>
                      <w:kern w:val="0"/>
                      <w:sz w:val="21"/>
                      <w:szCs w:val="21"/>
                      <w:highlight w:val="none"/>
                      <w:vertAlign w:val="baseline"/>
                      <w:lang w:val="en-US" w:eastAsia="zh-CN"/>
                    </w:rPr>
                    <w:t>、氨</w:t>
                  </w:r>
                </w:p>
              </w:tc>
              <w:tc>
                <w:tcPr>
                  <w:tcW w:w="2383" w:type="dxa"/>
                  <w:tcBorders>
                    <w:tl2br w:val="nil"/>
                    <w:tr2bl w:val="nil"/>
                  </w:tcBorders>
                  <w:shd w:val="clear" w:color="auto" w:fill="auto"/>
                  <w:tcMar>
                    <w:top w:w="0" w:type="dxa"/>
                    <w:left w:w="113" w:type="dxa"/>
                    <w:bottom w:w="0" w:type="dxa"/>
                    <w:right w:w="113" w:type="dxa"/>
                  </w:tcMar>
                  <w:vAlign w:val="center"/>
                </w:tcPr>
                <w:p w14:paraId="73E098A3">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废气经通风橱、万向罩收集后进活性炭处理设施处理后高空排放。</w:t>
                  </w:r>
                </w:p>
              </w:tc>
            </w:tr>
            <w:tr w14:paraId="5CFAFF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34" w:type="dxa"/>
                  <w:bottom w:w="0" w:type="dxa"/>
                  <w:right w:w="1701" w:type="dxa"/>
                </w:tblCellMar>
              </w:tblPrEx>
              <w:trPr>
                <w:trHeight w:val="519" w:hRule="atLeast"/>
                <w:jc w:val="center"/>
              </w:trPr>
              <w:tc>
                <w:tcPr>
                  <w:tcW w:w="907" w:type="dxa"/>
                  <w:vMerge w:val="restart"/>
                  <w:tcBorders>
                    <w:tl2br w:val="nil"/>
                    <w:tr2bl w:val="nil"/>
                  </w:tcBorders>
                  <w:tcMar>
                    <w:top w:w="0" w:type="dxa"/>
                    <w:left w:w="113" w:type="dxa"/>
                    <w:bottom w:w="0" w:type="dxa"/>
                    <w:right w:w="113" w:type="dxa"/>
                  </w:tcMar>
                  <w:vAlign w:val="center"/>
                </w:tcPr>
                <w:p w14:paraId="0843FE7F">
                  <w:pPr>
                    <w:adjustRightInd w:val="0"/>
                    <w:snapToGrid w:val="0"/>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en-US" w:eastAsia="zh-CN"/>
                    </w:rPr>
                    <w:t>废水</w:t>
                  </w:r>
                </w:p>
              </w:tc>
              <w:tc>
                <w:tcPr>
                  <w:tcW w:w="1958" w:type="dxa"/>
                  <w:tcBorders>
                    <w:tl2br w:val="nil"/>
                    <w:tr2bl w:val="nil"/>
                  </w:tcBorders>
                  <w:tcMar>
                    <w:top w:w="0" w:type="dxa"/>
                    <w:left w:w="113" w:type="dxa"/>
                    <w:bottom w:w="0" w:type="dxa"/>
                    <w:right w:w="113" w:type="dxa"/>
                  </w:tcMar>
                  <w:vAlign w:val="center"/>
                </w:tcPr>
                <w:p w14:paraId="5E5EEAC6">
                  <w:pPr>
                    <w:adjustRightInd w:val="0"/>
                    <w:snapToGrid w:val="0"/>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生活污水</w:t>
                  </w:r>
                  <w:r>
                    <w:rPr>
                      <w:rFonts w:hint="eastAsia" w:cs="Times New Roman"/>
                      <w:color w:val="auto"/>
                      <w:szCs w:val="21"/>
                      <w:highlight w:val="none"/>
                      <w:lang w:val="zh-CN"/>
                    </w:rPr>
                    <w:t>、</w:t>
                  </w:r>
                  <w:r>
                    <w:rPr>
                      <w:rFonts w:hint="eastAsia" w:cs="Times New Roman"/>
                      <w:color w:val="auto"/>
                      <w:kern w:val="0"/>
                      <w:sz w:val="21"/>
                      <w:szCs w:val="21"/>
                      <w:lang w:val="en-US" w:eastAsia="zh-CN" w:bidi="ar"/>
                    </w:rPr>
                    <w:t>地面清洗废水</w:t>
                  </w:r>
                </w:p>
              </w:tc>
              <w:tc>
                <w:tcPr>
                  <w:tcW w:w="2568" w:type="dxa"/>
                  <w:tcBorders>
                    <w:tl2br w:val="nil"/>
                    <w:tr2bl w:val="nil"/>
                  </w:tcBorders>
                  <w:tcMar>
                    <w:top w:w="0" w:type="dxa"/>
                    <w:left w:w="113" w:type="dxa"/>
                    <w:bottom w:w="0" w:type="dxa"/>
                    <w:right w:w="113" w:type="dxa"/>
                  </w:tcMar>
                  <w:vAlign w:val="center"/>
                </w:tcPr>
                <w:p w14:paraId="0A552B5A">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pH、COD</w:t>
                  </w:r>
                  <w:r>
                    <w:rPr>
                      <w:rFonts w:hint="default" w:ascii="Times New Roman" w:hAnsi="Times New Roman" w:eastAsia="宋体" w:cs="Times New Roman"/>
                      <w:color w:val="auto"/>
                      <w:kern w:val="0"/>
                      <w:sz w:val="21"/>
                      <w:szCs w:val="21"/>
                      <w:vertAlign w:val="subscript"/>
                      <w:lang w:val="en-US" w:eastAsia="zh-CN" w:bidi="ar"/>
                    </w:rPr>
                    <w:t>Cr</w:t>
                  </w:r>
                  <w:r>
                    <w:rPr>
                      <w:rFonts w:hint="default" w:ascii="Times New Roman" w:hAnsi="Times New Roman" w:eastAsia="宋体" w:cs="Times New Roman"/>
                      <w:color w:val="auto"/>
                      <w:kern w:val="0"/>
                      <w:sz w:val="21"/>
                      <w:szCs w:val="21"/>
                      <w:lang w:val="zh-CN" w:eastAsia="zh-CN" w:bidi="ar"/>
                    </w:rPr>
                    <w:t>、</w:t>
                  </w:r>
                  <w:r>
                    <w:rPr>
                      <w:rFonts w:hint="default" w:ascii="Times New Roman" w:hAnsi="Times New Roman" w:eastAsia="宋体" w:cs="Times New Roman"/>
                      <w:color w:val="auto"/>
                      <w:kern w:val="0"/>
                      <w:sz w:val="21"/>
                      <w:szCs w:val="21"/>
                      <w:lang w:val="en-US" w:eastAsia="zh-CN" w:bidi="ar"/>
                    </w:rPr>
                    <w:t>BOD5</w:t>
                  </w:r>
                  <w:r>
                    <w:rPr>
                      <w:rFonts w:hint="default" w:ascii="Times New Roman" w:hAnsi="Times New Roman" w:eastAsia="宋体" w:cs="Times New Roman"/>
                      <w:color w:val="auto"/>
                      <w:kern w:val="0"/>
                      <w:sz w:val="21"/>
                      <w:szCs w:val="21"/>
                      <w:lang w:val="zh-CN" w:eastAsia="zh-CN" w:bidi="ar"/>
                    </w:rPr>
                    <w:t>、</w:t>
                  </w:r>
                  <w:r>
                    <w:rPr>
                      <w:rFonts w:hint="default" w:ascii="Times New Roman" w:hAnsi="Times New Roman" w:eastAsia="宋体" w:cs="Times New Roman"/>
                      <w:color w:val="auto"/>
                      <w:kern w:val="0"/>
                      <w:sz w:val="21"/>
                      <w:szCs w:val="21"/>
                      <w:lang w:val="en-US" w:eastAsia="zh-CN" w:bidi="ar"/>
                    </w:rPr>
                    <w:t>SS、氨氮</w:t>
                  </w:r>
                </w:p>
              </w:tc>
              <w:tc>
                <w:tcPr>
                  <w:tcW w:w="2383" w:type="dxa"/>
                  <w:vMerge w:val="restart"/>
                  <w:tcBorders>
                    <w:tl2br w:val="nil"/>
                    <w:tr2bl w:val="nil"/>
                  </w:tcBorders>
                  <w:tcMar>
                    <w:top w:w="0" w:type="dxa"/>
                    <w:left w:w="113" w:type="dxa"/>
                    <w:bottom w:w="0" w:type="dxa"/>
                    <w:right w:w="113" w:type="dxa"/>
                  </w:tcMar>
                  <w:vAlign w:val="center"/>
                </w:tcPr>
                <w:p w14:paraId="65961B36">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容器设备第三遍及以后清洗废水</w:t>
                  </w:r>
                  <w:r>
                    <w:rPr>
                      <w:rFonts w:hint="eastAsia"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生活污水</w:t>
                  </w:r>
                  <w:r>
                    <w:rPr>
                      <w:rFonts w:hint="eastAsia" w:cs="Times New Roman"/>
                      <w:color w:val="auto"/>
                      <w:kern w:val="0"/>
                      <w:sz w:val="21"/>
                      <w:szCs w:val="21"/>
                      <w:lang w:val="en-US" w:eastAsia="zh-CN" w:bidi="ar"/>
                    </w:rPr>
                    <w:t>、纯水制备废水、高压蒸汽灭菌废水、地面清洗废水</w:t>
                  </w:r>
                  <w:r>
                    <w:rPr>
                      <w:rFonts w:hint="eastAsia" w:ascii="Times New Roman" w:hAnsi="Times New Roman" w:eastAsia="宋体" w:cs="Times New Roman"/>
                      <w:color w:val="auto"/>
                      <w:kern w:val="0"/>
                      <w:sz w:val="21"/>
                      <w:szCs w:val="21"/>
                      <w:lang w:val="en-US" w:eastAsia="zh-CN" w:bidi="ar"/>
                    </w:rPr>
                    <w:t>一起进园区化粪池进一步处理，最后经市政管网排入</w:t>
                  </w:r>
                  <w:r>
                    <w:rPr>
                      <w:rFonts w:hint="eastAsia" w:cs="Times New Roman"/>
                      <w:color w:val="auto"/>
                      <w:kern w:val="0"/>
                      <w:sz w:val="21"/>
                      <w:szCs w:val="21"/>
                      <w:lang w:val="en-US" w:eastAsia="zh-CN" w:bidi="ar"/>
                    </w:rPr>
                    <w:t>北京新城禹潞环保科技有限责任公司-金桥基地第一污水处理厂</w:t>
                  </w:r>
                  <w:r>
                    <w:rPr>
                      <w:rFonts w:hint="eastAsia" w:ascii="Times New Roman" w:hAnsi="Times New Roman" w:eastAsia="宋体" w:cs="Times New Roman"/>
                      <w:color w:val="auto"/>
                      <w:kern w:val="0"/>
                      <w:sz w:val="21"/>
                      <w:szCs w:val="21"/>
                      <w:lang w:val="en-US" w:eastAsia="zh-CN" w:bidi="ar"/>
                    </w:rPr>
                    <w:t>。</w:t>
                  </w:r>
                </w:p>
              </w:tc>
            </w:tr>
            <w:tr w14:paraId="0A94A2A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34" w:type="dxa"/>
                  <w:bottom w:w="0" w:type="dxa"/>
                  <w:right w:w="1701" w:type="dxa"/>
                </w:tblCellMar>
              </w:tblPrEx>
              <w:trPr>
                <w:trHeight w:val="519" w:hRule="atLeast"/>
                <w:jc w:val="center"/>
              </w:trPr>
              <w:tc>
                <w:tcPr>
                  <w:tcW w:w="907" w:type="dxa"/>
                  <w:vMerge w:val="continue"/>
                  <w:tcBorders>
                    <w:tl2br w:val="nil"/>
                    <w:tr2bl w:val="nil"/>
                  </w:tcBorders>
                  <w:tcMar>
                    <w:top w:w="0" w:type="dxa"/>
                    <w:left w:w="113" w:type="dxa"/>
                    <w:bottom w:w="0" w:type="dxa"/>
                    <w:right w:w="113" w:type="dxa"/>
                  </w:tcMar>
                  <w:vAlign w:val="center"/>
                </w:tcPr>
                <w:p w14:paraId="49A92012">
                  <w:pPr>
                    <w:adjustRightInd w:val="0"/>
                    <w:snapToGrid w:val="0"/>
                    <w:jc w:val="center"/>
                    <w:rPr>
                      <w:rFonts w:hint="default" w:ascii="Times New Roman" w:hAnsi="Times New Roman" w:eastAsia="宋体" w:cs="Times New Roman"/>
                      <w:color w:val="auto"/>
                      <w:szCs w:val="21"/>
                      <w:highlight w:val="none"/>
                      <w:lang w:val="zh-CN"/>
                    </w:rPr>
                  </w:pPr>
                </w:p>
              </w:tc>
              <w:tc>
                <w:tcPr>
                  <w:tcW w:w="1958" w:type="dxa"/>
                  <w:tcBorders>
                    <w:tl2br w:val="nil"/>
                    <w:tr2bl w:val="nil"/>
                  </w:tcBorders>
                  <w:shd w:val="clear" w:color="auto" w:fill="auto"/>
                  <w:tcMar>
                    <w:top w:w="0" w:type="dxa"/>
                    <w:left w:w="113" w:type="dxa"/>
                    <w:bottom w:w="0" w:type="dxa"/>
                    <w:right w:w="113" w:type="dxa"/>
                  </w:tcMar>
                  <w:vAlign w:val="center"/>
                </w:tcPr>
                <w:p w14:paraId="4B37BF16">
                  <w:pPr>
                    <w:keepNext w:val="0"/>
                    <w:keepLines w:val="0"/>
                    <w:widowControl/>
                    <w:suppressLineNumbers w:val="0"/>
                    <w:ind w:firstLine="210" w:firstLineChars="100"/>
                    <w:jc w:val="center"/>
                    <w:rPr>
                      <w:rFonts w:hint="default" w:ascii="Times New Roman" w:hAnsi="Times New Roman" w:eastAsia="宋体" w:cs="Times New Roman"/>
                      <w:color w:val="auto"/>
                      <w:kern w:val="2"/>
                      <w:sz w:val="21"/>
                      <w:szCs w:val="21"/>
                      <w:highlight w:val="none"/>
                      <w:lang w:val="zh-CN" w:eastAsia="zh-CN" w:bidi="ar-SA"/>
                    </w:rPr>
                  </w:pPr>
                  <w:r>
                    <w:rPr>
                      <w:rFonts w:hint="eastAsia" w:cs="Times New Roman"/>
                      <w:color w:val="auto"/>
                      <w:kern w:val="0"/>
                      <w:sz w:val="21"/>
                      <w:szCs w:val="21"/>
                      <w:lang w:val="en-US" w:eastAsia="zh-CN" w:bidi="ar"/>
                    </w:rPr>
                    <w:t>容器第三次及以后</w:t>
                  </w:r>
                  <w:r>
                    <w:rPr>
                      <w:rFonts w:hint="default" w:ascii="Times New Roman" w:hAnsi="Times New Roman" w:eastAsia="宋体" w:cs="Times New Roman"/>
                      <w:color w:val="auto"/>
                      <w:kern w:val="0"/>
                      <w:sz w:val="21"/>
                      <w:szCs w:val="21"/>
                      <w:lang w:val="en-US" w:eastAsia="zh-CN" w:bidi="ar"/>
                    </w:rPr>
                    <w:t>清洗废水</w:t>
                  </w:r>
                </w:p>
              </w:tc>
              <w:tc>
                <w:tcPr>
                  <w:tcW w:w="2568" w:type="dxa"/>
                  <w:tcBorders>
                    <w:tl2br w:val="nil"/>
                    <w:tr2bl w:val="nil"/>
                  </w:tcBorders>
                  <w:shd w:val="clear" w:color="auto" w:fill="auto"/>
                  <w:tcMar>
                    <w:top w:w="0" w:type="dxa"/>
                    <w:left w:w="113" w:type="dxa"/>
                    <w:bottom w:w="0" w:type="dxa"/>
                    <w:right w:w="113" w:type="dxa"/>
                  </w:tcMar>
                  <w:vAlign w:val="center"/>
                </w:tcPr>
                <w:p w14:paraId="60E973AF">
                  <w:pPr>
                    <w:keepNext w:val="0"/>
                    <w:keepLines w:val="0"/>
                    <w:widowControl/>
                    <w:suppressLineNumbers w:val="0"/>
                    <w:jc w:val="center"/>
                    <w:rPr>
                      <w:rFonts w:hint="default" w:ascii="Times New Roman" w:hAnsi="Times New Roman" w:eastAsia="宋体" w:cs="Times New Roman"/>
                      <w:color w:val="auto"/>
                      <w:kern w:val="0"/>
                      <w:sz w:val="21"/>
                      <w:szCs w:val="21"/>
                      <w:lang w:val="zh-CN" w:eastAsia="zh-CN" w:bidi="ar"/>
                    </w:rPr>
                  </w:pPr>
                  <w:r>
                    <w:rPr>
                      <w:rFonts w:hint="default" w:ascii="Times New Roman" w:hAnsi="Times New Roman" w:eastAsia="宋体" w:cs="Times New Roman"/>
                      <w:color w:val="auto"/>
                      <w:kern w:val="0"/>
                      <w:sz w:val="21"/>
                      <w:szCs w:val="21"/>
                      <w:lang w:val="en-US" w:eastAsia="zh-CN" w:bidi="ar"/>
                    </w:rPr>
                    <w:t>pH、COD</w:t>
                  </w:r>
                  <w:r>
                    <w:rPr>
                      <w:rFonts w:hint="default" w:ascii="Times New Roman" w:hAnsi="Times New Roman" w:eastAsia="宋体" w:cs="Times New Roman"/>
                      <w:color w:val="auto"/>
                      <w:kern w:val="0"/>
                      <w:sz w:val="21"/>
                      <w:szCs w:val="21"/>
                      <w:vertAlign w:val="subscript"/>
                      <w:lang w:val="en-US" w:eastAsia="zh-CN" w:bidi="ar"/>
                    </w:rPr>
                    <w:t>Cr</w:t>
                  </w:r>
                  <w:r>
                    <w:rPr>
                      <w:rFonts w:hint="default" w:ascii="Times New Roman" w:hAnsi="Times New Roman" w:eastAsia="宋体" w:cs="Times New Roman"/>
                      <w:color w:val="auto"/>
                      <w:kern w:val="0"/>
                      <w:sz w:val="21"/>
                      <w:szCs w:val="21"/>
                      <w:lang w:val="zh-CN" w:eastAsia="zh-CN" w:bidi="ar"/>
                    </w:rPr>
                    <w:t>、</w:t>
                  </w:r>
                  <w:r>
                    <w:rPr>
                      <w:rFonts w:hint="default" w:ascii="Times New Roman" w:hAnsi="Times New Roman" w:eastAsia="宋体" w:cs="Times New Roman"/>
                      <w:color w:val="auto"/>
                      <w:kern w:val="0"/>
                      <w:sz w:val="21"/>
                      <w:szCs w:val="21"/>
                      <w:lang w:val="en-US" w:eastAsia="zh-CN" w:bidi="ar"/>
                    </w:rPr>
                    <w:t>BOD</w:t>
                  </w:r>
                  <w:r>
                    <w:rPr>
                      <w:rFonts w:hint="default" w:ascii="Times New Roman" w:hAnsi="Times New Roman" w:eastAsia="宋体" w:cs="Times New Roman"/>
                      <w:color w:val="auto"/>
                      <w:kern w:val="0"/>
                      <w:sz w:val="21"/>
                      <w:szCs w:val="21"/>
                      <w:vertAlign w:val="subscript"/>
                      <w:lang w:val="en-US" w:eastAsia="zh-CN" w:bidi="ar"/>
                    </w:rPr>
                    <w:t>5</w:t>
                  </w:r>
                  <w:r>
                    <w:rPr>
                      <w:rFonts w:hint="default" w:ascii="Times New Roman" w:hAnsi="Times New Roman" w:eastAsia="宋体" w:cs="Times New Roman"/>
                      <w:color w:val="auto"/>
                      <w:kern w:val="0"/>
                      <w:sz w:val="21"/>
                      <w:szCs w:val="21"/>
                      <w:lang w:val="zh-CN" w:eastAsia="zh-CN" w:bidi="ar"/>
                    </w:rPr>
                    <w:t>、</w:t>
                  </w:r>
                  <w:r>
                    <w:rPr>
                      <w:rFonts w:hint="default" w:ascii="Times New Roman" w:hAnsi="Times New Roman" w:eastAsia="宋体" w:cs="Times New Roman"/>
                      <w:color w:val="auto"/>
                      <w:kern w:val="0"/>
                      <w:sz w:val="21"/>
                      <w:szCs w:val="21"/>
                      <w:lang w:val="en-US" w:eastAsia="zh-CN" w:bidi="ar"/>
                    </w:rPr>
                    <w:t>SS、氨氮</w:t>
                  </w:r>
                </w:p>
              </w:tc>
              <w:tc>
                <w:tcPr>
                  <w:tcW w:w="2383" w:type="dxa"/>
                  <w:vMerge w:val="continue"/>
                  <w:tcBorders>
                    <w:tl2br w:val="nil"/>
                    <w:tr2bl w:val="nil"/>
                  </w:tcBorders>
                  <w:shd w:val="clear" w:color="auto" w:fill="auto"/>
                  <w:tcMar>
                    <w:top w:w="0" w:type="dxa"/>
                    <w:left w:w="113" w:type="dxa"/>
                    <w:bottom w:w="0" w:type="dxa"/>
                    <w:right w:w="113" w:type="dxa"/>
                  </w:tcMar>
                  <w:vAlign w:val="center"/>
                </w:tcPr>
                <w:p w14:paraId="63C767B4">
                  <w:pPr>
                    <w:keepNext w:val="0"/>
                    <w:keepLines w:val="0"/>
                    <w:widowControl/>
                    <w:suppressLineNumbers w:val="0"/>
                    <w:jc w:val="center"/>
                    <w:rPr>
                      <w:rFonts w:hint="default" w:ascii="Times New Roman" w:hAnsi="Times New Roman" w:eastAsia="宋体" w:cs="Times New Roman"/>
                      <w:color w:val="auto"/>
                      <w:kern w:val="0"/>
                      <w:sz w:val="21"/>
                      <w:szCs w:val="21"/>
                      <w:lang w:val="zh-CN" w:eastAsia="zh-CN" w:bidi="ar"/>
                    </w:rPr>
                  </w:pPr>
                </w:p>
              </w:tc>
            </w:tr>
            <w:tr w14:paraId="240E35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34" w:type="dxa"/>
                  <w:bottom w:w="0" w:type="dxa"/>
                  <w:right w:w="1701" w:type="dxa"/>
                </w:tblCellMar>
              </w:tblPrEx>
              <w:trPr>
                <w:trHeight w:val="519" w:hRule="atLeast"/>
                <w:jc w:val="center"/>
              </w:trPr>
              <w:tc>
                <w:tcPr>
                  <w:tcW w:w="907" w:type="dxa"/>
                  <w:vMerge w:val="continue"/>
                  <w:tcBorders>
                    <w:tl2br w:val="nil"/>
                    <w:tr2bl w:val="nil"/>
                  </w:tcBorders>
                  <w:tcMar>
                    <w:top w:w="0" w:type="dxa"/>
                    <w:left w:w="113" w:type="dxa"/>
                    <w:bottom w:w="0" w:type="dxa"/>
                    <w:right w:w="113" w:type="dxa"/>
                  </w:tcMar>
                  <w:vAlign w:val="center"/>
                </w:tcPr>
                <w:p w14:paraId="16B56E77">
                  <w:pPr>
                    <w:adjustRightInd w:val="0"/>
                    <w:snapToGrid w:val="0"/>
                    <w:jc w:val="center"/>
                    <w:rPr>
                      <w:rFonts w:hint="default" w:ascii="Times New Roman" w:hAnsi="Times New Roman" w:eastAsia="宋体" w:cs="Times New Roman"/>
                      <w:color w:val="auto"/>
                      <w:szCs w:val="21"/>
                      <w:highlight w:val="none"/>
                      <w:lang w:val="zh-CN"/>
                    </w:rPr>
                  </w:pPr>
                </w:p>
              </w:tc>
              <w:tc>
                <w:tcPr>
                  <w:tcW w:w="1958" w:type="dxa"/>
                  <w:tcBorders>
                    <w:tl2br w:val="nil"/>
                    <w:tr2bl w:val="nil"/>
                  </w:tcBorders>
                  <w:shd w:val="clear" w:color="auto" w:fill="auto"/>
                  <w:tcMar>
                    <w:top w:w="0" w:type="dxa"/>
                    <w:left w:w="113" w:type="dxa"/>
                    <w:bottom w:w="0" w:type="dxa"/>
                    <w:right w:w="113" w:type="dxa"/>
                  </w:tcMar>
                  <w:vAlign w:val="center"/>
                </w:tcPr>
                <w:p w14:paraId="7D22307B">
                  <w:pPr>
                    <w:keepNext w:val="0"/>
                    <w:keepLines w:val="0"/>
                    <w:widowControl/>
                    <w:suppressLineNumbers w:val="0"/>
                    <w:ind w:firstLine="210" w:firstLineChars="100"/>
                    <w:jc w:val="both"/>
                    <w:rPr>
                      <w:rFonts w:hint="eastAsia" w:cs="Times New Roman"/>
                      <w:color w:val="auto"/>
                      <w:kern w:val="0"/>
                      <w:sz w:val="21"/>
                      <w:szCs w:val="21"/>
                      <w:lang w:val="en-US" w:eastAsia="zh-CN" w:bidi="ar"/>
                    </w:rPr>
                  </w:pPr>
                  <w:r>
                    <w:rPr>
                      <w:rFonts w:hint="eastAsia" w:cs="Times New Roman"/>
                      <w:color w:val="auto"/>
                      <w:kern w:val="0"/>
                      <w:sz w:val="21"/>
                      <w:szCs w:val="21"/>
                      <w:lang w:val="en-US" w:eastAsia="zh-CN" w:bidi="ar"/>
                    </w:rPr>
                    <w:t>纯水制备废水</w:t>
                  </w:r>
                </w:p>
                <w:p w14:paraId="5EB22197">
                  <w:pPr>
                    <w:keepNext w:val="0"/>
                    <w:keepLines w:val="0"/>
                    <w:widowControl/>
                    <w:suppressLineNumbers w:val="0"/>
                    <w:jc w:val="both"/>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高压蒸汽灭菌废水</w:t>
                  </w:r>
                </w:p>
              </w:tc>
              <w:tc>
                <w:tcPr>
                  <w:tcW w:w="2568" w:type="dxa"/>
                  <w:tcBorders>
                    <w:tl2br w:val="nil"/>
                    <w:tr2bl w:val="nil"/>
                  </w:tcBorders>
                  <w:shd w:val="clear" w:color="auto" w:fill="auto"/>
                  <w:tcMar>
                    <w:top w:w="0" w:type="dxa"/>
                    <w:left w:w="113" w:type="dxa"/>
                    <w:bottom w:w="0" w:type="dxa"/>
                    <w:right w:w="113" w:type="dxa"/>
                  </w:tcMar>
                  <w:vAlign w:val="center"/>
                </w:tcPr>
                <w:p w14:paraId="67EF0A1E">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pH、CODCr</w:t>
                  </w:r>
                  <w:r>
                    <w:rPr>
                      <w:rFonts w:hint="default" w:ascii="Times New Roman" w:hAnsi="Times New Roman" w:eastAsia="宋体" w:cs="Times New Roman"/>
                      <w:color w:val="auto"/>
                      <w:kern w:val="0"/>
                      <w:sz w:val="21"/>
                      <w:szCs w:val="21"/>
                      <w:lang w:val="zh-CN" w:eastAsia="zh-CN" w:bidi="ar"/>
                    </w:rPr>
                    <w:t>、</w:t>
                  </w:r>
                  <w:r>
                    <w:rPr>
                      <w:rFonts w:hint="default" w:ascii="Times New Roman" w:hAnsi="Times New Roman" w:eastAsia="宋体" w:cs="Times New Roman"/>
                      <w:color w:val="auto"/>
                      <w:kern w:val="0"/>
                      <w:sz w:val="21"/>
                      <w:szCs w:val="21"/>
                      <w:lang w:val="en-US" w:eastAsia="zh-CN" w:bidi="ar"/>
                    </w:rPr>
                    <w:t>BOD</w:t>
                  </w:r>
                  <w:r>
                    <w:rPr>
                      <w:rFonts w:hint="default" w:ascii="Times New Roman" w:hAnsi="Times New Roman" w:eastAsia="宋体" w:cs="Times New Roman"/>
                      <w:color w:val="auto"/>
                      <w:kern w:val="0"/>
                      <w:sz w:val="21"/>
                      <w:szCs w:val="21"/>
                      <w:vertAlign w:val="subscript"/>
                      <w:lang w:val="en-US" w:eastAsia="zh-CN" w:bidi="ar"/>
                    </w:rPr>
                    <w:t>5</w:t>
                  </w:r>
                  <w:r>
                    <w:rPr>
                      <w:rFonts w:hint="default" w:ascii="Times New Roman" w:hAnsi="Times New Roman" w:eastAsia="宋体" w:cs="Times New Roman"/>
                      <w:color w:val="auto"/>
                      <w:kern w:val="0"/>
                      <w:sz w:val="21"/>
                      <w:szCs w:val="21"/>
                      <w:lang w:val="zh-CN" w:eastAsia="zh-CN" w:bidi="ar"/>
                    </w:rPr>
                    <w:t>、</w:t>
                  </w:r>
                  <w:r>
                    <w:rPr>
                      <w:rFonts w:hint="default" w:ascii="Times New Roman" w:hAnsi="Times New Roman" w:eastAsia="宋体" w:cs="Times New Roman"/>
                      <w:color w:val="auto"/>
                      <w:kern w:val="0"/>
                      <w:sz w:val="21"/>
                      <w:szCs w:val="21"/>
                      <w:lang w:val="en-US" w:eastAsia="zh-CN" w:bidi="ar"/>
                    </w:rPr>
                    <w:t>SS、氨氮</w:t>
                  </w:r>
                  <w:r>
                    <w:rPr>
                      <w:rFonts w:hint="eastAsia" w:cs="Times New Roman"/>
                      <w:color w:val="auto"/>
                      <w:kern w:val="0"/>
                      <w:sz w:val="21"/>
                      <w:szCs w:val="21"/>
                      <w:lang w:val="en-US" w:eastAsia="zh-CN" w:bidi="ar"/>
                    </w:rPr>
                    <w:t>、可溶性总固体</w:t>
                  </w:r>
                </w:p>
              </w:tc>
              <w:tc>
                <w:tcPr>
                  <w:tcW w:w="2383" w:type="dxa"/>
                  <w:vMerge w:val="continue"/>
                  <w:tcBorders>
                    <w:tl2br w:val="nil"/>
                    <w:tr2bl w:val="nil"/>
                  </w:tcBorders>
                  <w:shd w:val="clear" w:color="auto" w:fill="auto"/>
                  <w:tcMar>
                    <w:top w:w="0" w:type="dxa"/>
                    <w:left w:w="113" w:type="dxa"/>
                    <w:bottom w:w="0" w:type="dxa"/>
                    <w:right w:w="113" w:type="dxa"/>
                  </w:tcMar>
                  <w:vAlign w:val="center"/>
                </w:tcPr>
                <w:p w14:paraId="3AC78F16">
                  <w:pPr>
                    <w:keepNext w:val="0"/>
                    <w:keepLines w:val="0"/>
                    <w:widowControl/>
                    <w:suppressLineNumbers w:val="0"/>
                    <w:jc w:val="center"/>
                    <w:rPr>
                      <w:rFonts w:hint="default" w:ascii="Times New Roman" w:hAnsi="Times New Roman" w:eastAsia="宋体" w:cs="Times New Roman"/>
                      <w:color w:val="auto"/>
                      <w:kern w:val="0"/>
                      <w:sz w:val="21"/>
                      <w:szCs w:val="21"/>
                      <w:lang w:val="zh-CN" w:eastAsia="zh-CN" w:bidi="ar"/>
                    </w:rPr>
                  </w:pPr>
                </w:p>
              </w:tc>
            </w:tr>
            <w:tr w14:paraId="6D70F6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34" w:type="dxa"/>
                  <w:bottom w:w="0" w:type="dxa"/>
                  <w:right w:w="1701" w:type="dxa"/>
                </w:tblCellMar>
              </w:tblPrEx>
              <w:trPr>
                <w:trHeight w:val="519" w:hRule="atLeast"/>
                <w:jc w:val="center"/>
              </w:trPr>
              <w:tc>
                <w:tcPr>
                  <w:tcW w:w="907" w:type="dxa"/>
                  <w:tcBorders>
                    <w:tl2br w:val="nil"/>
                    <w:tr2bl w:val="nil"/>
                  </w:tcBorders>
                  <w:tcMar>
                    <w:top w:w="0" w:type="dxa"/>
                    <w:left w:w="113" w:type="dxa"/>
                    <w:bottom w:w="0" w:type="dxa"/>
                    <w:right w:w="113" w:type="dxa"/>
                  </w:tcMar>
                  <w:vAlign w:val="center"/>
                </w:tcPr>
                <w:p w14:paraId="31331001">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噪声</w:t>
                  </w:r>
                </w:p>
              </w:tc>
              <w:tc>
                <w:tcPr>
                  <w:tcW w:w="1958" w:type="dxa"/>
                  <w:tcBorders>
                    <w:tl2br w:val="nil"/>
                    <w:tr2bl w:val="nil"/>
                  </w:tcBorders>
                  <w:tcMar>
                    <w:top w:w="0" w:type="dxa"/>
                    <w:left w:w="113" w:type="dxa"/>
                    <w:bottom w:w="0" w:type="dxa"/>
                    <w:right w:w="113" w:type="dxa"/>
                  </w:tcMar>
                  <w:vAlign w:val="center"/>
                </w:tcPr>
                <w:p w14:paraId="7F66156C">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实验、公用工程、环保设施运行</w:t>
                  </w:r>
                </w:p>
              </w:tc>
              <w:tc>
                <w:tcPr>
                  <w:tcW w:w="2568" w:type="dxa"/>
                  <w:tcBorders>
                    <w:tl2br w:val="nil"/>
                    <w:tr2bl w:val="nil"/>
                  </w:tcBorders>
                  <w:tcMar>
                    <w:top w:w="0" w:type="dxa"/>
                    <w:left w:w="113" w:type="dxa"/>
                    <w:bottom w:w="0" w:type="dxa"/>
                    <w:right w:w="113" w:type="dxa"/>
                  </w:tcMar>
                  <w:vAlign w:val="center"/>
                </w:tcPr>
                <w:p w14:paraId="759F3306">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等效连续A声级</w:t>
                  </w:r>
                </w:p>
              </w:tc>
              <w:tc>
                <w:tcPr>
                  <w:tcW w:w="2383" w:type="dxa"/>
                  <w:tcBorders>
                    <w:tl2br w:val="nil"/>
                    <w:tr2bl w:val="nil"/>
                  </w:tcBorders>
                  <w:tcMar>
                    <w:top w:w="0" w:type="dxa"/>
                    <w:left w:w="113" w:type="dxa"/>
                    <w:bottom w:w="0" w:type="dxa"/>
                    <w:right w:w="113" w:type="dxa"/>
                  </w:tcMar>
                  <w:vAlign w:val="center"/>
                </w:tcPr>
                <w:p w14:paraId="259FF395">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选用低噪声设备、厂房隔声、设置隔声罩、减振垫等措施。</w:t>
                  </w:r>
                </w:p>
              </w:tc>
            </w:tr>
            <w:tr w14:paraId="510756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34" w:type="dxa"/>
                  <w:bottom w:w="0" w:type="dxa"/>
                  <w:right w:w="1701" w:type="dxa"/>
                </w:tblCellMar>
              </w:tblPrEx>
              <w:trPr>
                <w:trHeight w:val="519" w:hRule="atLeast"/>
                <w:jc w:val="center"/>
              </w:trPr>
              <w:tc>
                <w:tcPr>
                  <w:tcW w:w="907" w:type="dxa"/>
                  <w:vMerge w:val="restart"/>
                  <w:tcBorders>
                    <w:tl2br w:val="nil"/>
                    <w:tr2bl w:val="nil"/>
                  </w:tcBorders>
                  <w:tcMar>
                    <w:top w:w="0" w:type="dxa"/>
                    <w:left w:w="113" w:type="dxa"/>
                    <w:bottom w:w="0" w:type="dxa"/>
                    <w:right w:w="113" w:type="dxa"/>
                  </w:tcMar>
                  <w:vAlign w:val="center"/>
                </w:tcPr>
                <w:p w14:paraId="527979BD">
                  <w:pPr>
                    <w:adjustRightInd w:val="0"/>
                    <w:snapToGrid w:val="0"/>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固体废物</w:t>
                  </w:r>
                </w:p>
              </w:tc>
              <w:tc>
                <w:tcPr>
                  <w:tcW w:w="1958" w:type="dxa"/>
                  <w:tcBorders>
                    <w:tl2br w:val="nil"/>
                    <w:tr2bl w:val="nil"/>
                  </w:tcBorders>
                  <w:tcMar>
                    <w:top w:w="0" w:type="dxa"/>
                    <w:left w:w="113" w:type="dxa"/>
                    <w:bottom w:w="0" w:type="dxa"/>
                    <w:right w:w="113" w:type="dxa"/>
                  </w:tcMar>
                  <w:vAlign w:val="center"/>
                </w:tcPr>
                <w:p w14:paraId="263DAD44">
                  <w:pPr>
                    <w:adjustRightInd w:val="0"/>
                    <w:snapToGrid w:val="0"/>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员工生活</w:t>
                  </w:r>
                </w:p>
              </w:tc>
              <w:tc>
                <w:tcPr>
                  <w:tcW w:w="2568" w:type="dxa"/>
                  <w:tcBorders>
                    <w:tl2br w:val="nil"/>
                    <w:tr2bl w:val="nil"/>
                  </w:tcBorders>
                  <w:shd w:val="clear" w:color="auto" w:fill="auto"/>
                  <w:tcMar>
                    <w:top w:w="0" w:type="dxa"/>
                    <w:left w:w="113" w:type="dxa"/>
                    <w:bottom w:w="0" w:type="dxa"/>
                    <w:right w:w="113" w:type="dxa"/>
                  </w:tcMar>
                  <w:vAlign w:val="center"/>
                </w:tcPr>
                <w:p w14:paraId="2F2BF4B3">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生活垃圾</w:t>
                  </w:r>
                </w:p>
              </w:tc>
              <w:tc>
                <w:tcPr>
                  <w:tcW w:w="2383" w:type="dxa"/>
                  <w:tcBorders>
                    <w:tl2br w:val="nil"/>
                    <w:tr2bl w:val="nil"/>
                  </w:tcBorders>
                  <w:shd w:val="clear" w:color="auto" w:fill="auto"/>
                  <w:tcMar>
                    <w:top w:w="0" w:type="dxa"/>
                    <w:left w:w="113" w:type="dxa"/>
                    <w:bottom w:w="0" w:type="dxa"/>
                    <w:right w:w="113" w:type="dxa"/>
                  </w:tcMar>
                  <w:vAlign w:val="center"/>
                </w:tcPr>
                <w:p w14:paraId="5450C917">
                  <w:pPr>
                    <w:keepNext w:val="0"/>
                    <w:keepLines w:val="0"/>
                    <w:widowControl/>
                    <w:suppressLineNumbers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 w:val="21"/>
                      <w:szCs w:val="21"/>
                      <w:lang w:val="en-US" w:eastAsia="zh-CN" w:bidi="ar"/>
                    </w:rPr>
                    <w:t>分类收集后由当地环卫部门清运</w:t>
                  </w:r>
                </w:p>
              </w:tc>
            </w:tr>
            <w:tr w14:paraId="388C9A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34" w:type="dxa"/>
                  <w:bottom w:w="0" w:type="dxa"/>
                  <w:right w:w="1701" w:type="dxa"/>
                </w:tblCellMar>
              </w:tblPrEx>
              <w:trPr>
                <w:trHeight w:val="264" w:hRule="atLeast"/>
                <w:jc w:val="center"/>
              </w:trPr>
              <w:tc>
                <w:tcPr>
                  <w:tcW w:w="907" w:type="dxa"/>
                  <w:vMerge w:val="continue"/>
                  <w:tcBorders>
                    <w:tl2br w:val="nil"/>
                    <w:tr2bl w:val="nil"/>
                  </w:tcBorders>
                  <w:tcMar>
                    <w:top w:w="0" w:type="dxa"/>
                    <w:left w:w="113" w:type="dxa"/>
                    <w:bottom w:w="0" w:type="dxa"/>
                    <w:right w:w="113" w:type="dxa"/>
                  </w:tcMar>
                  <w:vAlign w:val="center"/>
                </w:tcPr>
                <w:p w14:paraId="082CDA05">
                  <w:pPr>
                    <w:adjustRightInd w:val="0"/>
                    <w:snapToGrid w:val="0"/>
                    <w:jc w:val="center"/>
                    <w:rPr>
                      <w:rFonts w:hint="default" w:ascii="Times New Roman" w:hAnsi="Times New Roman" w:eastAsia="宋体" w:cs="Times New Roman"/>
                      <w:color w:val="auto"/>
                      <w:szCs w:val="21"/>
                      <w:highlight w:val="none"/>
                      <w:lang w:val="zh-CN"/>
                    </w:rPr>
                  </w:pPr>
                </w:p>
              </w:tc>
              <w:tc>
                <w:tcPr>
                  <w:tcW w:w="1958" w:type="dxa"/>
                  <w:vMerge w:val="restart"/>
                  <w:tcBorders>
                    <w:tl2br w:val="nil"/>
                    <w:tr2bl w:val="nil"/>
                  </w:tcBorders>
                  <w:shd w:val="clear" w:color="auto" w:fill="auto"/>
                  <w:tcMar>
                    <w:top w:w="0" w:type="dxa"/>
                    <w:left w:w="113" w:type="dxa"/>
                    <w:bottom w:w="0" w:type="dxa"/>
                    <w:right w:w="113" w:type="dxa"/>
                  </w:tcMar>
                  <w:vAlign w:val="center"/>
                </w:tcPr>
                <w:p w14:paraId="70CC0C09">
                  <w:pPr>
                    <w:adjustRightInd w:val="0"/>
                    <w:snapToGrid w:val="0"/>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en-US" w:eastAsia="zh-CN"/>
                    </w:rPr>
                    <w:t>一般</w:t>
                  </w:r>
                  <w:r>
                    <w:rPr>
                      <w:rFonts w:hint="eastAsia" w:ascii="Times New Roman" w:hAnsi="Times New Roman" w:eastAsia="宋体" w:cs="Times New Roman"/>
                      <w:color w:val="auto"/>
                      <w:szCs w:val="21"/>
                      <w:highlight w:val="none"/>
                      <w:lang w:val="en-US" w:eastAsia="zh-CN"/>
                    </w:rPr>
                    <w:t>工业</w:t>
                  </w:r>
                  <w:r>
                    <w:rPr>
                      <w:rFonts w:hint="default" w:ascii="Times New Roman" w:hAnsi="Times New Roman" w:eastAsia="宋体" w:cs="Times New Roman"/>
                      <w:color w:val="auto"/>
                      <w:szCs w:val="21"/>
                      <w:highlight w:val="none"/>
                      <w:lang w:val="en-US" w:eastAsia="zh-CN"/>
                    </w:rPr>
                    <w:t>固体废物</w:t>
                  </w:r>
                </w:p>
              </w:tc>
              <w:tc>
                <w:tcPr>
                  <w:tcW w:w="2568" w:type="dxa"/>
                  <w:tcBorders>
                    <w:tl2br w:val="nil"/>
                    <w:tr2bl w:val="nil"/>
                  </w:tcBorders>
                  <w:shd w:val="clear" w:color="auto" w:fill="auto"/>
                  <w:tcMar>
                    <w:top w:w="0" w:type="dxa"/>
                    <w:left w:w="113" w:type="dxa"/>
                    <w:bottom w:w="0" w:type="dxa"/>
                    <w:right w:w="113" w:type="dxa"/>
                  </w:tcMar>
                  <w:vAlign w:val="center"/>
                </w:tcPr>
                <w:p w14:paraId="20714A2A">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不沾染化学试剂的废包装物</w:t>
                  </w:r>
                </w:p>
              </w:tc>
              <w:tc>
                <w:tcPr>
                  <w:tcW w:w="2383" w:type="dxa"/>
                  <w:tcBorders>
                    <w:tl2br w:val="nil"/>
                    <w:tr2bl w:val="nil"/>
                  </w:tcBorders>
                  <w:shd w:val="clear" w:color="auto" w:fill="auto"/>
                  <w:tcMar>
                    <w:top w:w="0" w:type="dxa"/>
                    <w:left w:w="113" w:type="dxa"/>
                    <w:bottom w:w="0" w:type="dxa"/>
                    <w:right w:w="113" w:type="dxa"/>
                  </w:tcMar>
                  <w:vAlign w:val="center"/>
                </w:tcPr>
                <w:p w14:paraId="784A7C00">
                  <w:pPr>
                    <w:keepNext w:val="0"/>
                    <w:keepLines w:val="0"/>
                    <w:widowControl/>
                    <w:suppressLineNumbers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物资部门回收</w:t>
                  </w:r>
                </w:p>
              </w:tc>
            </w:tr>
            <w:tr w14:paraId="52B806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34" w:type="dxa"/>
                  <w:bottom w:w="0" w:type="dxa"/>
                  <w:right w:w="1701" w:type="dxa"/>
                </w:tblCellMar>
              </w:tblPrEx>
              <w:trPr>
                <w:trHeight w:val="264" w:hRule="atLeast"/>
                <w:jc w:val="center"/>
              </w:trPr>
              <w:tc>
                <w:tcPr>
                  <w:tcW w:w="907" w:type="dxa"/>
                  <w:vMerge w:val="continue"/>
                  <w:tcBorders>
                    <w:tl2br w:val="nil"/>
                    <w:tr2bl w:val="nil"/>
                  </w:tcBorders>
                  <w:tcMar>
                    <w:top w:w="0" w:type="dxa"/>
                    <w:left w:w="113" w:type="dxa"/>
                    <w:bottom w:w="0" w:type="dxa"/>
                    <w:right w:w="113" w:type="dxa"/>
                  </w:tcMar>
                  <w:vAlign w:val="center"/>
                </w:tcPr>
                <w:p w14:paraId="081E941B">
                  <w:pPr>
                    <w:adjustRightInd w:val="0"/>
                    <w:snapToGrid w:val="0"/>
                    <w:jc w:val="center"/>
                    <w:rPr>
                      <w:rFonts w:hint="default" w:ascii="Times New Roman" w:hAnsi="Times New Roman" w:eastAsia="宋体" w:cs="Times New Roman"/>
                      <w:color w:val="auto"/>
                      <w:szCs w:val="21"/>
                      <w:highlight w:val="none"/>
                      <w:lang w:val="zh-CN"/>
                    </w:rPr>
                  </w:pPr>
                </w:p>
              </w:tc>
              <w:tc>
                <w:tcPr>
                  <w:tcW w:w="1958" w:type="dxa"/>
                  <w:vMerge w:val="continue"/>
                  <w:tcBorders>
                    <w:tl2br w:val="nil"/>
                    <w:tr2bl w:val="nil"/>
                  </w:tcBorders>
                  <w:shd w:val="clear" w:color="auto" w:fill="auto"/>
                  <w:tcMar>
                    <w:top w:w="0" w:type="dxa"/>
                    <w:left w:w="113" w:type="dxa"/>
                    <w:bottom w:w="0" w:type="dxa"/>
                    <w:right w:w="113" w:type="dxa"/>
                  </w:tcMar>
                  <w:vAlign w:val="center"/>
                </w:tcPr>
                <w:p w14:paraId="7CE5AFD8">
                  <w:pPr>
                    <w:adjustRightInd w:val="0"/>
                    <w:snapToGrid w:val="0"/>
                    <w:jc w:val="center"/>
                    <w:rPr>
                      <w:rFonts w:hint="default" w:ascii="Times New Roman" w:hAnsi="Times New Roman" w:eastAsia="宋体" w:cs="Times New Roman"/>
                      <w:color w:val="auto"/>
                      <w:szCs w:val="21"/>
                      <w:highlight w:val="none"/>
                      <w:lang w:val="en-US" w:eastAsia="zh-CN"/>
                    </w:rPr>
                  </w:pPr>
                </w:p>
              </w:tc>
              <w:tc>
                <w:tcPr>
                  <w:tcW w:w="2568" w:type="dxa"/>
                  <w:tcBorders>
                    <w:tl2br w:val="nil"/>
                    <w:tr2bl w:val="nil"/>
                  </w:tcBorders>
                  <w:shd w:val="clear" w:color="auto" w:fill="auto"/>
                  <w:tcMar>
                    <w:top w:w="0" w:type="dxa"/>
                    <w:left w:w="113" w:type="dxa"/>
                    <w:bottom w:w="0" w:type="dxa"/>
                    <w:right w:w="113" w:type="dxa"/>
                  </w:tcMar>
                  <w:vAlign w:val="center"/>
                </w:tcPr>
                <w:p w14:paraId="4D6E16CB">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纯水制备废反渗透膜</w:t>
                  </w:r>
                </w:p>
              </w:tc>
              <w:tc>
                <w:tcPr>
                  <w:tcW w:w="2383" w:type="dxa"/>
                  <w:tcBorders>
                    <w:tl2br w:val="nil"/>
                    <w:tr2bl w:val="nil"/>
                  </w:tcBorders>
                  <w:shd w:val="clear" w:color="auto" w:fill="auto"/>
                  <w:tcMar>
                    <w:top w:w="0" w:type="dxa"/>
                    <w:left w:w="113" w:type="dxa"/>
                    <w:bottom w:w="0" w:type="dxa"/>
                    <w:right w:w="113" w:type="dxa"/>
                  </w:tcMar>
                  <w:vAlign w:val="center"/>
                </w:tcPr>
                <w:p w14:paraId="41179FFA">
                  <w:pPr>
                    <w:keepNext w:val="0"/>
                    <w:keepLines w:val="0"/>
                    <w:widowControl/>
                    <w:suppressLineNumbers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厂家回收</w:t>
                  </w:r>
                </w:p>
              </w:tc>
            </w:tr>
            <w:tr w14:paraId="1DF0E3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34" w:type="dxa"/>
                  <w:bottom w:w="0" w:type="dxa"/>
                  <w:right w:w="1701" w:type="dxa"/>
                </w:tblCellMar>
              </w:tblPrEx>
              <w:trPr>
                <w:trHeight w:val="397" w:hRule="atLeast"/>
                <w:jc w:val="center"/>
              </w:trPr>
              <w:tc>
                <w:tcPr>
                  <w:tcW w:w="907" w:type="dxa"/>
                  <w:vMerge w:val="continue"/>
                  <w:tcBorders>
                    <w:tl2br w:val="nil"/>
                    <w:tr2bl w:val="nil"/>
                  </w:tcBorders>
                  <w:tcMar>
                    <w:top w:w="0" w:type="dxa"/>
                    <w:left w:w="0" w:type="dxa"/>
                    <w:bottom w:w="0" w:type="dxa"/>
                    <w:right w:w="0" w:type="dxa"/>
                  </w:tcMar>
                  <w:vAlign w:val="center"/>
                </w:tcPr>
                <w:p w14:paraId="54CCECC3">
                  <w:pPr>
                    <w:adjustRightInd w:val="0"/>
                    <w:snapToGrid w:val="0"/>
                    <w:jc w:val="center"/>
                    <w:rPr>
                      <w:rFonts w:hint="default" w:ascii="Times New Roman" w:hAnsi="Times New Roman" w:eastAsia="宋体" w:cs="Times New Roman"/>
                      <w:color w:val="auto"/>
                      <w:szCs w:val="21"/>
                      <w:highlight w:val="none"/>
                      <w:lang w:val="zh-CN"/>
                    </w:rPr>
                  </w:pPr>
                </w:p>
              </w:tc>
              <w:tc>
                <w:tcPr>
                  <w:tcW w:w="1958" w:type="dxa"/>
                  <w:tcBorders>
                    <w:tl2br w:val="nil"/>
                    <w:tr2bl w:val="nil"/>
                  </w:tcBorders>
                  <w:tcMar>
                    <w:top w:w="0" w:type="dxa"/>
                    <w:left w:w="0" w:type="dxa"/>
                    <w:bottom w:w="0" w:type="dxa"/>
                    <w:right w:w="0" w:type="dxa"/>
                  </w:tcMar>
                  <w:vAlign w:val="center"/>
                </w:tcPr>
                <w:p w14:paraId="6DF31D39">
                  <w:pPr>
                    <w:adjustRightInd w:val="0"/>
                    <w:snapToGrid w:val="0"/>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危险废物</w:t>
                  </w:r>
                </w:p>
              </w:tc>
              <w:tc>
                <w:tcPr>
                  <w:tcW w:w="2568" w:type="dxa"/>
                  <w:tcBorders>
                    <w:tl2br w:val="nil"/>
                    <w:tr2bl w:val="nil"/>
                  </w:tcBorders>
                  <w:shd w:val="clear" w:color="auto" w:fill="auto"/>
                  <w:tcMar>
                    <w:top w:w="0" w:type="dxa"/>
                    <w:left w:w="0" w:type="dxa"/>
                    <w:bottom w:w="0" w:type="dxa"/>
                    <w:right w:w="0" w:type="dxa"/>
                  </w:tcMar>
                  <w:vAlign w:val="center"/>
                </w:tcPr>
                <w:p w14:paraId="5BEC1C66">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废试剂瓶、废试剂、废一次性耗材、废培养基、检测废液、清洗废液、</w:t>
                  </w:r>
                  <w:r>
                    <w:rPr>
                      <w:rFonts w:hint="eastAsia" w:eastAsia="宋体" w:cs="Times New Roman"/>
                      <w:color w:val="auto"/>
                      <w:sz w:val="21"/>
                      <w:szCs w:val="21"/>
                      <w:highlight w:val="none"/>
                      <w:lang w:val="en-US" w:eastAsia="zh-CN"/>
                    </w:rPr>
                    <w:t>废活性炭</w:t>
                  </w:r>
                  <w:r>
                    <w:rPr>
                      <w:rFonts w:hint="eastAsia" w:cs="Times New Roman"/>
                      <w:color w:val="auto"/>
                      <w:sz w:val="21"/>
                      <w:szCs w:val="21"/>
                      <w:highlight w:val="none"/>
                      <w:lang w:val="en-US" w:eastAsia="zh-CN"/>
                    </w:rPr>
                    <w:t>、</w:t>
                  </w:r>
                </w:p>
                <w:p w14:paraId="5E8FCFCC">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 w:val="21"/>
                      <w:szCs w:val="21"/>
                      <w:highlight w:val="none"/>
                      <w:lang w:val="en-US" w:eastAsia="zh-CN"/>
                    </w:rPr>
                    <w:t>废样品。</w:t>
                  </w:r>
                </w:p>
              </w:tc>
              <w:tc>
                <w:tcPr>
                  <w:tcW w:w="2383" w:type="dxa"/>
                  <w:tcBorders>
                    <w:tl2br w:val="nil"/>
                    <w:tr2bl w:val="nil"/>
                  </w:tcBorders>
                  <w:tcMar>
                    <w:top w:w="0" w:type="dxa"/>
                    <w:left w:w="0" w:type="dxa"/>
                    <w:bottom w:w="0" w:type="dxa"/>
                    <w:right w:w="0" w:type="dxa"/>
                  </w:tcMar>
                  <w:vAlign w:val="center"/>
                </w:tcPr>
                <w:p w14:paraId="6E2D160C">
                  <w:pPr>
                    <w:keepNext w:val="0"/>
                    <w:keepLines w:val="0"/>
                    <w:widowControl/>
                    <w:suppressLineNumbers w:val="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21"/>
                      <w:szCs w:val="21"/>
                      <w:lang w:val="en-US" w:eastAsia="zh-CN" w:bidi="ar"/>
                    </w:rPr>
                    <w:t>暂存在危废暂存间，定期交有资质单位处置。</w:t>
                  </w:r>
                </w:p>
                <w:p w14:paraId="3BDC398F">
                  <w:pPr>
                    <w:adjustRightInd w:val="0"/>
                    <w:snapToGrid w:val="0"/>
                    <w:jc w:val="center"/>
                    <w:rPr>
                      <w:rFonts w:hint="default" w:ascii="Times New Roman" w:hAnsi="Times New Roman" w:eastAsia="宋体" w:cs="Times New Roman"/>
                      <w:color w:val="auto"/>
                      <w:szCs w:val="21"/>
                      <w:highlight w:val="none"/>
                    </w:rPr>
                  </w:pPr>
                </w:p>
              </w:tc>
            </w:tr>
          </w:tbl>
          <w:p w14:paraId="1B4F77AD">
            <w:pPr>
              <w:numPr>
                <w:ilvl w:val="0"/>
                <w:numId w:val="0"/>
              </w:numPr>
              <w:adjustRightInd w:val="0"/>
              <w:spacing w:line="360" w:lineRule="auto"/>
              <w:jc w:val="both"/>
              <w:rPr>
                <w:rFonts w:hint="default" w:ascii="Times New Roman" w:hAnsi="Times New Roman" w:eastAsia="宋体" w:cs="Times New Roman"/>
                <w:color w:val="auto"/>
                <w:sz w:val="24"/>
                <w:highlight w:val="none"/>
              </w:rPr>
            </w:pPr>
          </w:p>
        </w:tc>
      </w:tr>
      <w:tr w14:paraId="1FF35D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18" w:type="dxa"/>
            <w:vAlign w:val="center"/>
          </w:tcPr>
          <w:p w14:paraId="3D991629">
            <w:pPr>
              <w:pStyle w:val="20"/>
              <w:adjustRightInd w:val="0"/>
              <w:snapToGrid w:val="0"/>
              <w:spacing w:before="0" w:beforeAutospacing="0" w:after="0" w:afterAutospacing="0"/>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bCs/>
                <w:color w:val="auto"/>
                <w:kern w:val="2"/>
                <w:szCs w:val="24"/>
                <w:highlight w:val="none"/>
              </w:rPr>
              <w:t>与项目有关的原有环境污染问题</w:t>
            </w:r>
          </w:p>
        </w:tc>
        <w:tc>
          <w:tcPr>
            <w:tcW w:w="8189" w:type="dxa"/>
            <w:vAlign w:val="center"/>
          </w:tcPr>
          <w:p w14:paraId="4D84B046">
            <w:pPr>
              <w:adjustRightInd w:val="0"/>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本项目为新建项目，租赁已建成建筑，不存在与项目有关的原有污染及环境问题。</w:t>
            </w:r>
          </w:p>
        </w:tc>
      </w:tr>
    </w:tbl>
    <w:p w14:paraId="56BD53D3">
      <w:pPr>
        <w:rPr>
          <w:rFonts w:hint="default" w:ascii="Times New Roman" w:hAnsi="Times New Roman" w:eastAsia="宋体" w:cs="Times New Roman"/>
          <w:color w:val="auto"/>
          <w:highlight w:val="none"/>
        </w:rPr>
        <w:sectPr>
          <w:pgSz w:w="11906" w:h="16838"/>
          <w:pgMar w:top="1701" w:right="1531" w:bottom="1860"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2AD430B">
      <w:pPr>
        <w:pStyle w:val="2"/>
        <w:jc w:val="center"/>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b w:val="0"/>
          <w:bCs w:val="0"/>
          <w:color w:val="auto"/>
          <w:sz w:val="36"/>
          <w:szCs w:val="36"/>
          <w:highlight w:val="none"/>
        </w:rPr>
        <w:t>三、区域环境质量现状、环境保护目标及评价标准</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47"/>
      </w:tblGrid>
      <w:tr w14:paraId="2429DC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800" w:type="dxa"/>
            <w:vAlign w:val="center"/>
          </w:tcPr>
          <w:p w14:paraId="0BF1D33E">
            <w:pPr>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区域环境质量现状</w:t>
            </w:r>
          </w:p>
        </w:tc>
        <w:tc>
          <w:tcPr>
            <w:tcW w:w="8147" w:type="dxa"/>
            <w:vAlign w:val="center"/>
          </w:tcPr>
          <w:p w14:paraId="5741A79F">
            <w:pPr>
              <w:pStyle w:val="20"/>
              <w:numPr>
                <w:ilvl w:val="0"/>
                <w:numId w:val="0"/>
              </w:numPr>
              <w:adjustRightInd w:val="0"/>
              <w:snapToGrid w:val="0"/>
              <w:spacing w:before="0" w:beforeAutospacing="0" w:after="0" w:afterAutospacing="0" w:line="360" w:lineRule="auto"/>
              <w:jc w:val="both"/>
              <w:rPr>
                <w:rFonts w:hint="default" w:ascii="Times New Roman" w:hAnsi="Times New Roman" w:eastAsia="宋体" w:cs="Times New Roman"/>
                <w:b/>
                <w:bCs/>
                <w:color w:val="auto"/>
                <w:szCs w:val="24"/>
                <w:highlight w:val="none"/>
              </w:rPr>
            </w:pPr>
            <w:r>
              <w:rPr>
                <w:rFonts w:hint="eastAsia" w:ascii="Times New Roman" w:hAnsi="Times New Roman" w:cs="Times New Roman"/>
                <w:b/>
                <w:bCs/>
                <w:color w:val="auto"/>
                <w:szCs w:val="24"/>
                <w:highlight w:val="none"/>
                <w:lang w:val="en-US" w:eastAsia="zh-CN"/>
              </w:rPr>
              <w:t>一、</w:t>
            </w:r>
            <w:r>
              <w:rPr>
                <w:rFonts w:hint="default" w:ascii="Times New Roman" w:hAnsi="Times New Roman" w:eastAsia="宋体" w:cs="Times New Roman"/>
                <w:b/>
                <w:bCs/>
                <w:color w:val="auto"/>
                <w:szCs w:val="24"/>
                <w:highlight w:val="none"/>
              </w:rPr>
              <w:t>大气环境</w:t>
            </w:r>
          </w:p>
          <w:p w14:paraId="0CC85E26">
            <w:pPr>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highlight w:val="none"/>
              </w:rPr>
              <w:t>本项目所在区域为二类环境空气功能区，环境空气质量执行《环境空气质量标准》（GB3095-2012）及其修改单中的二级浓度限值。</w:t>
            </w:r>
          </w:p>
          <w:p w14:paraId="7DD0940B">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根据北京202</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年5月北京市生态环境局发布的《202</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年北京市生态环境状况公报》中的空气质量数据，对项目所在区域</w:t>
            </w:r>
            <w:r>
              <w:rPr>
                <w:rFonts w:hint="default" w:ascii="Times New Roman" w:hAnsi="Times New Roman" w:eastAsia="宋体" w:cs="Times New Roman"/>
                <w:color w:val="auto"/>
                <w:sz w:val="24"/>
                <w:highlight w:val="none"/>
                <w:lang w:val="en-US" w:eastAsia="zh-CN"/>
              </w:rPr>
              <w:t>及北京市</w:t>
            </w:r>
            <w:r>
              <w:rPr>
                <w:rFonts w:hint="default" w:ascii="Times New Roman" w:hAnsi="Times New Roman" w:eastAsia="宋体" w:cs="Times New Roman"/>
                <w:color w:val="auto"/>
                <w:sz w:val="24"/>
                <w:highlight w:val="none"/>
              </w:rPr>
              <w:t>空气质量进行评价，统计数据见下表。</w:t>
            </w:r>
          </w:p>
          <w:p w14:paraId="364B4A5E">
            <w:pPr>
              <w:numPr>
                <w:ilvl w:val="0"/>
                <w:numId w:val="31"/>
              </w:numPr>
              <w:spacing w:line="360" w:lineRule="auto"/>
              <w:jc w:val="center"/>
              <w:rPr>
                <w:rFonts w:hint="default"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通州</w:t>
            </w:r>
            <w:r>
              <w:rPr>
                <w:rFonts w:hint="default" w:ascii="Times New Roman" w:hAnsi="Times New Roman" w:eastAsia="宋体" w:cs="Times New Roman"/>
                <w:b/>
                <w:bCs/>
                <w:color w:val="auto"/>
                <w:sz w:val="24"/>
                <w:highlight w:val="none"/>
              </w:rPr>
              <w:t>区202</w:t>
            </w: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年环境空气质量数据</w:t>
            </w:r>
          </w:p>
          <w:tbl>
            <w:tblPr>
              <w:tblStyle w:val="50"/>
              <w:tblW w:w="8058" w:type="dxa"/>
              <w:jc w:val="center"/>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611"/>
              <w:gridCol w:w="1611"/>
              <w:gridCol w:w="1611"/>
              <w:gridCol w:w="1611"/>
              <w:gridCol w:w="1614"/>
            </w:tblGrid>
            <w:tr w14:paraId="22DDF1F0">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611" w:type="dxa"/>
                  <w:tcBorders>
                    <w:tl2br w:val="nil"/>
                    <w:tr2bl w:val="nil"/>
                  </w:tcBorders>
                  <w:vAlign w:val="center"/>
                </w:tcPr>
                <w:p w14:paraId="1172D559">
                  <w:pPr>
                    <w:pStyle w:val="49"/>
                    <w:spacing w:before="37" w:line="215" w:lineRule="auto"/>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pacing w:val="2"/>
                      <w:sz w:val="21"/>
                      <w:szCs w:val="21"/>
                      <w:highlight w:val="none"/>
                      <w:lang w:eastAsia="zh-CN"/>
                    </w:rPr>
                    <w:t>项目</w:t>
                  </w:r>
                </w:p>
              </w:tc>
              <w:tc>
                <w:tcPr>
                  <w:tcW w:w="1611" w:type="dxa"/>
                  <w:tcBorders>
                    <w:tl2br w:val="nil"/>
                    <w:tr2bl w:val="nil"/>
                  </w:tcBorders>
                  <w:vAlign w:val="center"/>
                </w:tcPr>
                <w:p w14:paraId="7A725BAB">
                  <w:pPr>
                    <w:pStyle w:val="49"/>
                    <w:spacing w:before="37" w:line="215" w:lineRule="auto"/>
                    <w:ind w:left="113"/>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SO</w:t>
                  </w:r>
                  <w:r>
                    <w:rPr>
                      <w:rFonts w:hint="default" w:ascii="Times New Roman" w:hAnsi="Times New Roman" w:eastAsia="宋体" w:cs="Times New Roman"/>
                      <w:b/>
                      <w:bCs/>
                      <w:color w:val="auto"/>
                      <w:spacing w:val="6"/>
                      <w:position w:val="-1"/>
                      <w:sz w:val="21"/>
                      <w:szCs w:val="21"/>
                      <w:highlight w:val="none"/>
                      <w:vertAlign w:val="subscript"/>
                      <w:lang w:eastAsia="zh-CN"/>
                    </w:rPr>
                    <w:t>2</w:t>
                  </w:r>
                  <w:r>
                    <w:rPr>
                      <w:rFonts w:hint="default" w:ascii="Times New Roman" w:hAnsi="Times New Roman" w:eastAsia="宋体" w:cs="Times New Roman"/>
                      <w:b/>
                      <w:bCs/>
                      <w:color w:val="auto"/>
                      <w:spacing w:val="2"/>
                      <w:sz w:val="21"/>
                      <w:szCs w:val="21"/>
                      <w:highlight w:val="none"/>
                      <w:lang w:eastAsia="zh-CN"/>
                    </w:rPr>
                    <w:t>(</w:t>
                  </w:r>
                  <w:r>
                    <w:rPr>
                      <w:rFonts w:hint="default" w:ascii="Times New Roman" w:hAnsi="Times New Roman" w:eastAsia="宋体" w:cs="Times New Roman"/>
                      <w:b/>
                      <w:bCs/>
                      <w:color w:val="auto"/>
                      <w:spacing w:val="2"/>
                      <w:sz w:val="21"/>
                      <w:szCs w:val="21"/>
                      <w:highlight w:val="none"/>
                    </w:rPr>
                    <w:t>μ</w:t>
                  </w:r>
                  <w:r>
                    <w:rPr>
                      <w:rFonts w:hint="default" w:ascii="Times New Roman" w:hAnsi="Times New Roman" w:eastAsia="宋体" w:cs="Times New Roman"/>
                      <w:b/>
                      <w:bCs/>
                      <w:color w:val="auto"/>
                      <w:spacing w:val="2"/>
                      <w:sz w:val="21"/>
                      <w:szCs w:val="21"/>
                      <w:highlight w:val="none"/>
                      <w:lang w:eastAsia="zh-CN"/>
                    </w:rPr>
                    <w:t>g/m</w:t>
                  </w:r>
                  <w:r>
                    <w:rPr>
                      <w:rFonts w:hint="default" w:ascii="Times New Roman" w:hAnsi="Times New Roman" w:eastAsia="宋体" w:cs="Times New Roman"/>
                      <w:b/>
                      <w:bCs/>
                      <w:color w:val="auto"/>
                      <w:sz w:val="21"/>
                      <w:szCs w:val="21"/>
                      <w:highlight w:val="none"/>
                      <w:vertAlign w:val="superscript"/>
                      <w:lang w:eastAsia="zh-CN"/>
                    </w:rPr>
                    <w:t>3</w:t>
                  </w:r>
                  <w:r>
                    <w:rPr>
                      <w:rFonts w:hint="default" w:ascii="Times New Roman" w:hAnsi="Times New Roman" w:eastAsia="宋体" w:cs="Times New Roman"/>
                      <w:b/>
                      <w:bCs/>
                      <w:color w:val="auto"/>
                      <w:spacing w:val="2"/>
                      <w:sz w:val="21"/>
                      <w:szCs w:val="21"/>
                      <w:highlight w:val="none"/>
                      <w:lang w:eastAsia="zh-CN"/>
                    </w:rPr>
                    <w:t>）</w:t>
                  </w:r>
                </w:p>
              </w:tc>
              <w:tc>
                <w:tcPr>
                  <w:tcW w:w="1611" w:type="dxa"/>
                  <w:tcBorders>
                    <w:tl2br w:val="nil"/>
                    <w:tr2bl w:val="nil"/>
                  </w:tcBorders>
                  <w:vAlign w:val="center"/>
                </w:tcPr>
                <w:p w14:paraId="1DFE62F8">
                  <w:pPr>
                    <w:pStyle w:val="49"/>
                    <w:spacing w:before="37" w:line="215" w:lineRule="auto"/>
                    <w:ind w:left="84"/>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NO</w:t>
                  </w:r>
                  <w:r>
                    <w:rPr>
                      <w:rFonts w:hint="default" w:ascii="Times New Roman" w:hAnsi="Times New Roman" w:eastAsia="宋体" w:cs="Times New Roman"/>
                      <w:b/>
                      <w:bCs/>
                      <w:color w:val="auto"/>
                      <w:spacing w:val="14"/>
                      <w:position w:val="-1"/>
                      <w:sz w:val="21"/>
                      <w:szCs w:val="21"/>
                      <w:highlight w:val="none"/>
                      <w:vertAlign w:val="subscript"/>
                      <w:lang w:eastAsia="zh-CN"/>
                    </w:rPr>
                    <w:t>2</w:t>
                  </w:r>
                  <w:r>
                    <w:rPr>
                      <w:rFonts w:hint="default" w:ascii="Times New Roman" w:hAnsi="Times New Roman" w:eastAsia="宋体" w:cs="Times New Roman"/>
                      <w:b/>
                      <w:bCs/>
                      <w:color w:val="auto"/>
                      <w:spacing w:val="1"/>
                      <w:sz w:val="21"/>
                      <w:szCs w:val="21"/>
                      <w:highlight w:val="none"/>
                      <w:lang w:eastAsia="zh-CN"/>
                    </w:rPr>
                    <w:t>(</w:t>
                  </w:r>
                  <w:r>
                    <w:rPr>
                      <w:rFonts w:hint="default" w:ascii="Times New Roman" w:hAnsi="Times New Roman" w:eastAsia="宋体" w:cs="Times New Roman"/>
                      <w:b/>
                      <w:bCs/>
                      <w:color w:val="auto"/>
                      <w:spacing w:val="1"/>
                      <w:sz w:val="21"/>
                      <w:szCs w:val="21"/>
                      <w:highlight w:val="none"/>
                    </w:rPr>
                    <w:t>μ</w:t>
                  </w:r>
                  <w:r>
                    <w:rPr>
                      <w:rFonts w:hint="default" w:ascii="Times New Roman" w:hAnsi="Times New Roman" w:eastAsia="宋体" w:cs="Times New Roman"/>
                      <w:b/>
                      <w:bCs/>
                      <w:color w:val="auto"/>
                      <w:spacing w:val="1"/>
                      <w:sz w:val="21"/>
                      <w:szCs w:val="21"/>
                      <w:highlight w:val="none"/>
                      <w:lang w:eastAsia="zh-CN"/>
                    </w:rPr>
                    <w:t>g/m</w:t>
                  </w:r>
                  <w:r>
                    <w:rPr>
                      <w:rFonts w:hint="default" w:ascii="Times New Roman" w:hAnsi="Times New Roman" w:eastAsia="宋体" w:cs="Times New Roman"/>
                      <w:b/>
                      <w:bCs/>
                      <w:color w:val="auto"/>
                      <w:sz w:val="21"/>
                      <w:szCs w:val="21"/>
                      <w:highlight w:val="none"/>
                      <w:vertAlign w:val="superscript"/>
                      <w:lang w:eastAsia="zh-CN"/>
                    </w:rPr>
                    <w:t>3</w:t>
                  </w:r>
                  <w:r>
                    <w:rPr>
                      <w:rFonts w:hint="default" w:ascii="Times New Roman" w:hAnsi="Times New Roman" w:eastAsia="宋体" w:cs="Times New Roman"/>
                      <w:b/>
                      <w:bCs/>
                      <w:color w:val="auto"/>
                      <w:spacing w:val="1"/>
                      <w:sz w:val="21"/>
                      <w:szCs w:val="21"/>
                      <w:highlight w:val="none"/>
                      <w:lang w:eastAsia="zh-CN"/>
                    </w:rPr>
                    <w:t>）</w:t>
                  </w:r>
                </w:p>
              </w:tc>
              <w:tc>
                <w:tcPr>
                  <w:tcW w:w="1611" w:type="dxa"/>
                  <w:tcBorders>
                    <w:tl2br w:val="nil"/>
                    <w:tr2bl w:val="nil"/>
                  </w:tcBorders>
                  <w:vAlign w:val="center"/>
                </w:tcPr>
                <w:p w14:paraId="4FC1B28F">
                  <w:pPr>
                    <w:pStyle w:val="49"/>
                    <w:spacing w:before="37" w:line="215" w:lineRule="auto"/>
                    <w:ind w:left="105"/>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PM</w:t>
                  </w:r>
                  <w:r>
                    <w:rPr>
                      <w:rFonts w:hint="default" w:ascii="Times New Roman" w:hAnsi="Times New Roman" w:eastAsia="宋体" w:cs="Times New Roman"/>
                      <w:b/>
                      <w:bCs/>
                      <w:color w:val="auto"/>
                      <w:spacing w:val="3"/>
                      <w:position w:val="-1"/>
                      <w:sz w:val="21"/>
                      <w:szCs w:val="21"/>
                      <w:highlight w:val="none"/>
                      <w:vertAlign w:val="subscript"/>
                      <w:lang w:eastAsia="zh-CN"/>
                    </w:rPr>
                    <w:t>10</w:t>
                  </w:r>
                  <w:r>
                    <w:rPr>
                      <w:rFonts w:hint="default" w:ascii="Times New Roman" w:hAnsi="Times New Roman" w:eastAsia="宋体" w:cs="Times New Roman"/>
                      <w:b/>
                      <w:bCs/>
                      <w:color w:val="auto"/>
                      <w:spacing w:val="3"/>
                      <w:sz w:val="21"/>
                      <w:szCs w:val="21"/>
                      <w:highlight w:val="none"/>
                      <w:lang w:eastAsia="zh-CN"/>
                    </w:rPr>
                    <w:t>(</w:t>
                  </w:r>
                  <w:r>
                    <w:rPr>
                      <w:rFonts w:hint="default" w:ascii="Times New Roman" w:hAnsi="Times New Roman" w:eastAsia="宋体" w:cs="Times New Roman"/>
                      <w:b/>
                      <w:bCs/>
                      <w:color w:val="auto"/>
                      <w:spacing w:val="3"/>
                      <w:sz w:val="21"/>
                      <w:szCs w:val="21"/>
                      <w:highlight w:val="none"/>
                    </w:rPr>
                    <w:t>μ</w:t>
                  </w:r>
                  <w:r>
                    <w:rPr>
                      <w:rFonts w:hint="default" w:ascii="Times New Roman" w:hAnsi="Times New Roman" w:eastAsia="宋体" w:cs="Times New Roman"/>
                      <w:b/>
                      <w:bCs/>
                      <w:color w:val="auto"/>
                      <w:spacing w:val="3"/>
                      <w:sz w:val="21"/>
                      <w:szCs w:val="21"/>
                      <w:highlight w:val="none"/>
                      <w:lang w:eastAsia="zh-CN"/>
                    </w:rPr>
                    <w:t>g/m</w:t>
                  </w:r>
                  <w:r>
                    <w:rPr>
                      <w:rFonts w:hint="default" w:ascii="Times New Roman" w:hAnsi="Times New Roman" w:eastAsia="宋体" w:cs="Times New Roman"/>
                      <w:b/>
                      <w:bCs/>
                      <w:color w:val="auto"/>
                      <w:sz w:val="21"/>
                      <w:szCs w:val="21"/>
                      <w:highlight w:val="none"/>
                      <w:vertAlign w:val="superscript"/>
                      <w:lang w:eastAsia="zh-CN"/>
                    </w:rPr>
                    <w:t>3</w:t>
                  </w:r>
                  <w:r>
                    <w:rPr>
                      <w:rFonts w:hint="default" w:ascii="Times New Roman" w:hAnsi="Times New Roman" w:eastAsia="宋体" w:cs="Times New Roman"/>
                      <w:b/>
                      <w:bCs/>
                      <w:color w:val="auto"/>
                      <w:spacing w:val="3"/>
                      <w:sz w:val="21"/>
                      <w:szCs w:val="21"/>
                      <w:highlight w:val="none"/>
                      <w:lang w:eastAsia="zh-CN"/>
                    </w:rPr>
                    <w:t>）</w:t>
                  </w:r>
                </w:p>
              </w:tc>
              <w:tc>
                <w:tcPr>
                  <w:tcW w:w="1614" w:type="dxa"/>
                  <w:tcBorders>
                    <w:tl2br w:val="nil"/>
                    <w:tr2bl w:val="nil"/>
                  </w:tcBorders>
                  <w:vAlign w:val="center"/>
                </w:tcPr>
                <w:p w14:paraId="45B1C25A">
                  <w:pPr>
                    <w:pStyle w:val="49"/>
                    <w:spacing w:before="37" w:line="215" w:lineRule="auto"/>
                    <w:ind w:left="86"/>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PM</w:t>
                  </w:r>
                  <w:r>
                    <w:rPr>
                      <w:rFonts w:hint="default" w:ascii="Times New Roman" w:hAnsi="Times New Roman" w:eastAsia="宋体" w:cs="Times New Roman"/>
                      <w:b/>
                      <w:bCs/>
                      <w:color w:val="auto"/>
                      <w:spacing w:val="3"/>
                      <w:position w:val="-1"/>
                      <w:sz w:val="21"/>
                      <w:szCs w:val="21"/>
                      <w:highlight w:val="none"/>
                      <w:vertAlign w:val="subscript"/>
                      <w:lang w:eastAsia="zh-CN"/>
                    </w:rPr>
                    <w:t>2.5</w:t>
                  </w:r>
                  <w:r>
                    <w:rPr>
                      <w:rFonts w:hint="default" w:ascii="Times New Roman" w:hAnsi="Times New Roman" w:eastAsia="宋体" w:cs="Times New Roman"/>
                      <w:b/>
                      <w:bCs/>
                      <w:color w:val="auto"/>
                      <w:spacing w:val="3"/>
                      <w:sz w:val="21"/>
                      <w:szCs w:val="21"/>
                      <w:highlight w:val="none"/>
                      <w:lang w:eastAsia="zh-CN"/>
                    </w:rPr>
                    <w:t>(</w:t>
                  </w:r>
                  <w:r>
                    <w:rPr>
                      <w:rFonts w:hint="default" w:ascii="Times New Roman" w:hAnsi="Times New Roman" w:eastAsia="宋体" w:cs="Times New Roman"/>
                      <w:b/>
                      <w:bCs/>
                      <w:color w:val="auto"/>
                      <w:spacing w:val="3"/>
                      <w:sz w:val="21"/>
                      <w:szCs w:val="21"/>
                      <w:highlight w:val="none"/>
                    </w:rPr>
                    <w:t>μ</w:t>
                  </w:r>
                  <w:r>
                    <w:rPr>
                      <w:rFonts w:hint="default" w:ascii="Times New Roman" w:hAnsi="Times New Roman" w:eastAsia="宋体" w:cs="Times New Roman"/>
                      <w:b/>
                      <w:bCs/>
                      <w:color w:val="auto"/>
                      <w:spacing w:val="3"/>
                      <w:sz w:val="21"/>
                      <w:szCs w:val="21"/>
                      <w:highlight w:val="none"/>
                      <w:lang w:eastAsia="zh-CN"/>
                    </w:rPr>
                    <w:t>g/m</w:t>
                  </w:r>
                  <w:r>
                    <w:rPr>
                      <w:rFonts w:hint="default" w:ascii="Times New Roman" w:hAnsi="Times New Roman" w:eastAsia="宋体" w:cs="Times New Roman"/>
                      <w:b/>
                      <w:bCs/>
                      <w:color w:val="auto"/>
                      <w:sz w:val="21"/>
                      <w:szCs w:val="21"/>
                      <w:highlight w:val="none"/>
                      <w:vertAlign w:val="superscript"/>
                      <w:lang w:eastAsia="zh-CN"/>
                    </w:rPr>
                    <w:t>3</w:t>
                  </w:r>
                  <w:r>
                    <w:rPr>
                      <w:rFonts w:hint="default" w:ascii="Times New Roman" w:hAnsi="Times New Roman" w:eastAsia="宋体" w:cs="Times New Roman"/>
                      <w:b/>
                      <w:bCs/>
                      <w:color w:val="auto"/>
                      <w:spacing w:val="3"/>
                      <w:sz w:val="21"/>
                      <w:szCs w:val="21"/>
                      <w:highlight w:val="none"/>
                      <w:lang w:eastAsia="zh-CN"/>
                    </w:rPr>
                    <w:t>）</w:t>
                  </w:r>
                </w:p>
              </w:tc>
            </w:tr>
            <w:tr w14:paraId="27AAE8D7">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611" w:type="dxa"/>
                  <w:tcBorders>
                    <w:tl2br w:val="nil"/>
                    <w:tr2bl w:val="nil"/>
                  </w:tcBorders>
                  <w:vAlign w:val="center"/>
                </w:tcPr>
                <w:p w14:paraId="37EB2CE6">
                  <w:pPr>
                    <w:pStyle w:val="49"/>
                    <w:spacing w:before="33" w:line="216" w:lineRule="auto"/>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pacing w:val="6"/>
                      <w:sz w:val="21"/>
                      <w:szCs w:val="21"/>
                      <w:highlight w:val="none"/>
                      <w:lang w:val="en-US" w:eastAsia="zh-CN"/>
                    </w:rPr>
                    <w:t>现状</w:t>
                  </w:r>
                  <w:r>
                    <w:rPr>
                      <w:rFonts w:hint="default" w:ascii="Times New Roman" w:hAnsi="Times New Roman" w:eastAsia="宋体" w:cs="Times New Roman"/>
                      <w:b w:val="0"/>
                      <w:bCs w:val="0"/>
                      <w:color w:val="auto"/>
                      <w:spacing w:val="6"/>
                      <w:sz w:val="21"/>
                      <w:szCs w:val="21"/>
                      <w:highlight w:val="none"/>
                      <w:lang w:eastAsia="zh-CN"/>
                    </w:rPr>
                    <w:t>浓度</w:t>
                  </w:r>
                </w:p>
              </w:tc>
              <w:tc>
                <w:tcPr>
                  <w:tcW w:w="1611" w:type="dxa"/>
                  <w:tcBorders>
                    <w:tl2br w:val="nil"/>
                    <w:tr2bl w:val="nil"/>
                  </w:tcBorders>
                  <w:vAlign w:val="center"/>
                </w:tcPr>
                <w:p w14:paraId="6B544503">
                  <w:pPr>
                    <w:spacing w:before="68" w:line="195" w:lineRule="auto"/>
                    <w:jc w:val="center"/>
                    <w:rPr>
                      <w:rFonts w:hint="default" w:ascii="Times New Roman" w:hAnsi="Times New Roman" w:eastAsia="宋体" w:cs="Times New Roman"/>
                      <w:b w:val="0"/>
                      <w:bCs w:val="0"/>
                      <w:color w:val="auto"/>
                      <w:szCs w:val="21"/>
                      <w:highlight w:val="none"/>
                      <w:lang w:eastAsia="zh-CN"/>
                    </w:rPr>
                  </w:pPr>
                  <w:r>
                    <w:rPr>
                      <w:rFonts w:hint="eastAsia" w:cs="Times New Roman"/>
                      <w:b w:val="0"/>
                      <w:bCs w:val="0"/>
                      <w:color w:val="auto"/>
                      <w:szCs w:val="21"/>
                      <w:highlight w:val="none"/>
                      <w:lang w:val="en-US" w:eastAsia="zh-CN"/>
                    </w:rPr>
                    <w:t>3</w:t>
                  </w:r>
                </w:p>
              </w:tc>
              <w:tc>
                <w:tcPr>
                  <w:tcW w:w="1611" w:type="dxa"/>
                  <w:tcBorders>
                    <w:tl2br w:val="nil"/>
                    <w:tr2bl w:val="nil"/>
                  </w:tcBorders>
                  <w:vAlign w:val="center"/>
                </w:tcPr>
                <w:p w14:paraId="6A4EA0E2">
                  <w:pPr>
                    <w:spacing w:before="68" w:line="195" w:lineRule="auto"/>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30</w:t>
                  </w:r>
                </w:p>
              </w:tc>
              <w:tc>
                <w:tcPr>
                  <w:tcW w:w="1611" w:type="dxa"/>
                  <w:tcBorders>
                    <w:tl2br w:val="nil"/>
                    <w:tr2bl w:val="nil"/>
                  </w:tcBorders>
                  <w:vAlign w:val="center"/>
                </w:tcPr>
                <w:p w14:paraId="6D6459C7">
                  <w:pPr>
                    <w:spacing w:before="68" w:line="195" w:lineRule="auto"/>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60</w:t>
                  </w:r>
                </w:p>
              </w:tc>
              <w:tc>
                <w:tcPr>
                  <w:tcW w:w="1614" w:type="dxa"/>
                  <w:tcBorders>
                    <w:tl2br w:val="nil"/>
                    <w:tr2bl w:val="nil"/>
                  </w:tcBorders>
                  <w:vAlign w:val="center"/>
                </w:tcPr>
                <w:p w14:paraId="4A64486D">
                  <w:pPr>
                    <w:spacing w:before="68" w:line="195" w:lineRule="auto"/>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33.9</w:t>
                  </w:r>
                </w:p>
              </w:tc>
            </w:tr>
            <w:tr w14:paraId="6242348D">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0" w:hRule="atLeast"/>
                <w:jc w:val="center"/>
              </w:trPr>
              <w:tc>
                <w:tcPr>
                  <w:tcW w:w="1611" w:type="dxa"/>
                  <w:tcBorders>
                    <w:tl2br w:val="nil"/>
                    <w:tr2bl w:val="nil"/>
                  </w:tcBorders>
                  <w:vAlign w:val="center"/>
                </w:tcPr>
                <w:p w14:paraId="0944C9BD">
                  <w:pPr>
                    <w:pStyle w:val="49"/>
                    <w:spacing w:before="33" w:line="216" w:lineRule="auto"/>
                    <w:jc w:val="center"/>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平均时间</w:t>
                  </w:r>
                </w:p>
              </w:tc>
              <w:tc>
                <w:tcPr>
                  <w:tcW w:w="1611" w:type="dxa"/>
                  <w:tcBorders>
                    <w:tl2br w:val="nil"/>
                    <w:tr2bl w:val="nil"/>
                  </w:tcBorders>
                  <w:vAlign w:val="center"/>
                </w:tcPr>
                <w:p w14:paraId="000ABF8D">
                  <w:pPr>
                    <w:spacing w:before="68" w:line="195" w:lineRule="auto"/>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rPr>
                    <w:t>年均值</w:t>
                  </w:r>
                </w:p>
              </w:tc>
              <w:tc>
                <w:tcPr>
                  <w:tcW w:w="1611" w:type="dxa"/>
                  <w:tcBorders>
                    <w:tl2br w:val="nil"/>
                    <w:tr2bl w:val="nil"/>
                  </w:tcBorders>
                  <w:vAlign w:val="center"/>
                </w:tcPr>
                <w:p w14:paraId="756468AB">
                  <w:pPr>
                    <w:spacing w:before="68" w:line="195" w:lineRule="auto"/>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rPr>
                    <w:t>年均值</w:t>
                  </w:r>
                </w:p>
              </w:tc>
              <w:tc>
                <w:tcPr>
                  <w:tcW w:w="1611" w:type="dxa"/>
                  <w:tcBorders>
                    <w:tl2br w:val="nil"/>
                    <w:tr2bl w:val="nil"/>
                  </w:tcBorders>
                  <w:vAlign w:val="center"/>
                </w:tcPr>
                <w:p w14:paraId="46919B0B">
                  <w:pPr>
                    <w:spacing w:before="68" w:line="195" w:lineRule="auto"/>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pacing w:val="2"/>
                      <w:szCs w:val="21"/>
                      <w:highlight w:val="none"/>
                      <w:lang w:val="en-US" w:eastAsia="zh-CN"/>
                    </w:rPr>
                    <w:t>24小时平均</w:t>
                  </w:r>
                </w:p>
              </w:tc>
              <w:tc>
                <w:tcPr>
                  <w:tcW w:w="1614" w:type="dxa"/>
                  <w:tcBorders>
                    <w:tl2br w:val="nil"/>
                    <w:tr2bl w:val="nil"/>
                  </w:tcBorders>
                  <w:vAlign w:val="center"/>
                </w:tcPr>
                <w:p w14:paraId="0B9E428A">
                  <w:pPr>
                    <w:spacing w:before="68" w:line="195" w:lineRule="auto"/>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pacing w:val="2"/>
                      <w:szCs w:val="21"/>
                      <w:highlight w:val="none"/>
                      <w:lang w:val="en-US" w:eastAsia="zh-CN"/>
                    </w:rPr>
                    <w:t>24小时平均</w:t>
                  </w:r>
                </w:p>
              </w:tc>
            </w:tr>
            <w:tr w14:paraId="4777F29F">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9" w:hRule="atLeast"/>
                <w:jc w:val="center"/>
              </w:trPr>
              <w:tc>
                <w:tcPr>
                  <w:tcW w:w="1611" w:type="dxa"/>
                  <w:tcBorders>
                    <w:tl2br w:val="nil"/>
                    <w:tr2bl w:val="nil"/>
                  </w:tcBorders>
                  <w:vAlign w:val="center"/>
                </w:tcPr>
                <w:p w14:paraId="2948021E">
                  <w:pPr>
                    <w:pStyle w:val="49"/>
                    <w:spacing w:before="34" w:line="214" w:lineRule="auto"/>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pacing w:val="6"/>
                      <w:sz w:val="21"/>
                      <w:szCs w:val="21"/>
                      <w:highlight w:val="none"/>
                      <w:lang w:eastAsia="zh-CN"/>
                    </w:rPr>
                    <w:t>标准值</w:t>
                  </w:r>
                </w:p>
              </w:tc>
              <w:tc>
                <w:tcPr>
                  <w:tcW w:w="1611" w:type="dxa"/>
                  <w:tcBorders>
                    <w:tl2br w:val="nil"/>
                    <w:tr2bl w:val="nil"/>
                  </w:tcBorders>
                  <w:vAlign w:val="center"/>
                </w:tcPr>
                <w:p w14:paraId="4400BC4D">
                  <w:pPr>
                    <w:spacing w:before="70" w:line="195" w:lineRule="auto"/>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60</w:t>
                  </w:r>
                </w:p>
              </w:tc>
              <w:tc>
                <w:tcPr>
                  <w:tcW w:w="1611" w:type="dxa"/>
                  <w:tcBorders>
                    <w:tl2br w:val="nil"/>
                    <w:tr2bl w:val="nil"/>
                  </w:tcBorders>
                  <w:vAlign w:val="center"/>
                </w:tcPr>
                <w:p w14:paraId="5D89B6AC">
                  <w:pPr>
                    <w:spacing w:before="70" w:line="195" w:lineRule="auto"/>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pacing w:val="3"/>
                      <w:szCs w:val="21"/>
                      <w:highlight w:val="none"/>
                    </w:rPr>
                    <w:t>40</w:t>
                  </w:r>
                </w:p>
              </w:tc>
              <w:tc>
                <w:tcPr>
                  <w:tcW w:w="1611" w:type="dxa"/>
                  <w:tcBorders>
                    <w:tl2br w:val="nil"/>
                    <w:tr2bl w:val="nil"/>
                  </w:tcBorders>
                  <w:vAlign w:val="center"/>
                </w:tcPr>
                <w:p w14:paraId="443C8AD5">
                  <w:pPr>
                    <w:spacing w:before="70" w:line="195" w:lineRule="auto"/>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pacing w:val="1"/>
                      <w:szCs w:val="21"/>
                      <w:highlight w:val="none"/>
                    </w:rPr>
                    <w:t>70</w:t>
                  </w:r>
                </w:p>
              </w:tc>
              <w:tc>
                <w:tcPr>
                  <w:tcW w:w="1614" w:type="dxa"/>
                  <w:tcBorders>
                    <w:tl2br w:val="nil"/>
                    <w:tr2bl w:val="nil"/>
                  </w:tcBorders>
                  <w:vAlign w:val="center"/>
                </w:tcPr>
                <w:p w14:paraId="49689C3B">
                  <w:pPr>
                    <w:spacing w:before="70" w:line="195" w:lineRule="auto"/>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35</w:t>
                  </w:r>
                </w:p>
              </w:tc>
            </w:tr>
            <w:tr w14:paraId="7087835C">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611" w:type="dxa"/>
                  <w:tcBorders>
                    <w:tl2br w:val="nil"/>
                    <w:tr2bl w:val="nil"/>
                  </w:tcBorders>
                  <w:vAlign w:val="center"/>
                </w:tcPr>
                <w:p w14:paraId="44D061EA">
                  <w:pPr>
                    <w:pStyle w:val="49"/>
                    <w:spacing w:before="36" w:line="216"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pacing w:val="7"/>
                      <w:sz w:val="21"/>
                      <w:szCs w:val="21"/>
                      <w:highlight w:val="none"/>
                      <w:lang w:val="en-US" w:eastAsia="zh-CN"/>
                    </w:rPr>
                    <w:t>达标情况</w:t>
                  </w:r>
                </w:p>
              </w:tc>
              <w:tc>
                <w:tcPr>
                  <w:tcW w:w="1611" w:type="dxa"/>
                  <w:tcBorders>
                    <w:tl2br w:val="nil"/>
                    <w:tr2bl w:val="nil"/>
                  </w:tcBorders>
                  <w:vAlign w:val="center"/>
                </w:tcPr>
                <w:p w14:paraId="2C76A57D">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达标</w:t>
                  </w:r>
                </w:p>
              </w:tc>
              <w:tc>
                <w:tcPr>
                  <w:tcW w:w="1611" w:type="dxa"/>
                  <w:tcBorders>
                    <w:tl2br w:val="nil"/>
                    <w:tr2bl w:val="nil"/>
                  </w:tcBorders>
                  <w:vAlign w:val="center"/>
                </w:tcPr>
                <w:p w14:paraId="5C043DE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达标</w:t>
                  </w:r>
                </w:p>
              </w:tc>
              <w:tc>
                <w:tcPr>
                  <w:tcW w:w="1611" w:type="dxa"/>
                  <w:tcBorders>
                    <w:tl2br w:val="nil"/>
                    <w:tr2bl w:val="nil"/>
                  </w:tcBorders>
                  <w:vAlign w:val="center"/>
                </w:tcPr>
                <w:p w14:paraId="16C9DA6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达标</w:t>
                  </w:r>
                </w:p>
              </w:tc>
              <w:tc>
                <w:tcPr>
                  <w:tcW w:w="1614" w:type="dxa"/>
                  <w:tcBorders>
                    <w:tl2br w:val="nil"/>
                    <w:tr2bl w:val="nil"/>
                  </w:tcBorders>
                  <w:vAlign w:val="center"/>
                </w:tcPr>
                <w:p w14:paraId="0A242263">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达标</w:t>
                  </w:r>
                </w:p>
              </w:tc>
            </w:tr>
          </w:tbl>
          <w:p w14:paraId="757675FB">
            <w:pPr>
              <w:numPr>
                <w:ilvl w:val="0"/>
                <w:numId w:val="0"/>
              </w:numPr>
              <w:ind w:leftChars="0"/>
              <w:jc w:val="both"/>
              <w:rPr>
                <w:rFonts w:hint="default" w:ascii="Times New Roman" w:hAnsi="Times New Roman" w:eastAsia="宋体" w:cs="Times New Roman"/>
                <w:b/>
                <w:bCs/>
                <w:color w:val="auto"/>
                <w:sz w:val="24"/>
                <w:highlight w:val="none"/>
              </w:rPr>
            </w:pPr>
          </w:p>
          <w:p w14:paraId="45CC6BB2">
            <w:pPr>
              <w:numPr>
                <w:ilvl w:val="0"/>
                <w:numId w:val="31"/>
              </w:num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北京市202</w:t>
            </w: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年环境空气质量数据</w:t>
            </w:r>
          </w:p>
          <w:tbl>
            <w:tblPr>
              <w:tblStyle w:val="50"/>
              <w:tblW w:w="8008" w:type="dxa"/>
              <w:tblInd w:w="4" w:type="dxa"/>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021"/>
              <w:gridCol w:w="949"/>
              <w:gridCol w:w="1080"/>
              <w:gridCol w:w="1003"/>
              <w:gridCol w:w="1157"/>
              <w:gridCol w:w="1631"/>
              <w:gridCol w:w="1167"/>
            </w:tblGrid>
            <w:tr w14:paraId="6DFCBCDD">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021" w:type="dxa"/>
                  <w:tcBorders>
                    <w:tl2br w:val="nil"/>
                    <w:tr2bl w:val="nil"/>
                  </w:tcBorders>
                  <w:vAlign w:val="center"/>
                </w:tcPr>
                <w:p w14:paraId="4E4C75B0">
                  <w:pPr>
                    <w:pStyle w:val="4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2"/>
                      <w:sz w:val="21"/>
                      <w:szCs w:val="21"/>
                      <w:highlight w:val="none"/>
                    </w:rPr>
                    <w:t>项目</w:t>
                  </w:r>
                </w:p>
              </w:tc>
              <w:tc>
                <w:tcPr>
                  <w:tcW w:w="949" w:type="dxa"/>
                  <w:tcBorders>
                    <w:tl2br w:val="nil"/>
                    <w:tr2bl w:val="nil"/>
                  </w:tcBorders>
                  <w:vAlign w:val="center"/>
                </w:tcPr>
                <w:p w14:paraId="664BBB99">
                  <w:pPr>
                    <w:jc w:val="center"/>
                    <w:rPr>
                      <w:rFonts w:hint="default" w:ascii="Times New Roman" w:hAnsi="Times New Roman" w:eastAsia="宋体" w:cs="Times New Roman"/>
                      <w:b/>
                      <w:bCs/>
                      <w:color w:val="auto"/>
                      <w:spacing w:val="6"/>
                      <w:position w:val="-1"/>
                      <w:szCs w:val="21"/>
                      <w:highlight w:val="none"/>
                    </w:rPr>
                  </w:pPr>
                  <w:r>
                    <w:rPr>
                      <w:rFonts w:hint="default" w:ascii="Times New Roman" w:hAnsi="Times New Roman" w:eastAsia="宋体" w:cs="Times New Roman"/>
                      <w:b/>
                      <w:bCs/>
                      <w:color w:val="auto"/>
                      <w:szCs w:val="21"/>
                      <w:highlight w:val="none"/>
                    </w:rPr>
                    <w:t>SO</w:t>
                  </w:r>
                  <w:r>
                    <w:rPr>
                      <w:rFonts w:hint="default" w:ascii="Times New Roman" w:hAnsi="Times New Roman" w:eastAsia="宋体" w:cs="Times New Roman"/>
                      <w:b/>
                      <w:bCs/>
                      <w:color w:val="auto"/>
                      <w:spacing w:val="6"/>
                      <w:position w:val="-1"/>
                      <w:szCs w:val="21"/>
                      <w:highlight w:val="none"/>
                      <w:vertAlign w:val="subscript"/>
                    </w:rPr>
                    <w:t>2</w:t>
                  </w:r>
                </w:p>
                <w:p w14:paraId="0268D48C">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pacing w:val="3"/>
                      <w:szCs w:val="21"/>
                      <w:highlight w:val="none"/>
                    </w:rPr>
                    <w:t>(μg/m</w:t>
                  </w:r>
                  <w:r>
                    <w:rPr>
                      <w:rFonts w:hint="default" w:ascii="Times New Roman" w:hAnsi="Times New Roman" w:eastAsia="宋体" w:cs="Times New Roman"/>
                      <w:b/>
                      <w:bCs/>
                      <w:color w:val="auto"/>
                      <w:szCs w:val="21"/>
                      <w:highlight w:val="none"/>
                      <w:vertAlign w:val="superscript"/>
                    </w:rPr>
                    <w:t>3</w:t>
                  </w:r>
                  <w:r>
                    <w:rPr>
                      <w:rFonts w:hint="default" w:ascii="Times New Roman" w:hAnsi="Times New Roman" w:eastAsia="宋体" w:cs="Times New Roman"/>
                      <w:b/>
                      <w:bCs/>
                      <w:color w:val="auto"/>
                      <w:spacing w:val="3"/>
                      <w:szCs w:val="21"/>
                      <w:highlight w:val="none"/>
                    </w:rPr>
                    <w:t>)</w:t>
                  </w:r>
                </w:p>
              </w:tc>
              <w:tc>
                <w:tcPr>
                  <w:tcW w:w="1080" w:type="dxa"/>
                  <w:tcBorders>
                    <w:tl2br w:val="nil"/>
                    <w:tr2bl w:val="nil"/>
                  </w:tcBorders>
                  <w:vAlign w:val="center"/>
                </w:tcPr>
                <w:p w14:paraId="0AAEAAEC">
                  <w:pPr>
                    <w:jc w:val="center"/>
                    <w:rPr>
                      <w:rFonts w:hint="default" w:ascii="Times New Roman" w:hAnsi="Times New Roman" w:eastAsia="宋体" w:cs="Times New Roman"/>
                      <w:b/>
                      <w:bCs/>
                      <w:color w:val="auto"/>
                      <w:spacing w:val="14"/>
                      <w:position w:val="-1"/>
                      <w:szCs w:val="21"/>
                      <w:highlight w:val="none"/>
                    </w:rPr>
                  </w:pPr>
                  <w:r>
                    <w:rPr>
                      <w:rFonts w:hint="default" w:ascii="Times New Roman" w:hAnsi="Times New Roman" w:eastAsia="宋体" w:cs="Times New Roman"/>
                      <w:b/>
                      <w:bCs/>
                      <w:color w:val="auto"/>
                      <w:szCs w:val="21"/>
                      <w:highlight w:val="none"/>
                    </w:rPr>
                    <w:t>NO</w:t>
                  </w:r>
                  <w:r>
                    <w:rPr>
                      <w:rFonts w:hint="default" w:ascii="Times New Roman" w:hAnsi="Times New Roman" w:eastAsia="宋体" w:cs="Times New Roman"/>
                      <w:b/>
                      <w:bCs/>
                      <w:color w:val="auto"/>
                      <w:spacing w:val="14"/>
                      <w:position w:val="-1"/>
                      <w:szCs w:val="21"/>
                      <w:highlight w:val="none"/>
                      <w:vertAlign w:val="subscript"/>
                    </w:rPr>
                    <w:t>2</w:t>
                  </w:r>
                </w:p>
                <w:p w14:paraId="69DFCBB8">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pacing w:val="2"/>
                      <w:szCs w:val="21"/>
                      <w:highlight w:val="none"/>
                    </w:rPr>
                    <w:t>(μg/m</w:t>
                  </w:r>
                  <w:r>
                    <w:rPr>
                      <w:rFonts w:hint="default" w:ascii="Times New Roman" w:hAnsi="Times New Roman" w:eastAsia="宋体" w:cs="Times New Roman"/>
                      <w:b/>
                      <w:bCs/>
                      <w:color w:val="auto"/>
                      <w:szCs w:val="21"/>
                      <w:highlight w:val="none"/>
                      <w:vertAlign w:val="superscript"/>
                    </w:rPr>
                    <w:t>3</w:t>
                  </w:r>
                  <w:r>
                    <w:rPr>
                      <w:rFonts w:hint="default" w:ascii="Times New Roman" w:hAnsi="Times New Roman" w:eastAsia="宋体" w:cs="Times New Roman"/>
                      <w:b/>
                      <w:bCs/>
                      <w:color w:val="auto"/>
                      <w:spacing w:val="2"/>
                      <w:szCs w:val="21"/>
                      <w:highlight w:val="none"/>
                    </w:rPr>
                    <w:t>)</w:t>
                  </w:r>
                </w:p>
              </w:tc>
              <w:tc>
                <w:tcPr>
                  <w:tcW w:w="1003" w:type="dxa"/>
                  <w:tcBorders>
                    <w:tl2br w:val="nil"/>
                    <w:tr2bl w:val="nil"/>
                  </w:tcBorders>
                  <w:vAlign w:val="center"/>
                </w:tcPr>
                <w:p w14:paraId="49973437">
                  <w:pPr>
                    <w:pStyle w:val="49"/>
                    <w:jc w:val="center"/>
                    <w:rPr>
                      <w:rFonts w:hint="default" w:ascii="Times New Roman" w:hAnsi="Times New Roman" w:eastAsia="宋体" w:cs="Times New Roman"/>
                      <w:b/>
                      <w:bCs/>
                      <w:color w:val="auto"/>
                      <w:spacing w:val="9"/>
                      <w:position w:val="-1"/>
                      <w:sz w:val="21"/>
                      <w:szCs w:val="21"/>
                      <w:highlight w:val="none"/>
                    </w:rPr>
                  </w:pPr>
                  <w:r>
                    <w:rPr>
                      <w:rFonts w:hint="default" w:ascii="Times New Roman" w:hAnsi="Times New Roman" w:eastAsia="宋体" w:cs="Times New Roman"/>
                      <w:b/>
                      <w:bCs/>
                      <w:color w:val="auto"/>
                      <w:sz w:val="21"/>
                      <w:szCs w:val="21"/>
                      <w:highlight w:val="none"/>
                    </w:rPr>
                    <w:t>PM</w:t>
                  </w:r>
                  <w:r>
                    <w:rPr>
                      <w:rFonts w:hint="default" w:ascii="Times New Roman" w:hAnsi="Times New Roman" w:eastAsia="宋体" w:cs="Times New Roman"/>
                      <w:b/>
                      <w:bCs/>
                      <w:color w:val="auto"/>
                      <w:spacing w:val="9"/>
                      <w:position w:val="-1"/>
                      <w:sz w:val="21"/>
                      <w:szCs w:val="21"/>
                      <w:highlight w:val="none"/>
                      <w:vertAlign w:val="subscript"/>
                    </w:rPr>
                    <w:t>10</w:t>
                  </w:r>
                </w:p>
                <w:p w14:paraId="48BAFF7E">
                  <w:pPr>
                    <w:pStyle w:val="4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(μg/m</w:t>
                  </w:r>
                  <w:r>
                    <w:rPr>
                      <w:rFonts w:hint="default" w:ascii="Times New Roman" w:hAnsi="Times New Roman" w:eastAsia="宋体" w:cs="Times New Roman"/>
                      <w:b/>
                      <w:bCs/>
                      <w:color w:val="auto"/>
                      <w:sz w:val="21"/>
                      <w:szCs w:val="21"/>
                      <w:highlight w:val="none"/>
                      <w:vertAlign w:val="superscript"/>
                      <w:lang w:eastAsia="zh-CN"/>
                    </w:rPr>
                    <w:t>3</w:t>
                  </w:r>
                  <w:r>
                    <w:rPr>
                      <w:rFonts w:hint="default" w:ascii="Times New Roman" w:hAnsi="Times New Roman" w:eastAsia="宋体" w:cs="Times New Roman"/>
                      <w:b/>
                      <w:bCs/>
                      <w:color w:val="auto"/>
                      <w:sz w:val="21"/>
                      <w:szCs w:val="21"/>
                      <w:highlight w:val="none"/>
                    </w:rPr>
                    <w:t>）</w:t>
                  </w:r>
                </w:p>
              </w:tc>
              <w:tc>
                <w:tcPr>
                  <w:tcW w:w="1157" w:type="dxa"/>
                  <w:tcBorders>
                    <w:tl2br w:val="nil"/>
                    <w:tr2bl w:val="nil"/>
                  </w:tcBorders>
                  <w:vAlign w:val="center"/>
                </w:tcPr>
                <w:p w14:paraId="48E852A0">
                  <w:pPr>
                    <w:pStyle w:val="49"/>
                    <w:jc w:val="center"/>
                    <w:rPr>
                      <w:rFonts w:hint="default" w:ascii="Times New Roman" w:hAnsi="Times New Roman" w:eastAsia="宋体" w:cs="Times New Roman"/>
                      <w:b/>
                      <w:bCs/>
                      <w:color w:val="auto"/>
                      <w:spacing w:val="6"/>
                      <w:position w:val="-1"/>
                      <w:sz w:val="21"/>
                      <w:szCs w:val="21"/>
                      <w:highlight w:val="none"/>
                    </w:rPr>
                  </w:pPr>
                  <w:r>
                    <w:rPr>
                      <w:rFonts w:hint="default" w:ascii="Times New Roman" w:hAnsi="Times New Roman" w:eastAsia="宋体" w:cs="Times New Roman"/>
                      <w:b/>
                      <w:bCs/>
                      <w:color w:val="auto"/>
                      <w:sz w:val="21"/>
                      <w:szCs w:val="21"/>
                      <w:highlight w:val="none"/>
                    </w:rPr>
                    <w:t>PM</w:t>
                  </w:r>
                  <w:r>
                    <w:rPr>
                      <w:rFonts w:hint="default" w:ascii="Times New Roman" w:hAnsi="Times New Roman" w:eastAsia="宋体" w:cs="Times New Roman"/>
                      <w:b/>
                      <w:bCs/>
                      <w:color w:val="auto"/>
                      <w:spacing w:val="6"/>
                      <w:position w:val="-1"/>
                      <w:sz w:val="21"/>
                      <w:szCs w:val="21"/>
                      <w:highlight w:val="none"/>
                      <w:vertAlign w:val="subscript"/>
                    </w:rPr>
                    <w:t>2.5</w:t>
                  </w:r>
                </w:p>
                <w:p w14:paraId="13B69367">
                  <w:pPr>
                    <w:pStyle w:val="4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(μg/m</w:t>
                  </w:r>
                  <w:r>
                    <w:rPr>
                      <w:rFonts w:hint="default" w:ascii="Times New Roman" w:hAnsi="Times New Roman" w:eastAsia="宋体" w:cs="Times New Roman"/>
                      <w:b/>
                      <w:bCs/>
                      <w:color w:val="auto"/>
                      <w:sz w:val="21"/>
                      <w:szCs w:val="21"/>
                      <w:highlight w:val="none"/>
                      <w:vertAlign w:val="superscript"/>
                      <w:lang w:eastAsia="zh-CN"/>
                    </w:rPr>
                    <w:t>3</w:t>
                  </w:r>
                  <w:r>
                    <w:rPr>
                      <w:rFonts w:hint="default" w:ascii="Times New Roman" w:hAnsi="Times New Roman" w:eastAsia="宋体" w:cs="Times New Roman"/>
                      <w:b/>
                      <w:bCs/>
                      <w:color w:val="auto"/>
                      <w:sz w:val="21"/>
                      <w:szCs w:val="21"/>
                      <w:highlight w:val="none"/>
                    </w:rPr>
                    <w:t>）</w:t>
                  </w:r>
                </w:p>
              </w:tc>
              <w:tc>
                <w:tcPr>
                  <w:tcW w:w="1631" w:type="dxa"/>
                  <w:tcBorders>
                    <w:tl2br w:val="nil"/>
                    <w:tr2bl w:val="nil"/>
                  </w:tcBorders>
                  <w:vAlign w:val="center"/>
                </w:tcPr>
                <w:p w14:paraId="5E4190A3">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CO</w:t>
                  </w:r>
                  <w:r>
                    <w:rPr>
                      <w:rFonts w:hint="default" w:ascii="Times New Roman" w:hAnsi="Times New Roman" w:eastAsia="宋体" w:cs="Times New Roman"/>
                      <w:b/>
                      <w:bCs/>
                      <w:color w:val="auto"/>
                      <w:spacing w:val="7"/>
                      <w:szCs w:val="21"/>
                      <w:highlight w:val="none"/>
                    </w:rPr>
                    <w:t>-24h-95</w:t>
                  </w:r>
                  <w:r>
                    <w:rPr>
                      <w:rFonts w:hint="default" w:ascii="Times New Roman" w:hAnsi="Times New Roman" w:eastAsia="宋体" w:cs="Times New Roman"/>
                      <w:b/>
                      <w:bCs/>
                      <w:color w:val="auto"/>
                      <w:szCs w:val="21"/>
                      <w:highlight w:val="none"/>
                    </w:rPr>
                    <w:t>per</w:t>
                  </w:r>
                </w:p>
                <w:p w14:paraId="14569C3A">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pacing w:val="1"/>
                      <w:szCs w:val="21"/>
                      <w:highlight w:val="none"/>
                    </w:rPr>
                    <w:t>(μg/m</w:t>
                  </w:r>
                  <w:r>
                    <w:rPr>
                      <w:rFonts w:hint="default" w:ascii="Times New Roman" w:hAnsi="Times New Roman" w:eastAsia="宋体" w:cs="Times New Roman"/>
                      <w:b/>
                      <w:bCs/>
                      <w:color w:val="auto"/>
                      <w:szCs w:val="21"/>
                      <w:highlight w:val="none"/>
                      <w:vertAlign w:val="superscript"/>
                    </w:rPr>
                    <w:t>3</w:t>
                  </w:r>
                  <w:r>
                    <w:rPr>
                      <w:rFonts w:hint="default" w:ascii="Times New Roman" w:hAnsi="Times New Roman" w:eastAsia="宋体" w:cs="Times New Roman"/>
                      <w:b/>
                      <w:bCs/>
                      <w:color w:val="auto"/>
                      <w:spacing w:val="1"/>
                      <w:szCs w:val="21"/>
                      <w:highlight w:val="none"/>
                    </w:rPr>
                    <w:t>）</w:t>
                  </w:r>
                </w:p>
              </w:tc>
              <w:tc>
                <w:tcPr>
                  <w:tcW w:w="1167" w:type="dxa"/>
                  <w:tcBorders>
                    <w:tl2br w:val="nil"/>
                    <w:tr2bl w:val="nil"/>
                  </w:tcBorders>
                  <w:vAlign w:val="center"/>
                </w:tcPr>
                <w:p w14:paraId="59B41CD5">
                  <w:pPr>
                    <w:pStyle w:val="49"/>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pacing w:val="5"/>
                      <w:sz w:val="21"/>
                      <w:szCs w:val="21"/>
                      <w:highlight w:val="none"/>
                      <w:lang w:eastAsia="zh-CN"/>
                    </w:rPr>
                    <w:t>O</w:t>
                  </w:r>
                  <w:r>
                    <w:rPr>
                      <w:rFonts w:hint="default" w:ascii="Times New Roman" w:hAnsi="Times New Roman" w:eastAsia="宋体" w:cs="Times New Roman"/>
                      <w:b/>
                      <w:bCs/>
                      <w:color w:val="auto"/>
                      <w:spacing w:val="5"/>
                      <w:sz w:val="21"/>
                      <w:szCs w:val="21"/>
                      <w:highlight w:val="none"/>
                      <w:vertAlign w:val="subscript"/>
                      <w:lang w:eastAsia="zh-CN"/>
                    </w:rPr>
                    <w:t>3</w:t>
                  </w:r>
                  <w:r>
                    <w:rPr>
                      <w:rFonts w:hint="default" w:ascii="Times New Roman" w:hAnsi="Times New Roman" w:eastAsia="宋体" w:cs="Times New Roman"/>
                      <w:b/>
                      <w:bCs/>
                      <w:color w:val="auto"/>
                      <w:spacing w:val="5"/>
                      <w:sz w:val="21"/>
                      <w:szCs w:val="21"/>
                      <w:highlight w:val="none"/>
                      <w:lang w:eastAsia="zh-CN"/>
                    </w:rPr>
                    <w:t>-8h-90</w:t>
                  </w:r>
                  <w:r>
                    <w:rPr>
                      <w:rFonts w:hint="default" w:ascii="Times New Roman" w:hAnsi="Times New Roman" w:eastAsia="宋体" w:cs="Times New Roman"/>
                      <w:b/>
                      <w:bCs/>
                      <w:color w:val="auto"/>
                      <w:sz w:val="21"/>
                      <w:szCs w:val="21"/>
                      <w:highlight w:val="none"/>
                      <w:lang w:eastAsia="zh-CN"/>
                    </w:rPr>
                    <w:t>per</w:t>
                  </w:r>
                </w:p>
                <w:p w14:paraId="6DC30752">
                  <w:pPr>
                    <w:pStyle w:val="49"/>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pacing w:val="1"/>
                      <w:sz w:val="21"/>
                      <w:szCs w:val="21"/>
                      <w:highlight w:val="none"/>
                      <w:lang w:eastAsia="zh-CN"/>
                    </w:rPr>
                    <w:t>(</w:t>
                  </w:r>
                  <w:r>
                    <w:rPr>
                      <w:rFonts w:hint="default" w:ascii="Times New Roman" w:hAnsi="Times New Roman" w:eastAsia="宋体" w:cs="Times New Roman"/>
                      <w:b/>
                      <w:bCs/>
                      <w:color w:val="auto"/>
                      <w:spacing w:val="1"/>
                      <w:sz w:val="21"/>
                      <w:szCs w:val="21"/>
                      <w:highlight w:val="none"/>
                    </w:rPr>
                    <w:t>μ</w:t>
                  </w:r>
                  <w:r>
                    <w:rPr>
                      <w:rFonts w:hint="default" w:ascii="Times New Roman" w:hAnsi="Times New Roman" w:eastAsia="宋体" w:cs="Times New Roman"/>
                      <w:b/>
                      <w:bCs/>
                      <w:color w:val="auto"/>
                      <w:spacing w:val="1"/>
                      <w:sz w:val="21"/>
                      <w:szCs w:val="21"/>
                      <w:highlight w:val="none"/>
                      <w:lang w:eastAsia="zh-CN"/>
                    </w:rPr>
                    <w:t>g/m</w:t>
                  </w:r>
                  <w:r>
                    <w:rPr>
                      <w:rFonts w:hint="default" w:ascii="Times New Roman" w:hAnsi="Times New Roman" w:eastAsia="宋体" w:cs="Times New Roman"/>
                      <w:b/>
                      <w:bCs/>
                      <w:color w:val="auto"/>
                      <w:sz w:val="21"/>
                      <w:szCs w:val="21"/>
                      <w:highlight w:val="none"/>
                      <w:vertAlign w:val="superscript"/>
                      <w:lang w:eastAsia="zh-CN"/>
                    </w:rPr>
                    <w:t>3</w:t>
                  </w:r>
                  <w:r>
                    <w:rPr>
                      <w:rFonts w:hint="default" w:ascii="Times New Roman" w:hAnsi="Times New Roman" w:eastAsia="宋体" w:cs="Times New Roman"/>
                      <w:b/>
                      <w:bCs/>
                      <w:color w:val="auto"/>
                      <w:spacing w:val="1"/>
                      <w:sz w:val="21"/>
                      <w:szCs w:val="21"/>
                      <w:highlight w:val="none"/>
                      <w:lang w:eastAsia="zh-CN"/>
                    </w:rPr>
                    <w:t>）</w:t>
                  </w:r>
                </w:p>
              </w:tc>
            </w:tr>
            <w:tr w14:paraId="5D5C6A57">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1021" w:type="dxa"/>
                  <w:tcBorders>
                    <w:tl2br w:val="nil"/>
                    <w:tr2bl w:val="nil"/>
                  </w:tcBorders>
                  <w:vAlign w:val="center"/>
                </w:tcPr>
                <w:p w14:paraId="13E64FAB">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现状浓度</w:t>
                  </w:r>
                </w:p>
              </w:tc>
              <w:tc>
                <w:tcPr>
                  <w:tcW w:w="949" w:type="dxa"/>
                  <w:tcBorders>
                    <w:tl2br w:val="nil"/>
                    <w:tr2bl w:val="nil"/>
                  </w:tcBorders>
                  <w:vAlign w:val="center"/>
                </w:tcPr>
                <w:p w14:paraId="058AFD76">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3</w:t>
                  </w:r>
                </w:p>
              </w:tc>
              <w:tc>
                <w:tcPr>
                  <w:tcW w:w="1080" w:type="dxa"/>
                  <w:tcBorders>
                    <w:tl2br w:val="nil"/>
                    <w:tr2bl w:val="nil"/>
                  </w:tcBorders>
                  <w:vAlign w:val="center"/>
                </w:tcPr>
                <w:p w14:paraId="402A3D08">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pacing w:val="2"/>
                      <w:szCs w:val="21"/>
                      <w:highlight w:val="none"/>
                    </w:rPr>
                    <w:t>2</w:t>
                  </w:r>
                  <w:r>
                    <w:rPr>
                      <w:rFonts w:hint="default" w:ascii="Times New Roman" w:hAnsi="Times New Roman" w:eastAsia="宋体" w:cs="Times New Roman"/>
                      <w:b w:val="0"/>
                      <w:bCs w:val="0"/>
                      <w:color w:val="auto"/>
                      <w:spacing w:val="2"/>
                      <w:szCs w:val="21"/>
                      <w:highlight w:val="none"/>
                      <w:lang w:val="en-US" w:eastAsia="zh-CN"/>
                    </w:rPr>
                    <w:t>4</w:t>
                  </w:r>
                </w:p>
              </w:tc>
              <w:tc>
                <w:tcPr>
                  <w:tcW w:w="1003" w:type="dxa"/>
                  <w:tcBorders>
                    <w:tl2br w:val="nil"/>
                    <w:tr2bl w:val="nil"/>
                  </w:tcBorders>
                  <w:vAlign w:val="center"/>
                </w:tcPr>
                <w:p w14:paraId="2F743958">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54</w:t>
                  </w:r>
                </w:p>
              </w:tc>
              <w:tc>
                <w:tcPr>
                  <w:tcW w:w="1157" w:type="dxa"/>
                  <w:tcBorders>
                    <w:tl2br w:val="nil"/>
                    <w:tr2bl w:val="nil"/>
                  </w:tcBorders>
                  <w:vAlign w:val="center"/>
                </w:tcPr>
                <w:p w14:paraId="18C8ABDB">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rPr>
                    <w:t>3</w:t>
                  </w:r>
                  <w:r>
                    <w:rPr>
                      <w:rFonts w:hint="default" w:ascii="Times New Roman" w:hAnsi="Times New Roman" w:eastAsia="宋体" w:cs="Times New Roman"/>
                      <w:b w:val="0"/>
                      <w:bCs w:val="0"/>
                      <w:color w:val="auto"/>
                      <w:szCs w:val="21"/>
                      <w:highlight w:val="none"/>
                      <w:lang w:val="en-US" w:eastAsia="zh-CN"/>
                    </w:rPr>
                    <w:t>0.5</w:t>
                  </w:r>
                </w:p>
              </w:tc>
              <w:tc>
                <w:tcPr>
                  <w:tcW w:w="1631" w:type="dxa"/>
                  <w:tcBorders>
                    <w:tl2br w:val="nil"/>
                    <w:tr2bl w:val="nil"/>
                  </w:tcBorders>
                  <w:vAlign w:val="center"/>
                </w:tcPr>
                <w:p w14:paraId="65759D9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pacing w:val="2"/>
                      <w:szCs w:val="21"/>
                      <w:highlight w:val="none"/>
                    </w:rPr>
                    <w:t>900</w:t>
                  </w:r>
                </w:p>
              </w:tc>
              <w:tc>
                <w:tcPr>
                  <w:tcW w:w="1167" w:type="dxa"/>
                  <w:tcBorders>
                    <w:tl2br w:val="nil"/>
                    <w:tr2bl w:val="nil"/>
                  </w:tcBorders>
                  <w:vAlign w:val="center"/>
                </w:tcPr>
                <w:p w14:paraId="6C2B8A10">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pacing w:val="-3"/>
                      <w:szCs w:val="21"/>
                      <w:highlight w:val="none"/>
                    </w:rPr>
                    <w:t>17</w:t>
                  </w:r>
                  <w:r>
                    <w:rPr>
                      <w:rFonts w:hint="default" w:ascii="Times New Roman" w:hAnsi="Times New Roman" w:eastAsia="宋体" w:cs="Times New Roman"/>
                      <w:b w:val="0"/>
                      <w:bCs w:val="0"/>
                      <w:color w:val="auto"/>
                      <w:spacing w:val="-3"/>
                      <w:szCs w:val="21"/>
                      <w:highlight w:val="none"/>
                      <w:lang w:val="en-US" w:eastAsia="zh-CN"/>
                    </w:rPr>
                    <w:t>1</w:t>
                  </w:r>
                </w:p>
              </w:tc>
            </w:tr>
            <w:tr w14:paraId="57E532F0">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1021" w:type="dxa"/>
                  <w:tcBorders>
                    <w:tl2br w:val="nil"/>
                    <w:tr2bl w:val="nil"/>
                  </w:tcBorders>
                  <w:vAlign w:val="center"/>
                </w:tcPr>
                <w:p w14:paraId="10893302">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平均时间</w:t>
                  </w:r>
                </w:p>
              </w:tc>
              <w:tc>
                <w:tcPr>
                  <w:tcW w:w="2029" w:type="dxa"/>
                  <w:gridSpan w:val="2"/>
                  <w:tcBorders>
                    <w:tl2br w:val="nil"/>
                    <w:tr2bl w:val="nil"/>
                  </w:tcBorders>
                  <w:vAlign w:val="center"/>
                </w:tcPr>
                <w:p w14:paraId="1961369D">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年均值</w:t>
                  </w:r>
                </w:p>
              </w:tc>
              <w:tc>
                <w:tcPr>
                  <w:tcW w:w="2160" w:type="dxa"/>
                  <w:gridSpan w:val="2"/>
                  <w:tcBorders>
                    <w:tl2br w:val="nil"/>
                    <w:tr2bl w:val="nil"/>
                  </w:tcBorders>
                  <w:vAlign w:val="center"/>
                </w:tcPr>
                <w:p w14:paraId="3330F065">
                  <w:pPr>
                    <w:jc w:val="center"/>
                    <w:rPr>
                      <w:rFonts w:hint="default" w:ascii="Times New Roman" w:hAnsi="Times New Roman" w:eastAsia="宋体" w:cs="Times New Roman"/>
                      <w:b w:val="0"/>
                      <w:bCs w:val="0"/>
                      <w:color w:val="auto"/>
                      <w:spacing w:val="2"/>
                      <w:szCs w:val="21"/>
                      <w:highlight w:val="none"/>
                      <w:lang w:val="en-US" w:eastAsia="zh-CN"/>
                    </w:rPr>
                  </w:pPr>
                  <w:r>
                    <w:rPr>
                      <w:rFonts w:hint="default" w:ascii="Times New Roman" w:hAnsi="Times New Roman" w:eastAsia="宋体" w:cs="Times New Roman"/>
                      <w:b w:val="0"/>
                      <w:bCs w:val="0"/>
                      <w:color w:val="auto"/>
                      <w:spacing w:val="2"/>
                      <w:szCs w:val="21"/>
                      <w:highlight w:val="none"/>
                      <w:lang w:val="en-US" w:eastAsia="zh-CN"/>
                    </w:rPr>
                    <w:t>24小时平均</w:t>
                  </w:r>
                </w:p>
              </w:tc>
              <w:tc>
                <w:tcPr>
                  <w:tcW w:w="2798" w:type="dxa"/>
                  <w:gridSpan w:val="2"/>
                  <w:tcBorders>
                    <w:tl2br w:val="nil"/>
                    <w:tr2bl w:val="nil"/>
                  </w:tcBorders>
                  <w:vAlign w:val="center"/>
                </w:tcPr>
                <w:p w14:paraId="0C8A87C9">
                  <w:pPr>
                    <w:jc w:val="center"/>
                    <w:rPr>
                      <w:rFonts w:hint="default" w:ascii="Times New Roman" w:hAnsi="Times New Roman" w:eastAsia="宋体" w:cs="Times New Roman"/>
                      <w:b w:val="0"/>
                      <w:bCs w:val="0"/>
                      <w:color w:val="auto"/>
                      <w:spacing w:val="-3"/>
                      <w:szCs w:val="21"/>
                      <w:highlight w:val="none"/>
                      <w:lang w:val="en-US" w:eastAsia="zh-CN"/>
                    </w:rPr>
                  </w:pPr>
                  <w:r>
                    <w:rPr>
                      <w:rFonts w:hint="default" w:ascii="Times New Roman" w:hAnsi="Times New Roman" w:eastAsia="宋体" w:cs="Times New Roman"/>
                      <w:b w:val="0"/>
                      <w:bCs w:val="0"/>
                      <w:color w:val="auto"/>
                      <w:spacing w:val="-3"/>
                      <w:szCs w:val="21"/>
                      <w:highlight w:val="none"/>
                      <w:lang w:val="en-US" w:eastAsia="zh-CN"/>
                    </w:rPr>
                    <w:t>日最大8小时平均</w:t>
                  </w:r>
                </w:p>
              </w:tc>
            </w:tr>
            <w:tr w14:paraId="1F60BB4B">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1021" w:type="dxa"/>
                  <w:tcBorders>
                    <w:tl2br w:val="nil"/>
                    <w:tr2bl w:val="nil"/>
                  </w:tcBorders>
                  <w:vAlign w:val="center"/>
                </w:tcPr>
                <w:p w14:paraId="3D68866A">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标准值</w:t>
                  </w:r>
                </w:p>
              </w:tc>
              <w:tc>
                <w:tcPr>
                  <w:tcW w:w="949" w:type="dxa"/>
                  <w:tcBorders>
                    <w:tl2br w:val="nil"/>
                    <w:tr2bl w:val="nil"/>
                  </w:tcBorders>
                  <w:vAlign w:val="center"/>
                </w:tcPr>
                <w:p w14:paraId="6DF95F2E">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60</w:t>
                  </w:r>
                </w:p>
              </w:tc>
              <w:tc>
                <w:tcPr>
                  <w:tcW w:w="1080" w:type="dxa"/>
                  <w:tcBorders>
                    <w:tl2br w:val="nil"/>
                    <w:tr2bl w:val="nil"/>
                  </w:tcBorders>
                  <w:vAlign w:val="center"/>
                </w:tcPr>
                <w:p w14:paraId="12C55D4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pacing w:val="3"/>
                      <w:szCs w:val="21"/>
                      <w:highlight w:val="none"/>
                    </w:rPr>
                    <w:t>40</w:t>
                  </w:r>
                </w:p>
              </w:tc>
              <w:tc>
                <w:tcPr>
                  <w:tcW w:w="1003" w:type="dxa"/>
                  <w:tcBorders>
                    <w:tl2br w:val="nil"/>
                    <w:tr2bl w:val="nil"/>
                  </w:tcBorders>
                  <w:vAlign w:val="center"/>
                </w:tcPr>
                <w:p w14:paraId="3898201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pacing w:val="1"/>
                      <w:szCs w:val="21"/>
                      <w:highlight w:val="none"/>
                    </w:rPr>
                    <w:t>70</w:t>
                  </w:r>
                </w:p>
              </w:tc>
              <w:tc>
                <w:tcPr>
                  <w:tcW w:w="1157" w:type="dxa"/>
                  <w:tcBorders>
                    <w:tl2br w:val="nil"/>
                    <w:tr2bl w:val="nil"/>
                  </w:tcBorders>
                  <w:vAlign w:val="center"/>
                </w:tcPr>
                <w:p w14:paraId="3F1508F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35</w:t>
                  </w:r>
                </w:p>
              </w:tc>
              <w:tc>
                <w:tcPr>
                  <w:tcW w:w="1631" w:type="dxa"/>
                  <w:tcBorders>
                    <w:tl2br w:val="nil"/>
                    <w:tr2bl w:val="nil"/>
                  </w:tcBorders>
                  <w:vAlign w:val="center"/>
                </w:tcPr>
                <w:p w14:paraId="25070045">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pacing w:val="4"/>
                      <w:szCs w:val="21"/>
                      <w:highlight w:val="none"/>
                    </w:rPr>
                    <w:t>4000</w:t>
                  </w:r>
                </w:p>
              </w:tc>
              <w:tc>
                <w:tcPr>
                  <w:tcW w:w="1167" w:type="dxa"/>
                  <w:tcBorders>
                    <w:tl2br w:val="nil"/>
                    <w:tr2bl w:val="nil"/>
                  </w:tcBorders>
                  <w:vAlign w:val="center"/>
                </w:tcPr>
                <w:p w14:paraId="18A2248C">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pacing w:val="-3"/>
                      <w:szCs w:val="21"/>
                      <w:highlight w:val="none"/>
                    </w:rPr>
                    <w:t>160</w:t>
                  </w:r>
                </w:p>
              </w:tc>
            </w:tr>
            <w:tr w14:paraId="4B48F169">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21" w:type="dxa"/>
                  <w:tcBorders>
                    <w:tl2br w:val="nil"/>
                    <w:tr2bl w:val="nil"/>
                  </w:tcBorders>
                  <w:vAlign w:val="center"/>
                </w:tcPr>
                <w:p w14:paraId="093D33FC">
                  <w:pPr>
                    <w:jc w:val="center"/>
                    <w:rPr>
                      <w:rFonts w:hint="default"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lang w:val="en-US" w:eastAsia="zh-CN"/>
                    </w:rPr>
                    <w:t>达标情况</w:t>
                  </w:r>
                </w:p>
              </w:tc>
              <w:tc>
                <w:tcPr>
                  <w:tcW w:w="949" w:type="dxa"/>
                  <w:tcBorders>
                    <w:tl2br w:val="nil"/>
                    <w:tr2bl w:val="nil"/>
                  </w:tcBorders>
                  <w:vAlign w:val="center"/>
                </w:tcPr>
                <w:p w14:paraId="0BFFF389">
                  <w:pPr>
                    <w:jc w:val="center"/>
                    <w:rPr>
                      <w:rFonts w:hint="default"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lang w:val="en-US" w:eastAsia="zh-CN"/>
                    </w:rPr>
                    <w:t>达标</w:t>
                  </w:r>
                </w:p>
              </w:tc>
              <w:tc>
                <w:tcPr>
                  <w:tcW w:w="1080" w:type="dxa"/>
                  <w:tcBorders>
                    <w:tl2br w:val="nil"/>
                    <w:tr2bl w:val="nil"/>
                  </w:tcBorders>
                  <w:vAlign w:val="center"/>
                </w:tcPr>
                <w:p w14:paraId="752E8FF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达标</w:t>
                  </w:r>
                </w:p>
              </w:tc>
              <w:tc>
                <w:tcPr>
                  <w:tcW w:w="1003" w:type="dxa"/>
                  <w:tcBorders>
                    <w:tl2br w:val="nil"/>
                    <w:tr2bl w:val="nil"/>
                  </w:tcBorders>
                  <w:vAlign w:val="center"/>
                </w:tcPr>
                <w:p w14:paraId="165584E5">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达标</w:t>
                  </w:r>
                </w:p>
              </w:tc>
              <w:tc>
                <w:tcPr>
                  <w:tcW w:w="1157" w:type="dxa"/>
                  <w:tcBorders>
                    <w:tl2br w:val="nil"/>
                    <w:tr2bl w:val="nil"/>
                  </w:tcBorders>
                  <w:vAlign w:val="center"/>
                </w:tcPr>
                <w:p w14:paraId="69D8056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达标</w:t>
                  </w:r>
                </w:p>
              </w:tc>
              <w:tc>
                <w:tcPr>
                  <w:tcW w:w="1631" w:type="dxa"/>
                  <w:tcBorders>
                    <w:tl2br w:val="nil"/>
                    <w:tr2bl w:val="nil"/>
                  </w:tcBorders>
                  <w:vAlign w:val="center"/>
                </w:tcPr>
                <w:p w14:paraId="1F5433C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达标</w:t>
                  </w:r>
                </w:p>
              </w:tc>
              <w:tc>
                <w:tcPr>
                  <w:tcW w:w="1167" w:type="dxa"/>
                  <w:tcBorders>
                    <w:tl2br w:val="nil"/>
                    <w:tr2bl w:val="nil"/>
                  </w:tcBorders>
                  <w:vAlign w:val="center"/>
                </w:tcPr>
                <w:p w14:paraId="7C545B8C">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不达标</w:t>
                  </w:r>
                </w:p>
              </w:tc>
            </w:tr>
          </w:tbl>
          <w:p w14:paraId="218031B0">
            <w:pPr>
              <w:pStyle w:val="20"/>
              <w:numPr>
                <w:ilvl w:val="0"/>
                <w:numId w:val="0"/>
              </w:numPr>
              <w:adjustRightInd w:val="0"/>
              <w:snapToGrid w:val="0"/>
              <w:spacing w:before="0" w:beforeAutospacing="0" w:after="0" w:afterAutospacing="0"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w:t>
            </w:r>
            <w:r>
              <w:rPr>
                <w:rFonts w:hint="default" w:ascii="Times New Roman" w:hAnsi="Times New Roman" w:eastAsia="宋体" w:cs="Times New Roman"/>
                <w:color w:val="auto"/>
                <w:sz w:val="24"/>
                <w:highlight w:val="none"/>
                <w:lang w:val="en-US" w:eastAsia="zh-CN"/>
              </w:rPr>
              <w:t>以上分析</w:t>
            </w:r>
            <w:r>
              <w:rPr>
                <w:rFonts w:hint="default" w:ascii="Times New Roman" w:hAnsi="Times New Roman" w:eastAsia="宋体" w:cs="Times New Roman"/>
                <w:color w:val="auto"/>
                <w:sz w:val="24"/>
                <w:highlight w:val="none"/>
              </w:rPr>
              <w:t>可知，2024年</w:t>
            </w:r>
            <w:r>
              <w:rPr>
                <w:rFonts w:hint="eastAsia" w:ascii="Times New Roman" w:hAnsi="Times New Roman" w:cs="Times New Roman"/>
                <w:color w:val="auto"/>
                <w:sz w:val="24"/>
                <w:highlight w:val="none"/>
                <w:lang w:val="en-US" w:eastAsia="zh-CN"/>
              </w:rPr>
              <w:t>通州</w:t>
            </w:r>
            <w:r>
              <w:rPr>
                <w:rFonts w:hint="default" w:ascii="Times New Roman" w:hAnsi="Times New Roman" w:eastAsia="宋体" w:cs="Times New Roman"/>
                <w:color w:val="auto"/>
                <w:sz w:val="24"/>
                <w:highlight w:val="none"/>
              </w:rPr>
              <w:t>区各污染物浓度均达到《环境空气质量标准》(GB3095-2012)限值要求，北京市</w:t>
            </w:r>
            <w:r>
              <w:rPr>
                <w:rFonts w:hint="default" w:ascii="Times New Roman" w:hAnsi="Times New Roman" w:eastAsia="宋体" w:cs="Times New Roman"/>
                <w:color w:val="auto"/>
                <w:sz w:val="24"/>
                <w:highlight w:val="none"/>
                <w:lang w:val="en-US" w:eastAsia="zh-CN"/>
              </w:rPr>
              <w:t>O</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rPr>
              <w:t>日最大8小时平均浓度未能达到《环境空气质量标准》(GB3095-2012)限值要求，其他污染物现状浓度达到上述标准要求，判定项目</w:t>
            </w:r>
            <w:r>
              <w:rPr>
                <w:rFonts w:hint="default" w:ascii="Times New Roman" w:hAnsi="Times New Roman" w:eastAsia="宋体" w:cs="Times New Roman"/>
                <w:color w:val="auto"/>
                <w:sz w:val="24"/>
                <w:highlight w:val="none"/>
                <w:lang w:val="en-US" w:eastAsia="zh-CN"/>
              </w:rPr>
              <w:t>所在地</w:t>
            </w:r>
            <w:r>
              <w:rPr>
                <w:rFonts w:hint="default" w:ascii="Times New Roman" w:hAnsi="Times New Roman" w:eastAsia="宋体" w:cs="Times New Roman"/>
                <w:color w:val="auto"/>
                <w:sz w:val="24"/>
                <w:highlight w:val="none"/>
              </w:rPr>
              <w:t>为环境空气质量不达标区。</w:t>
            </w:r>
          </w:p>
          <w:p w14:paraId="77D1B795">
            <w:pPr>
              <w:pStyle w:val="20"/>
              <w:numPr>
                <w:ilvl w:val="0"/>
                <w:numId w:val="0"/>
              </w:numPr>
              <w:adjustRightInd w:val="0"/>
              <w:snapToGrid w:val="0"/>
              <w:spacing w:before="0" w:beforeAutospacing="0" w:after="0" w:afterAutospacing="0" w:line="360" w:lineRule="auto"/>
              <w:rPr>
                <w:rFonts w:hint="default" w:ascii="Times New Roman" w:hAnsi="Times New Roman" w:eastAsia="宋体" w:cs="Times New Roman"/>
                <w:b/>
                <w:bCs/>
                <w:color w:val="auto"/>
                <w:szCs w:val="24"/>
                <w:highlight w:val="none"/>
              </w:rPr>
            </w:pPr>
            <w:r>
              <w:rPr>
                <w:rFonts w:hint="eastAsia" w:ascii="Times New Roman" w:hAnsi="Times New Roman" w:cs="Times New Roman"/>
                <w:b/>
                <w:bCs/>
                <w:color w:val="auto"/>
                <w:szCs w:val="24"/>
                <w:highlight w:val="none"/>
                <w:lang w:val="en-US" w:eastAsia="zh-CN"/>
              </w:rPr>
              <w:t>二、</w:t>
            </w:r>
            <w:r>
              <w:rPr>
                <w:rFonts w:hint="default" w:ascii="Times New Roman" w:hAnsi="Times New Roman" w:eastAsia="宋体" w:cs="Times New Roman"/>
                <w:b/>
                <w:bCs/>
                <w:color w:val="auto"/>
                <w:szCs w:val="24"/>
                <w:highlight w:val="none"/>
              </w:rPr>
              <w:t>地表水环境</w:t>
            </w:r>
          </w:p>
          <w:p w14:paraId="7C1BB3A9">
            <w:pPr>
              <w:adjustRightIn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项目所在地附近地表水为</w:t>
            </w:r>
            <w:r>
              <w:rPr>
                <w:rFonts w:hint="eastAsia" w:cs="Times New Roman"/>
                <w:color w:val="auto"/>
                <w:sz w:val="24"/>
                <w:highlight w:val="none"/>
                <w:lang w:eastAsia="zh-CN"/>
              </w:rPr>
              <w:t>凤港减河</w:t>
            </w:r>
            <w:r>
              <w:rPr>
                <w:rFonts w:hint="default" w:ascii="Times New Roman" w:hAnsi="Times New Roman" w:eastAsia="宋体" w:cs="Times New Roman"/>
                <w:color w:val="auto"/>
                <w:sz w:val="24"/>
                <w:highlight w:val="none"/>
              </w:rPr>
              <w:t>，位于项目</w:t>
            </w:r>
            <w:r>
              <w:rPr>
                <w:rFonts w:hint="eastAsia" w:cs="Times New Roman"/>
                <w:color w:val="auto"/>
                <w:sz w:val="24"/>
                <w:szCs w:val="32"/>
                <w:highlight w:val="none"/>
                <w:lang w:val="en-US" w:eastAsia="zh-CN"/>
              </w:rPr>
              <w:t>西北</w:t>
            </w:r>
            <w:r>
              <w:rPr>
                <w:rFonts w:hint="default" w:ascii="Times New Roman" w:hAnsi="Times New Roman" w:eastAsia="宋体" w:cs="Times New Roman"/>
                <w:color w:val="auto"/>
                <w:sz w:val="24"/>
                <w:szCs w:val="32"/>
                <w:highlight w:val="none"/>
              </w:rPr>
              <w:t>侧</w:t>
            </w:r>
            <w:r>
              <w:rPr>
                <w:rFonts w:hint="eastAsia" w:cs="Times New Roman"/>
                <w:color w:val="auto"/>
                <w:sz w:val="24"/>
                <w:highlight w:val="none"/>
                <w:lang w:val="en-US" w:eastAsia="zh-CN"/>
              </w:rPr>
              <w:t>2.85</w:t>
            </w:r>
            <w:r>
              <w:rPr>
                <w:rFonts w:hint="default" w:ascii="Times New Roman" w:hAnsi="Times New Roman" w:eastAsia="宋体" w:cs="Times New Roman"/>
                <w:color w:val="auto"/>
                <w:sz w:val="24"/>
                <w:highlight w:val="none"/>
              </w:rPr>
              <w:t>km。根据北京市五大水系各河流、水库水体功能划分与水质分类，</w:t>
            </w:r>
            <w:r>
              <w:rPr>
                <w:rFonts w:hint="eastAsia" w:cs="Times New Roman"/>
                <w:color w:val="auto"/>
                <w:sz w:val="24"/>
                <w:highlight w:val="none"/>
                <w:lang w:eastAsia="zh-CN"/>
              </w:rPr>
              <w:t>凤港减河</w:t>
            </w:r>
            <w:r>
              <w:rPr>
                <w:rFonts w:hint="default" w:ascii="Times New Roman" w:hAnsi="Times New Roman" w:eastAsia="宋体" w:cs="Times New Roman"/>
                <w:color w:val="auto"/>
                <w:sz w:val="24"/>
                <w:highlight w:val="none"/>
              </w:rPr>
              <w:t>为Ⅴ类功能水体（农业用水区及一般景观要求水域），执行《地表水环境质量标准》（GB3838-2002）中的Ⅴ类标准。</w:t>
            </w:r>
          </w:p>
          <w:p w14:paraId="24397813">
            <w:pPr>
              <w:adjustRightInd w:val="0"/>
              <w:spacing w:line="360" w:lineRule="auto"/>
              <w:ind w:firstLine="480" w:firstLineChars="200"/>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color w:val="auto"/>
                <w:sz w:val="24"/>
                <w:highlight w:val="none"/>
              </w:rPr>
              <w:t>根据北京市生态环境局2024年0</w:t>
            </w:r>
            <w:r>
              <w:rPr>
                <w:rFonts w:hint="eastAsia" w:cs="Times New Roman"/>
                <w:color w:val="auto"/>
                <w:sz w:val="24"/>
                <w:highlight w:val="none"/>
                <w:lang w:val="en-US" w:eastAsia="zh-CN"/>
              </w:rPr>
              <w:t>9</w:t>
            </w:r>
            <w:r>
              <w:rPr>
                <w:rFonts w:hint="default" w:ascii="Times New Roman" w:hAnsi="Times New Roman" w:eastAsia="宋体" w:cs="Times New Roman"/>
                <w:color w:val="auto"/>
                <w:sz w:val="24"/>
                <w:highlight w:val="none"/>
              </w:rPr>
              <w:t>月</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202</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rPr>
              <w:t>年</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rPr>
              <w:t>月地表水环境质量月报资料，</w:t>
            </w:r>
            <w:r>
              <w:rPr>
                <w:rFonts w:hint="eastAsia" w:cs="Times New Roman"/>
                <w:color w:val="auto"/>
                <w:sz w:val="24"/>
                <w:highlight w:val="none"/>
                <w:lang w:eastAsia="zh-CN"/>
              </w:rPr>
              <w:t>凤港减河</w:t>
            </w:r>
            <w:r>
              <w:rPr>
                <w:rFonts w:hint="default" w:ascii="Times New Roman" w:hAnsi="Times New Roman" w:eastAsia="宋体" w:cs="Times New Roman"/>
                <w:color w:val="auto"/>
                <w:sz w:val="24"/>
                <w:highlight w:val="none"/>
              </w:rPr>
              <w:t>水质均能达到《地表水环境质量标准》（GB3838-2002）中的Ⅴ类水质标准要求。具体统计结果见下表。</w:t>
            </w:r>
          </w:p>
          <w:p w14:paraId="4BC04845">
            <w:pPr>
              <w:numPr>
                <w:ilvl w:val="0"/>
                <w:numId w:val="31"/>
              </w:numPr>
              <w:jc w:val="center"/>
              <w:rPr>
                <w:rFonts w:hint="default"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凤港减河</w:t>
            </w:r>
            <w:r>
              <w:rPr>
                <w:rFonts w:hint="default" w:ascii="Times New Roman" w:hAnsi="Times New Roman" w:eastAsia="宋体" w:cs="Times New Roman"/>
                <w:b/>
                <w:bCs/>
                <w:color w:val="auto"/>
                <w:sz w:val="24"/>
                <w:highlight w:val="none"/>
              </w:rPr>
              <w:t>水质状况一览表</w:t>
            </w:r>
          </w:p>
          <w:tbl>
            <w:tblPr>
              <w:tblStyle w:val="23"/>
              <w:tblW w:w="4989"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59"/>
              <w:gridCol w:w="659"/>
              <w:gridCol w:w="659"/>
              <w:gridCol w:w="659"/>
              <w:gridCol w:w="659"/>
              <w:gridCol w:w="659"/>
              <w:gridCol w:w="660"/>
              <w:gridCol w:w="660"/>
              <w:gridCol w:w="660"/>
              <w:gridCol w:w="660"/>
              <w:gridCol w:w="660"/>
              <w:gridCol w:w="660"/>
            </w:tblGrid>
            <w:tr w14:paraId="2245AE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441" w:hRule="atLeast"/>
              </w:trPr>
              <w:tc>
                <w:tcPr>
                  <w:tcW w:w="2636" w:type="dxa"/>
                  <w:gridSpan w:val="4"/>
                  <w:tcBorders>
                    <w:tl2br w:val="nil"/>
                    <w:tr2bl w:val="nil"/>
                  </w:tcBorders>
                  <w:vAlign w:val="center"/>
                </w:tcPr>
                <w:p w14:paraId="16F707A6">
                  <w:pPr>
                    <w:adjustRightInd w:val="0"/>
                    <w:snapToGrid w:val="0"/>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rPr>
                    <w:t>2024年</w:t>
                  </w:r>
                </w:p>
              </w:tc>
              <w:tc>
                <w:tcPr>
                  <w:tcW w:w="5278" w:type="dxa"/>
                  <w:gridSpan w:val="8"/>
                  <w:tcBorders>
                    <w:tl2br w:val="nil"/>
                    <w:tr2bl w:val="nil"/>
                  </w:tcBorders>
                  <w:vAlign w:val="center"/>
                </w:tcPr>
                <w:p w14:paraId="2C8905E4">
                  <w:pPr>
                    <w:adjustRightInd w:val="0"/>
                    <w:snapToGrid w:val="0"/>
                    <w:jc w:val="center"/>
                    <w:rPr>
                      <w:rFonts w:hint="default" w:ascii="Times New Roman" w:hAnsi="Times New Roman" w:eastAsia="宋体" w:cs="Times New Roman"/>
                      <w:b/>
                      <w:color w:val="auto"/>
                      <w:szCs w:val="21"/>
                      <w:highlight w:val="none"/>
                      <w:lang w:val="en-US" w:eastAsia="zh-CN"/>
                    </w:rPr>
                  </w:pPr>
                  <w:r>
                    <w:rPr>
                      <w:rFonts w:hint="eastAsia" w:cs="Times New Roman"/>
                      <w:b/>
                      <w:color w:val="auto"/>
                      <w:szCs w:val="21"/>
                      <w:highlight w:val="none"/>
                      <w:lang w:val="en-US" w:eastAsia="zh-CN"/>
                    </w:rPr>
                    <w:t>2025年</w:t>
                  </w:r>
                </w:p>
              </w:tc>
            </w:tr>
            <w:tr w14:paraId="2F57B2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9" w:type="dxa"/>
                  <w:tcBorders>
                    <w:tl2br w:val="nil"/>
                    <w:tr2bl w:val="nil"/>
                  </w:tcBorders>
                  <w:shd w:val="clear" w:color="auto" w:fill="auto"/>
                  <w:vAlign w:val="center"/>
                </w:tcPr>
                <w:p w14:paraId="424EF3F4">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en-US" w:eastAsia="zh-CN"/>
                    </w:rPr>
                    <w:t>9</w:t>
                  </w:r>
                  <w:r>
                    <w:rPr>
                      <w:rFonts w:hint="default" w:ascii="Times New Roman" w:hAnsi="Times New Roman" w:eastAsia="宋体" w:cs="Times New Roman"/>
                      <w:b/>
                      <w:bCs/>
                      <w:color w:val="auto"/>
                      <w:szCs w:val="21"/>
                      <w:highlight w:val="none"/>
                    </w:rPr>
                    <w:t>月</w:t>
                  </w:r>
                </w:p>
              </w:tc>
              <w:tc>
                <w:tcPr>
                  <w:tcW w:w="659" w:type="dxa"/>
                  <w:tcBorders>
                    <w:tl2br w:val="nil"/>
                    <w:tr2bl w:val="nil"/>
                  </w:tcBorders>
                  <w:shd w:val="clear" w:color="auto" w:fill="auto"/>
                  <w:vAlign w:val="center"/>
                </w:tcPr>
                <w:p w14:paraId="1DDF8071">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en-US" w:eastAsia="zh-CN"/>
                    </w:rPr>
                    <w:t>10</w:t>
                  </w:r>
                  <w:r>
                    <w:rPr>
                      <w:rFonts w:hint="default" w:ascii="Times New Roman" w:hAnsi="Times New Roman" w:eastAsia="宋体" w:cs="Times New Roman"/>
                      <w:b/>
                      <w:bCs/>
                      <w:color w:val="auto"/>
                      <w:szCs w:val="21"/>
                      <w:highlight w:val="none"/>
                    </w:rPr>
                    <w:t>月</w:t>
                  </w:r>
                </w:p>
              </w:tc>
              <w:tc>
                <w:tcPr>
                  <w:tcW w:w="659" w:type="dxa"/>
                  <w:tcBorders>
                    <w:tl2br w:val="nil"/>
                    <w:tr2bl w:val="nil"/>
                  </w:tcBorders>
                  <w:shd w:val="clear" w:color="auto" w:fill="auto"/>
                  <w:vAlign w:val="center"/>
                </w:tcPr>
                <w:p w14:paraId="6FC5D15E">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en-US" w:eastAsia="zh-CN"/>
                    </w:rPr>
                    <w:t>11</w:t>
                  </w:r>
                  <w:r>
                    <w:rPr>
                      <w:rFonts w:hint="default" w:ascii="Times New Roman" w:hAnsi="Times New Roman" w:eastAsia="宋体" w:cs="Times New Roman"/>
                      <w:b/>
                      <w:bCs/>
                      <w:color w:val="auto"/>
                      <w:szCs w:val="21"/>
                      <w:highlight w:val="none"/>
                    </w:rPr>
                    <w:t>月</w:t>
                  </w:r>
                </w:p>
              </w:tc>
              <w:tc>
                <w:tcPr>
                  <w:tcW w:w="659" w:type="dxa"/>
                  <w:tcBorders>
                    <w:tl2br w:val="nil"/>
                    <w:tr2bl w:val="nil"/>
                  </w:tcBorders>
                  <w:shd w:val="clear" w:color="auto" w:fill="auto"/>
                  <w:vAlign w:val="center"/>
                </w:tcPr>
                <w:p w14:paraId="4C29BFDC">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en-US" w:eastAsia="zh-CN"/>
                    </w:rPr>
                    <w:t>12</w:t>
                  </w:r>
                  <w:r>
                    <w:rPr>
                      <w:rFonts w:hint="default" w:ascii="Times New Roman" w:hAnsi="Times New Roman" w:eastAsia="宋体" w:cs="Times New Roman"/>
                      <w:b/>
                      <w:bCs/>
                      <w:color w:val="auto"/>
                      <w:szCs w:val="21"/>
                      <w:highlight w:val="none"/>
                    </w:rPr>
                    <w:t>月</w:t>
                  </w:r>
                </w:p>
              </w:tc>
              <w:tc>
                <w:tcPr>
                  <w:tcW w:w="659" w:type="dxa"/>
                  <w:tcBorders>
                    <w:tl2br w:val="nil"/>
                    <w:tr2bl w:val="nil"/>
                  </w:tcBorders>
                  <w:shd w:val="clear" w:color="auto" w:fill="auto"/>
                  <w:vAlign w:val="center"/>
                </w:tcPr>
                <w:p w14:paraId="792662AE">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en-US" w:eastAsia="zh-CN"/>
                    </w:rPr>
                    <w:t>1</w:t>
                  </w:r>
                  <w:r>
                    <w:rPr>
                      <w:rFonts w:hint="default" w:ascii="Times New Roman" w:hAnsi="Times New Roman" w:eastAsia="宋体" w:cs="Times New Roman"/>
                      <w:b/>
                      <w:bCs/>
                      <w:color w:val="auto"/>
                      <w:szCs w:val="21"/>
                      <w:highlight w:val="none"/>
                    </w:rPr>
                    <w:t>月</w:t>
                  </w:r>
                </w:p>
              </w:tc>
              <w:tc>
                <w:tcPr>
                  <w:tcW w:w="659" w:type="dxa"/>
                  <w:tcBorders>
                    <w:tl2br w:val="nil"/>
                    <w:tr2bl w:val="nil"/>
                  </w:tcBorders>
                  <w:shd w:val="clear" w:color="auto" w:fill="auto"/>
                  <w:vAlign w:val="center"/>
                </w:tcPr>
                <w:p w14:paraId="4C0E12CE">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月</w:t>
                  </w:r>
                </w:p>
              </w:tc>
              <w:tc>
                <w:tcPr>
                  <w:tcW w:w="660" w:type="dxa"/>
                  <w:tcBorders>
                    <w:tl2br w:val="nil"/>
                    <w:tr2bl w:val="nil"/>
                  </w:tcBorders>
                  <w:shd w:val="clear" w:color="auto" w:fill="auto"/>
                  <w:vAlign w:val="center"/>
                </w:tcPr>
                <w:p w14:paraId="53B30675">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en-US" w:eastAsia="zh-CN"/>
                    </w:rPr>
                    <w:t>3</w:t>
                  </w:r>
                  <w:r>
                    <w:rPr>
                      <w:rFonts w:hint="default" w:ascii="Times New Roman" w:hAnsi="Times New Roman" w:eastAsia="宋体" w:cs="Times New Roman"/>
                      <w:b/>
                      <w:bCs/>
                      <w:color w:val="auto"/>
                      <w:szCs w:val="21"/>
                      <w:highlight w:val="none"/>
                    </w:rPr>
                    <w:t>月</w:t>
                  </w:r>
                </w:p>
              </w:tc>
              <w:tc>
                <w:tcPr>
                  <w:tcW w:w="660" w:type="dxa"/>
                  <w:tcBorders>
                    <w:tl2br w:val="nil"/>
                    <w:tr2bl w:val="nil"/>
                  </w:tcBorders>
                  <w:shd w:val="clear" w:color="auto" w:fill="auto"/>
                  <w:vAlign w:val="center"/>
                </w:tcPr>
                <w:p w14:paraId="32825BEF">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en-US" w:eastAsia="zh-CN"/>
                    </w:rPr>
                    <w:t>4</w:t>
                  </w:r>
                  <w:r>
                    <w:rPr>
                      <w:rFonts w:hint="default" w:ascii="Times New Roman" w:hAnsi="Times New Roman" w:eastAsia="宋体" w:cs="Times New Roman"/>
                      <w:b/>
                      <w:bCs/>
                      <w:color w:val="auto"/>
                      <w:szCs w:val="21"/>
                      <w:highlight w:val="none"/>
                    </w:rPr>
                    <w:t>月</w:t>
                  </w:r>
                </w:p>
              </w:tc>
              <w:tc>
                <w:tcPr>
                  <w:tcW w:w="660" w:type="dxa"/>
                  <w:tcBorders>
                    <w:tl2br w:val="nil"/>
                    <w:tr2bl w:val="nil"/>
                  </w:tcBorders>
                  <w:shd w:val="clear" w:color="auto" w:fill="auto"/>
                  <w:vAlign w:val="center"/>
                </w:tcPr>
                <w:p w14:paraId="41A65D53">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en-US" w:eastAsia="zh-CN"/>
                    </w:rPr>
                    <w:t>5</w:t>
                  </w:r>
                  <w:r>
                    <w:rPr>
                      <w:rFonts w:hint="default" w:ascii="Times New Roman" w:hAnsi="Times New Roman" w:eastAsia="宋体" w:cs="Times New Roman"/>
                      <w:b/>
                      <w:bCs/>
                      <w:color w:val="auto"/>
                      <w:szCs w:val="21"/>
                      <w:highlight w:val="none"/>
                    </w:rPr>
                    <w:t>月</w:t>
                  </w:r>
                </w:p>
              </w:tc>
              <w:tc>
                <w:tcPr>
                  <w:tcW w:w="660" w:type="dxa"/>
                  <w:tcBorders>
                    <w:tl2br w:val="nil"/>
                    <w:tr2bl w:val="nil"/>
                  </w:tcBorders>
                  <w:shd w:val="clear" w:color="auto" w:fill="auto"/>
                  <w:vAlign w:val="center"/>
                </w:tcPr>
                <w:p w14:paraId="1FFF8270">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en-US" w:eastAsia="zh-CN"/>
                    </w:rPr>
                    <w:t>6</w:t>
                  </w:r>
                  <w:r>
                    <w:rPr>
                      <w:rFonts w:hint="default" w:ascii="Times New Roman" w:hAnsi="Times New Roman" w:eastAsia="宋体" w:cs="Times New Roman"/>
                      <w:b/>
                      <w:bCs/>
                      <w:color w:val="auto"/>
                      <w:szCs w:val="21"/>
                      <w:highlight w:val="none"/>
                    </w:rPr>
                    <w:t>月</w:t>
                  </w:r>
                </w:p>
              </w:tc>
              <w:tc>
                <w:tcPr>
                  <w:tcW w:w="660" w:type="dxa"/>
                  <w:tcBorders>
                    <w:tl2br w:val="nil"/>
                    <w:tr2bl w:val="nil"/>
                  </w:tcBorders>
                  <w:shd w:val="clear" w:color="auto" w:fill="auto"/>
                  <w:vAlign w:val="center"/>
                </w:tcPr>
                <w:p w14:paraId="539B6A4A">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en-US" w:eastAsia="zh-CN"/>
                    </w:rPr>
                    <w:t>7</w:t>
                  </w:r>
                  <w:r>
                    <w:rPr>
                      <w:rFonts w:hint="default" w:ascii="Times New Roman" w:hAnsi="Times New Roman" w:eastAsia="宋体" w:cs="Times New Roman"/>
                      <w:b/>
                      <w:bCs/>
                      <w:color w:val="auto"/>
                      <w:szCs w:val="21"/>
                      <w:highlight w:val="none"/>
                    </w:rPr>
                    <w:t>月</w:t>
                  </w:r>
                </w:p>
              </w:tc>
              <w:tc>
                <w:tcPr>
                  <w:tcW w:w="660" w:type="dxa"/>
                  <w:tcBorders>
                    <w:tl2br w:val="nil"/>
                    <w:tr2bl w:val="nil"/>
                  </w:tcBorders>
                  <w:shd w:val="clear" w:color="auto" w:fill="auto"/>
                  <w:vAlign w:val="center"/>
                </w:tcPr>
                <w:p w14:paraId="1C1F5CA4">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cs="Times New Roman"/>
                      <w:b/>
                      <w:bCs/>
                      <w:color w:val="auto"/>
                      <w:szCs w:val="21"/>
                      <w:highlight w:val="none"/>
                      <w:lang w:val="en-US" w:eastAsia="zh-CN"/>
                    </w:rPr>
                    <w:t>8</w:t>
                  </w:r>
                  <w:r>
                    <w:rPr>
                      <w:rFonts w:hint="default" w:ascii="Times New Roman" w:hAnsi="Times New Roman" w:eastAsia="宋体" w:cs="Times New Roman"/>
                      <w:b/>
                      <w:bCs/>
                      <w:color w:val="auto"/>
                      <w:szCs w:val="21"/>
                      <w:highlight w:val="none"/>
                    </w:rPr>
                    <w:t>月</w:t>
                  </w:r>
                </w:p>
              </w:tc>
            </w:tr>
            <w:tr w14:paraId="4EF08E0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9" w:type="dxa"/>
                  <w:tcBorders>
                    <w:tl2br w:val="nil"/>
                    <w:tr2bl w:val="nil"/>
                  </w:tcBorders>
                  <w:shd w:val="clear" w:color="auto" w:fill="auto"/>
                  <w:vAlign w:val="center"/>
                </w:tcPr>
                <w:p w14:paraId="13F2F3A0">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Ⅲ</w:t>
                  </w:r>
                </w:p>
              </w:tc>
              <w:tc>
                <w:tcPr>
                  <w:tcW w:w="659" w:type="dxa"/>
                  <w:tcBorders>
                    <w:tl2br w:val="nil"/>
                    <w:tr2bl w:val="nil"/>
                  </w:tcBorders>
                  <w:shd w:val="clear" w:color="auto" w:fill="auto"/>
                  <w:vAlign w:val="center"/>
                </w:tcPr>
                <w:p w14:paraId="5594F29F">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II</w:t>
                  </w:r>
                </w:p>
              </w:tc>
              <w:tc>
                <w:tcPr>
                  <w:tcW w:w="659" w:type="dxa"/>
                  <w:tcBorders>
                    <w:tl2br w:val="nil"/>
                    <w:tr2bl w:val="nil"/>
                  </w:tcBorders>
                  <w:shd w:val="clear" w:color="auto" w:fill="auto"/>
                  <w:vAlign w:val="center"/>
                </w:tcPr>
                <w:p w14:paraId="627B5E55">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II</w:t>
                  </w:r>
                </w:p>
              </w:tc>
              <w:tc>
                <w:tcPr>
                  <w:tcW w:w="659" w:type="dxa"/>
                  <w:tcBorders>
                    <w:tl2br w:val="nil"/>
                    <w:tr2bl w:val="nil"/>
                  </w:tcBorders>
                  <w:shd w:val="clear" w:color="auto" w:fill="auto"/>
                  <w:vAlign w:val="center"/>
                </w:tcPr>
                <w:p w14:paraId="5B11D96E">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Ⅲ</w:t>
                  </w:r>
                </w:p>
              </w:tc>
              <w:tc>
                <w:tcPr>
                  <w:tcW w:w="659" w:type="dxa"/>
                  <w:tcBorders>
                    <w:tl2br w:val="nil"/>
                    <w:tr2bl w:val="nil"/>
                  </w:tcBorders>
                  <w:shd w:val="clear" w:color="auto" w:fill="auto"/>
                  <w:vAlign w:val="center"/>
                </w:tcPr>
                <w:p w14:paraId="2D2D4051">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II</w:t>
                  </w:r>
                </w:p>
              </w:tc>
              <w:tc>
                <w:tcPr>
                  <w:tcW w:w="659" w:type="dxa"/>
                  <w:tcBorders>
                    <w:tl2br w:val="nil"/>
                    <w:tr2bl w:val="nil"/>
                  </w:tcBorders>
                  <w:shd w:val="clear" w:color="auto" w:fill="auto"/>
                  <w:vAlign w:val="center"/>
                </w:tcPr>
                <w:p w14:paraId="7E241121">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Ⅲ</w:t>
                  </w:r>
                </w:p>
              </w:tc>
              <w:tc>
                <w:tcPr>
                  <w:tcW w:w="660" w:type="dxa"/>
                  <w:tcBorders>
                    <w:tl2br w:val="nil"/>
                    <w:tr2bl w:val="nil"/>
                  </w:tcBorders>
                  <w:shd w:val="clear" w:color="auto" w:fill="auto"/>
                  <w:vAlign w:val="center"/>
                </w:tcPr>
                <w:p w14:paraId="4131B1EF">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Ⅲ</w:t>
                  </w:r>
                </w:p>
              </w:tc>
              <w:tc>
                <w:tcPr>
                  <w:tcW w:w="660" w:type="dxa"/>
                  <w:tcBorders>
                    <w:tl2br w:val="nil"/>
                    <w:tr2bl w:val="nil"/>
                  </w:tcBorders>
                  <w:shd w:val="clear" w:color="auto" w:fill="auto"/>
                  <w:vAlign w:val="center"/>
                </w:tcPr>
                <w:p w14:paraId="318F9768">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Ⅲ</w:t>
                  </w:r>
                </w:p>
              </w:tc>
              <w:tc>
                <w:tcPr>
                  <w:tcW w:w="660" w:type="dxa"/>
                  <w:tcBorders>
                    <w:tl2br w:val="nil"/>
                    <w:tr2bl w:val="nil"/>
                  </w:tcBorders>
                  <w:shd w:val="clear" w:color="auto" w:fill="auto"/>
                  <w:vAlign w:val="center"/>
                </w:tcPr>
                <w:p w14:paraId="1914EA97">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Ⅲ</w:t>
                  </w:r>
                </w:p>
              </w:tc>
              <w:tc>
                <w:tcPr>
                  <w:tcW w:w="660" w:type="dxa"/>
                  <w:tcBorders>
                    <w:tl2br w:val="nil"/>
                    <w:tr2bl w:val="nil"/>
                  </w:tcBorders>
                  <w:shd w:val="clear" w:color="auto" w:fill="auto"/>
                  <w:vAlign w:val="center"/>
                </w:tcPr>
                <w:p w14:paraId="671B8B1E">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Ⅲ</w:t>
                  </w:r>
                </w:p>
              </w:tc>
              <w:tc>
                <w:tcPr>
                  <w:tcW w:w="660" w:type="dxa"/>
                  <w:tcBorders>
                    <w:tl2br w:val="nil"/>
                    <w:tr2bl w:val="nil"/>
                  </w:tcBorders>
                  <w:shd w:val="clear" w:color="auto" w:fill="auto"/>
                  <w:vAlign w:val="center"/>
                </w:tcPr>
                <w:p w14:paraId="7215D355">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II</w:t>
                  </w:r>
                </w:p>
              </w:tc>
              <w:tc>
                <w:tcPr>
                  <w:tcW w:w="660" w:type="dxa"/>
                  <w:tcBorders>
                    <w:tl2br w:val="nil"/>
                    <w:tr2bl w:val="nil"/>
                  </w:tcBorders>
                  <w:shd w:val="clear" w:color="auto" w:fill="auto"/>
                  <w:vAlign w:val="center"/>
                </w:tcPr>
                <w:p w14:paraId="0962B97A">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Ⅲ</w:t>
                  </w:r>
                </w:p>
              </w:tc>
            </w:tr>
          </w:tbl>
          <w:p w14:paraId="1C7633C8">
            <w:pPr>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根据上述分析，2024年0</w:t>
            </w:r>
            <w:r>
              <w:rPr>
                <w:rFonts w:hint="eastAsia" w:cs="Times New Roman"/>
                <w:color w:val="auto"/>
                <w:sz w:val="24"/>
                <w:highlight w:val="none"/>
                <w:lang w:val="en-US" w:eastAsia="zh-CN"/>
              </w:rPr>
              <w:t>9</w:t>
            </w:r>
            <w:r>
              <w:rPr>
                <w:rFonts w:hint="default" w:ascii="Times New Roman" w:hAnsi="Times New Roman" w:eastAsia="宋体" w:cs="Times New Roman"/>
                <w:color w:val="auto"/>
                <w:sz w:val="24"/>
                <w:highlight w:val="none"/>
              </w:rPr>
              <w:t>月</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202</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rPr>
              <w:t>年</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rPr>
              <w:t>月</w:t>
            </w:r>
            <w:r>
              <w:rPr>
                <w:rFonts w:hint="eastAsia" w:cs="Times New Roman"/>
                <w:color w:val="auto"/>
                <w:sz w:val="24"/>
                <w:highlight w:val="none"/>
                <w:lang w:eastAsia="zh-CN"/>
              </w:rPr>
              <w:t>凤港减河</w:t>
            </w:r>
            <w:r>
              <w:rPr>
                <w:rFonts w:hint="default" w:ascii="Times New Roman" w:hAnsi="Times New Roman" w:eastAsia="宋体" w:cs="Times New Roman"/>
                <w:color w:val="auto"/>
                <w:sz w:val="24"/>
                <w:highlight w:val="none"/>
              </w:rPr>
              <w:t>现状水质均能达到《地表水环境质量标准》（GB3838-2002）中的Ⅴ类水质标准要求。</w:t>
            </w:r>
          </w:p>
          <w:p w14:paraId="7DAD3A8C">
            <w:pPr>
              <w:pStyle w:val="20"/>
              <w:numPr>
                <w:ilvl w:val="0"/>
                <w:numId w:val="0"/>
              </w:numPr>
              <w:adjustRightInd w:val="0"/>
              <w:snapToGrid w:val="0"/>
              <w:spacing w:before="0" w:beforeAutospacing="0" w:after="0" w:afterAutospacing="0" w:line="360" w:lineRule="auto"/>
              <w:rPr>
                <w:rFonts w:hint="default" w:ascii="Times New Roman" w:hAnsi="Times New Roman" w:eastAsia="宋体" w:cs="Times New Roman"/>
                <w:b/>
                <w:color w:val="auto"/>
                <w:szCs w:val="21"/>
                <w:highlight w:val="none"/>
              </w:rPr>
            </w:pPr>
            <w:r>
              <w:rPr>
                <w:rFonts w:hint="eastAsia" w:ascii="Times New Roman" w:hAnsi="Times New Roman" w:cs="Times New Roman"/>
                <w:b/>
                <w:color w:val="auto"/>
                <w:szCs w:val="21"/>
                <w:highlight w:val="none"/>
                <w:lang w:val="en-US" w:eastAsia="zh-CN"/>
              </w:rPr>
              <w:t>三、</w:t>
            </w:r>
            <w:r>
              <w:rPr>
                <w:rFonts w:hint="default" w:ascii="Times New Roman" w:hAnsi="Times New Roman" w:eastAsia="宋体" w:cs="Times New Roman"/>
                <w:b/>
                <w:color w:val="auto"/>
                <w:szCs w:val="21"/>
                <w:highlight w:val="none"/>
              </w:rPr>
              <w:t>声环境</w:t>
            </w:r>
          </w:p>
          <w:p w14:paraId="24547B9D">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本</w:t>
            </w:r>
            <w:r>
              <w:rPr>
                <w:rFonts w:hint="default" w:ascii="Times New Roman" w:hAnsi="Times New Roman" w:eastAsia="宋体" w:cs="Times New Roman"/>
                <w:color w:val="auto"/>
                <w:sz w:val="24"/>
                <w:highlight w:val="none"/>
                <w:lang w:val="en-US" w:eastAsia="zh-CN"/>
              </w:rPr>
              <w:t>项目位于</w:t>
            </w:r>
            <w:r>
              <w:rPr>
                <w:rFonts w:hint="eastAsia" w:cs="Times New Roman"/>
                <w:color w:val="auto"/>
                <w:sz w:val="24"/>
                <w:highlight w:val="none"/>
                <w:lang w:val="en-US" w:eastAsia="zh-CN"/>
              </w:rPr>
              <w:t>北京经济技术开发区(通州)环科中路16号23幢1至4层</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根据《北京市通州区人民政府关于印发通州区声环境功能区划实施细则的通知》（通政发〔</w:t>
            </w:r>
            <w:r>
              <w:rPr>
                <w:rFonts w:hint="default" w:ascii="Times New Roman" w:hAnsi="Times New Roman" w:eastAsia="宋体" w:cs="Times New Roman"/>
                <w:color w:val="auto"/>
                <w:sz w:val="24"/>
                <w:highlight w:val="none"/>
                <w:lang w:val="en-US" w:eastAsia="zh-CN"/>
              </w:rPr>
              <w:t>2023</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 xml:space="preserve">5 </w:t>
            </w:r>
            <w:r>
              <w:rPr>
                <w:rFonts w:hint="eastAsia" w:ascii="Times New Roman" w:hAnsi="Times New Roman" w:eastAsia="宋体" w:cs="Times New Roman"/>
                <w:color w:val="auto"/>
                <w:sz w:val="24"/>
                <w:highlight w:val="none"/>
                <w:lang w:val="en-US" w:eastAsia="zh-CN"/>
              </w:rPr>
              <w:t>号）中规定， 本项目所在区域声环境功能区划为</w:t>
            </w:r>
            <w:r>
              <w:rPr>
                <w:rFonts w:hint="default"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类区，声环境质量执行《声环境质量标准》（</w:t>
            </w:r>
            <w:r>
              <w:rPr>
                <w:rFonts w:hint="default" w:ascii="Times New Roman" w:hAnsi="Times New Roman" w:eastAsia="宋体" w:cs="Times New Roman"/>
                <w:color w:val="auto"/>
                <w:sz w:val="24"/>
                <w:highlight w:val="none"/>
                <w:lang w:val="en-US" w:eastAsia="zh-CN"/>
              </w:rPr>
              <w:t>GB3096-2008</w:t>
            </w:r>
            <w:r>
              <w:rPr>
                <w:rFonts w:hint="eastAsia" w:ascii="Times New Roman" w:hAnsi="Times New Roman" w:eastAsia="宋体" w:cs="Times New Roman"/>
                <w:color w:val="auto"/>
                <w:sz w:val="24"/>
                <w:highlight w:val="none"/>
                <w:lang w:val="en-US" w:eastAsia="zh-CN"/>
              </w:rPr>
              <w:t>）中的</w:t>
            </w:r>
            <w:r>
              <w:rPr>
                <w:rFonts w:hint="default"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类标准。</w:t>
            </w:r>
          </w:p>
          <w:p w14:paraId="572ABFD2">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根据《建设项目环境影响报告表编制技术指南（污染影响类）（试行）》，本项目厂界外50m范围内无声环境保护目标，无需开展</w:t>
            </w:r>
            <w:r>
              <w:rPr>
                <w:rFonts w:hint="default" w:ascii="Times New Roman" w:hAnsi="Times New Roman" w:eastAsia="宋体" w:cs="Times New Roman"/>
                <w:color w:val="auto"/>
                <w:sz w:val="24"/>
                <w:highlight w:val="none"/>
              </w:rPr>
              <w:t>声环境质量现状监测。</w:t>
            </w:r>
          </w:p>
          <w:p w14:paraId="1E0DAF49">
            <w:pPr>
              <w:pStyle w:val="20"/>
              <w:numPr>
                <w:ilvl w:val="0"/>
                <w:numId w:val="0"/>
              </w:numPr>
              <w:adjustRightInd w:val="0"/>
              <w:snapToGrid w:val="0"/>
              <w:spacing w:before="0" w:beforeAutospacing="0" w:after="0" w:afterAutospacing="0" w:line="360" w:lineRule="auto"/>
              <w:rPr>
                <w:rFonts w:hint="default" w:ascii="Times New Roman" w:hAnsi="Times New Roman" w:eastAsia="宋体" w:cs="Times New Roman"/>
                <w:b/>
                <w:bCs/>
                <w:color w:val="auto"/>
                <w:szCs w:val="24"/>
                <w:highlight w:val="none"/>
              </w:rPr>
            </w:pPr>
            <w:r>
              <w:rPr>
                <w:rFonts w:hint="eastAsia" w:ascii="Times New Roman" w:hAnsi="Times New Roman" w:cs="Times New Roman"/>
                <w:b/>
                <w:bCs/>
                <w:color w:val="auto"/>
                <w:szCs w:val="24"/>
                <w:highlight w:val="none"/>
                <w:lang w:val="en-US" w:eastAsia="zh-CN"/>
              </w:rPr>
              <w:t>四、</w:t>
            </w:r>
            <w:r>
              <w:rPr>
                <w:rFonts w:hint="default" w:ascii="Times New Roman" w:hAnsi="Times New Roman" w:eastAsia="宋体" w:cs="Times New Roman"/>
                <w:b/>
                <w:bCs/>
                <w:color w:val="auto"/>
                <w:szCs w:val="24"/>
                <w:highlight w:val="none"/>
              </w:rPr>
              <w:t>生态环境</w:t>
            </w:r>
          </w:p>
          <w:p w14:paraId="76E61D6D">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本项目位于现有产业园区内，不新增占地，根据《建设项目环境影响报告表编制技术指南（污染影响类）（试行）》，可不进行生态现状调查。</w:t>
            </w:r>
          </w:p>
          <w:p w14:paraId="7503D6DB">
            <w:pPr>
              <w:pStyle w:val="20"/>
              <w:numPr>
                <w:ilvl w:val="0"/>
                <w:numId w:val="0"/>
              </w:numPr>
              <w:adjustRightInd w:val="0"/>
              <w:snapToGrid w:val="0"/>
              <w:spacing w:before="0" w:beforeAutospacing="0" w:after="0" w:afterAutospacing="0" w:line="360" w:lineRule="auto"/>
              <w:rPr>
                <w:rFonts w:hint="default" w:ascii="Times New Roman" w:hAnsi="Times New Roman" w:eastAsia="宋体" w:cs="Times New Roman"/>
                <w:b/>
                <w:color w:val="auto"/>
                <w:szCs w:val="24"/>
                <w:highlight w:val="none"/>
              </w:rPr>
            </w:pPr>
            <w:r>
              <w:rPr>
                <w:rFonts w:hint="eastAsia" w:ascii="Times New Roman" w:hAnsi="Times New Roman" w:cs="Times New Roman"/>
                <w:b/>
                <w:bCs/>
                <w:color w:val="auto"/>
                <w:szCs w:val="24"/>
                <w:highlight w:val="none"/>
                <w:lang w:val="en-US" w:eastAsia="zh-CN"/>
              </w:rPr>
              <w:t>五、</w:t>
            </w:r>
            <w:r>
              <w:rPr>
                <w:rFonts w:hint="default" w:ascii="Times New Roman" w:hAnsi="Times New Roman" w:eastAsia="宋体" w:cs="Times New Roman"/>
                <w:b/>
                <w:bCs/>
                <w:color w:val="auto"/>
                <w:szCs w:val="24"/>
                <w:highlight w:val="none"/>
              </w:rPr>
              <w:t>地下水</w:t>
            </w:r>
            <w:r>
              <w:rPr>
                <w:rFonts w:hint="default" w:ascii="Times New Roman" w:hAnsi="Times New Roman" w:eastAsia="宋体" w:cs="Times New Roman"/>
                <w:b/>
                <w:color w:val="auto"/>
                <w:szCs w:val="24"/>
                <w:highlight w:val="none"/>
              </w:rPr>
              <w:t>、土壤环境</w:t>
            </w:r>
          </w:p>
          <w:p w14:paraId="2F567DEE">
            <w:pPr>
              <w:adjustRightInd w:val="0"/>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本项目</w:t>
            </w:r>
            <w:r>
              <w:rPr>
                <w:rFonts w:hint="eastAsia" w:cs="Times New Roman"/>
                <w:color w:val="auto"/>
                <w:sz w:val="24"/>
                <w:szCs w:val="32"/>
                <w:highlight w:val="none"/>
                <w:lang w:val="en-US" w:eastAsia="zh-CN"/>
              </w:rPr>
              <w:t>利用</w:t>
            </w:r>
            <w:r>
              <w:rPr>
                <w:rFonts w:hint="default" w:ascii="Times New Roman" w:hAnsi="Times New Roman" w:eastAsia="宋体" w:cs="Times New Roman"/>
                <w:color w:val="auto"/>
                <w:sz w:val="24"/>
                <w:szCs w:val="32"/>
                <w:highlight w:val="none"/>
              </w:rPr>
              <w:t>现有房屋进行建设，项目运营后</w:t>
            </w:r>
            <w:r>
              <w:rPr>
                <w:rFonts w:hint="eastAsia" w:ascii="Times New Roman" w:hAnsi="Times New Roman" w:eastAsia="宋体" w:cs="Times New Roman"/>
                <w:color w:val="auto"/>
                <w:sz w:val="24"/>
                <w:szCs w:val="32"/>
                <w:highlight w:val="none"/>
                <w:lang w:val="en-US" w:eastAsia="zh-CN"/>
              </w:rPr>
              <w:t>容器第三遍及以后清洗废水</w:t>
            </w:r>
            <w:r>
              <w:rPr>
                <w:rFonts w:hint="eastAsia" w:cs="Times New Roman"/>
                <w:color w:val="auto"/>
                <w:sz w:val="24"/>
                <w:szCs w:val="32"/>
                <w:highlight w:val="none"/>
                <w:lang w:val="en-US" w:eastAsia="zh-CN"/>
              </w:rPr>
              <w:t>、</w:t>
            </w:r>
            <w:r>
              <w:rPr>
                <w:rFonts w:hint="eastAsia" w:ascii="Times New Roman" w:hAnsi="Times New Roman" w:eastAsia="宋体" w:cs="Times New Roman"/>
                <w:color w:val="auto"/>
                <w:sz w:val="24"/>
                <w:szCs w:val="32"/>
                <w:highlight w:val="none"/>
                <w:lang w:val="en-US" w:eastAsia="zh-CN"/>
              </w:rPr>
              <w:t>生活污水、</w:t>
            </w:r>
            <w:r>
              <w:rPr>
                <w:rFonts w:hint="default" w:ascii="Times New Roman" w:hAnsi="Times New Roman" w:eastAsia="宋体" w:cs="Times New Roman"/>
                <w:color w:val="auto"/>
                <w:sz w:val="24"/>
                <w:szCs w:val="32"/>
                <w:highlight w:val="none"/>
              </w:rPr>
              <w:t>纯水制备</w:t>
            </w:r>
            <w:r>
              <w:rPr>
                <w:rFonts w:hint="default" w:ascii="Times New Roman" w:hAnsi="Times New Roman" w:eastAsia="宋体" w:cs="Times New Roman"/>
                <w:color w:val="auto"/>
                <w:sz w:val="24"/>
                <w:szCs w:val="32"/>
                <w:highlight w:val="none"/>
              </w:rPr>
              <w:t>废水</w:t>
            </w:r>
            <w:r>
              <w:rPr>
                <w:rFonts w:hint="eastAsia" w:ascii="Times New Roman" w:hAnsi="Times New Roman" w:eastAsia="宋体" w:cs="Times New Roman"/>
                <w:color w:val="auto"/>
                <w:sz w:val="24"/>
                <w:szCs w:val="32"/>
                <w:highlight w:val="none"/>
                <w:lang w:eastAsia="zh-CN"/>
              </w:rPr>
              <w:t>、</w:t>
            </w:r>
            <w:r>
              <w:rPr>
                <w:rFonts w:hint="eastAsia" w:ascii="Times New Roman" w:hAnsi="Times New Roman" w:eastAsia="宋体" w:cs="Times New Roman"/>
                <w:color w:val="auto"/>
                <w:sz w:val="24"/>
                <w:szCs w:val="32"/>
                <w:highlight w:val="none"/>
                <w:lang w:val="en-US" w:eastAsia="zh-CN"/>
              </w:rPr>
              <w:t>高压蒸汽灭菌废水、地面清洗废水</w:t>
            </w:r>
            <w:r>
              <w:rPr>
                <w:rFonts w:hint="default" w:ascii="Times New Roman" w:hAnsi="Times New Roman" w:eastAsia="宋体" w:cs="Times New Roman"/>
                <w:color w:val="auto"/>
                <w:sz w:val="24"/>
                <w:szCs w:val="32"/>
                <w:highlight w:val="none"/>
              </w:rPr>
              <w:t>一同</w:t>
            </w:r>
            <w:r>
              <w:rPr>
                <w:rFonts w:hint="eastAsia" w:ascii="Times New Roman" w:hAnsi="Times New Roman" w:eastAsia="宋体" w:cs="Times New Roman"/>
                <w:color w:val="auto"/>
                <w:sz w:val="24"/>
                <w:szCs w:val="32"/>
                <w:highlight w:val="none"/>
                <w:lang w:val="en-US" w:eastAsia="zh-CN"/>
              </w:rPr>
              <w:t>进</w:t>
            </w:r>
            <w:r>
              <w:rPr>
                <w:rFonts w:hint="default" w:ascii="Times New Roman" w:hAnsi="Times New Roman" w:eastAsia="宋体" w:cs="Times New Roman"/>
                <w:color w:val="auto"/>
                <w:sz w:val="24"/>
                <w:szCs w:val="32"/>
                <w:highlight w:val="none"/>
              </w:rPr>
              <w:t>园区化粪池处理后排入市政管网</w:t>
            </w:r>
            <w:r>
              <w:rPr>
                <w:rFonts w:hint="eastAsia" w:ascii="Times New Roman" w:hAnsi="Times New Roman" w:eastAsia="宋体" w:cs="Times New Roman"/>
                <w:color w:val="auto"/>
                <w:sz w:val="24"/>
                <w:szCs w:val="32"/>
                <w:highlight w:val="none"/>
                <w:lang w:eastAsia="zh-CN"/>
              </w:rPr>
              <w:t>；</w:t>
            </w:r>
            <w:r>
              <w:rPr>
                <w:rFonts w:hint="eastAsia" w:ascii="Times New Roman" w:hAnsi="Times New Roman" w:eastAsia="宋体" w:cs="Times New Roman"/>
                <w:color w:val="auto"/>
                <w:sz w:val="24"/>
                <w:szCs w:val="32"/>
                <w:highlight w:val="none"/>
                <w:lang w:val="en-US" w:eastAsia="zh-CN"/>
              </w:rPr>
              <w:t>试剂室</w:t>
            </w:r>
            <w:r>
              <w:rPr>
                <w:rFonts w:hint="default" w:ascii="Times New Roman" w:hAnsi="Times New Roman" w:eastAsia="宋体" w:cs="Times New Roman"/>
                <w:color w:val="auto"/>
                <w:sz w:val="24"/>
                <w:szCs w:val="32"/>
                <w:highlight w:val="none"/>
                <w:lang w:val="en-US" w:eastAsia="zh-CN"/>
              </w:rPr>
              <w:t>、</w:t>
            </w:r>
            <w:r>
              <w:rPr>
                <w:rFonts w:hint="eastAsia" w:ascii="Times New Roman" w:hAnsi="Times New Roman" w:eastAsia="宋体" w:cs="Times New Roman"/>
                <w:color w:val="auto"/>
                <w:sz w:val="24"/>
                <w:szCs w:val="32"/>
                <w:highlight w:val="none"/>
                <w:lang w:val="en-US" w:eastAsia="zh-CN"/>
              </w:rPr>
              <w:t>易制毒室、</w:t>
            </w:r>
            <w:r>
              <w:rPr>
                <w:rFonts w:hint="default" w:ascii="Times New Roman" w:hAnsi="Times New Roman" w:eastAsia="宋体" w:cs="Times New Roman"/>
                <w:color w:val="auto"/>
                <w:sz w:val="24"/>
                <w:szCs w:val="32"/>
                <w:highlight w:val="none"/>
                <w:lang w:val="en-US" w:eastAsia="zh-CN"/>
              </w:rPr>
              <w:t>危险废物暂存间、实验室均</w:t>
            </w:r>
            <w:r>
              <w:rPr>
                <w:rFonts w:hint="default" w:ascii="Times New Roman" w:hAnsi="Times New Roman" w:eastAsia="宋体" w:cs="Times New Roman"/>
                <w:color w:val="auto"/>
                <w:sz w:val="24"/>
                <w:szCs w:val="32"/>
                <w:highlight w:val="none"/>
              </w:rPr>
              <w:t>采取分区防渗措施，与地</w:t>
            </w:r>
            <w:r>
              <w:rPr>
                <w:rFonts w:hint="default" w:ascii="Times New Roman" w:hAnsi="Times New Roman" w:eastAsia="宋体" w:cs="Times New Roman"/>
                <w:color w:val="auto"/>
                <w:sz w:val="24"/>
                <w:szCs w:val="32"/>
                <w:highlight w:val="none"/>
              </w:rPr>
              <w:t>下水及土壤环境有物理隔离，可有效阻断地下水环境污染途径；固体废物均得到合理处置，不存在土壤及地下水环境污染途径，无需进行地下水、土壤环境质量现状调查。</w:t>
            </w:r>
          </w:p>
        </w:tc>
      </w:tr>
      <w:tr w14:paraId="1E8E8F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14:paraId="74F7D1DF">
            <w:pPr>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环境保护目标</w:t>
            </w:r>
          </w:p>
        </w:tc>
        <w:tc>
          <w:tcPr>
            <w:tcW w:w="8147" w:type="dxa"/>
            <w:vAlign w:val="center"/>
          </w:tcPr>
          <w:p w14:paraId="623B3C0A">
            <w:pPr>
              <w:pStyle w:val="20"/>
              <w:numPr>
                <w:ilvl w:val="0"/>
                <w:numId w:val="32"/>
              </w:numPr>
              <w:adjustRightInd w:val="0"/>
              <w:snapToGrid w:val="0"/>
              <w:spacing w:before="0" w:beforeAutospacing="0" w:after="0" w:afterAutospacing="0" w:line="360" w:lineRule="auto"/>
              <w:rPr>
                <w:rFonts w:hint="default" w:ascii="Times New Roman" w:hAnsi="Times New Roman" w:eastAsia="宋体" w:cs="Times New Roman"/>
                <w:color w:val="auto"/>
                <w:sz w:val="32"/>
                <w:szCs w:val="22"/>
                <w:highlight w:val="none"/>
              </w:rPr>
            </w:pPr>
            <w:r>
              <w:rPr>
                <w:rFonts w:hint="default" w:ascii="Times New Roman" w:hAnsi="Times New Roman" w:eastAsia="宋体" w:cs="Times New Roman"/>
                <w:b/>
                <w:bCs/>
                <w:color w:val="auto"/>
                <w:szCs w:val="24"/>
                <w:highlight w:val="none"/>
              </w:rPr>
              <w:t>大气</w:t>
            </w:r>
            <w:r>
              <w:rPr>
                <w:rFonts w:hint="default" w:ascii="Times New Roman" w:hAnsi="Times New Roman" w:eastAsia="宋体" w:cs="Times New Roman"/>
                <w:b/>
                <w:bCs/>
                <w:color w:val="auto"/>
                <w:sz w:val="22"/>
                <w:szCs w:val="22"/>
                <w:highlight w:val="none"/>
                <w:lang w:bidi="ar"/>
              </w:rPr>
              <w:t>环境</w:t>
            </w:r>
          </w:p>
          <w:p w14:paraId="157B385B">
            <w:pPr>
              <w:adjustRightInd w:val="0"/>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lang w:val="en-US" w:eastAsia="zh-CN"/>
              </w:rPr>
              <w:t>本项目大气环境保护目标为西南侧2</w:t>
            </w:r>
            <w:r>
              <w:rPr>
                <w:rFonts w:hint="eastAsia" w:ascii="Times New Roman" w:hAnsi="Times New Roman" w:eastAsia="宋体" w:cs="Times New Roman"/>
                <w:color w:val="auto"/>
                <w:sz w:val="24"/>
                <w:szCs w:val="32"/>
                <w:highlight w:val="none"/>
                <w:lang w:val="en-US" w:eastAsia="zh-CN"/>
              </w:rPr>
              <w:t>43</w:t>
            </w:r>
            <w:r>
              <w:rPr>
                <w:rFonts w:hint="default" w:ascii="Times New Roman" w:hAnsi="Times New Roman" w:eastAsia="宋体" w:cs="Times New Roman"/>
                <w:color w:val="auto"/>
                <w:sz w:val="24"/>
                <w:szCs w:val="32"/>
                <w:highlight w:val="none"/>
                <w:lang w:val="en-US" w:eastAsia="zh-CN"/>
              </w:rPr>
              <w:t>米</w:t>
            </w:r>
            <w:r>
              <w:rPr>
                <w:rFonts w:hint="eastAsia" w:ascii="Times New Roman" w:hAnsi="Times New Roman" w:cs="Times New Roman"/>
                <w:color w:val="auto"/>
                <w:sz w:val="24"/>
                <w:szCs w:val="32"/>
                <w:highlight w:val="none"/>
                <w:lang w:val="en-US" w:eastAsia="zh-CN"/>
              </w:rPr>
              <w:t>的</w:t>
            </w:r>
            <w:r>
              <w:rPr>
                <w:rFonts w:hint="eastAsia" w:ascii="Times New Roman" w:hAnsi="Times New Roman" w:eastAsia="宋体" w:cs="Times New Roman"/>
                <w:color w:val="auto"/>
                <w:sz w:val="24"/>
                <w:szCs w:val="32"/>
                <w:highlight w:val="none"/>
                <w:lang w:val="en-US" w:eastAsia="zh-CN"/>
              </w:rPr>
              <w:t>马驹桥中心小学小张湾校区、西</w:t>
            </w:r>
            <w:r>
              <w:rPr>
                <w:rFonts w:hint="eastAsia" w:ascii="Times New Roman" w:hAnsi="Times New Roman" w:cs="Times New Roman"/>
                <w:color w:val="auto"/>
                <w:sz w:val="24"/>
                <w:szCs w:val="32"/>
                <w:highlight w:val="none"/>
                <w:lang w:val="en-US" w:eastAsia="zh-CN"/>
              </w:rPr>
              <w:t>南</w:t>
            </w:r>
            <w:r>
              <w:rPr>
                <w:rFonts w:hint="eastAsia" w:ascii="Times New Roman" w:hAnsi="Times New Roman" w:eastAsia="宋体" w:cs="Times New Roman"/>
                <w:color w:val="auto"/>
                <w:sz w:val="24"/>
                <w:szCs w:val="32"/>
                <w:highlight w:val="none"/>
                <w:lang w:val="en-US" w:eastAsia="zh-CN"/>
              </w:rPr>
              <w:t>侧</w:t>
            </w:r>
            <w:r>
              <w:rPr>
                <w:rFonts w:hint="eastAsia" w:ascii="Times New Roman" w:hAnsi="Times New Roman" w:cs="Times New Roman"/>
                <w:color w:val="auto"/>
                <w:sz w:val="24"/>
                <w:szCs w:val="32"/>
                <w:highlight w:val="none"/>
                <w:lang w:val="en-US" w:eastAsia="zh-CN"/>
              </w:rPr>
              <w:t>480</w:t>
            </w:r>
            <w:r>
              <w:rPr>
                <w:rFonts w:hint="eastAsia" w:ascii="Times New Roman" w:hAnsi="Times New Roman" w:eastAsia="宋体" w:cs="Times New Roman"/>
                <w:color w:val="auto"/>
                <w:sz w:val="24"/>
                <w:szCs w:val="32"/>
                <w:highlight w:val="none"/>
                <w:lang w:val="en-US" w:eastAsia="zh-CN"/>
              </w:rPr>
              <w:t>米</w:t>
            </w:r>
            <w:r>
              <w:rPr>
                <w:rFonts w:hint="eastAsia" w:ascii="Times New Roman" w:hAnsi="Times New Roman" w:cs="Times New Roman"/>
                <w:color w:val="auto"/>
                <w:sz w:val="24"/>
                <w:szCs w:val="32"/>
                <w:highlight w:val="none"/>
                <w:lang w:val="en-US" w:eastAsia="zh-CN"/>
              </w:rPr>
              <w:t>的小张湾村</w:t>
            </w:r>
            <w:r>
              <w:rPr>
                <w:rFonts w:hint="eastAsia" w:ascii="Times New Roman" w:hAnsi="Times New Roman" w:eastAsia="宋体" w:cs="Times New Roman"/>
                <w:color w:val="auto"/>
                <w:sz w:val="24"/>
                <w:szCs w:val="32"/>
                <w:highlight w:val="none"/>
                <w:lang w:val="en-US" w:eastAsia="zh-CN"/>
              </w:rPr>
              <w:t>、</w:t>
            </w:r>
            <w:r>
              <w:rPr>
                <w:rFonts w:hint="eastAsia" w:ascii="Times New Roman" w:hAnsi="Times New Roman" w:cs="Times New Roman"/>
                <w:color w:val="auto"/>
                <w:sz w:val="24"/>
                <w:szCs w:val="32"/>
                <w:highlight w:val="none"/>
                <w:lang w:val="en-US" w:eastAsia="zh-CN"/>
              </w:rPr>
              <w:t>南</w:t>
            </w:r>
            <w:r>
              <w:rPr>
                <w:rFonts w:hint="eastAsia" w:ascii="Times New Roman" w:hAnsi="Times New Roman" w:eastAsia="宋体" w:cs="Times New Roman"/>
                <w:color w:val="auto"/>
                <w:sz w:val="24"/>
                <w:szCs w:val="32"/>
                <w:highlight w:val="none"/>
                <w:lang w:val="en-US" w:eastAsia="zh-CN"/>
              </w:rPr>
              <w:t>侧</w:t>
            </w:r>
            <w:r>
              <w:rPr>
                <w:rFonts w:hint="eastAsia" w:ascii="Times New Roman" w:hAnsi="Times New Roman" w:cs="Times New Roman"/>
                <w:color w:val="auto"/>
                <w:sz w:val="24"/>
                <w:szCs w:val="32"/>
                <w:highlight w:val="none"/>
                <w:lang w:val="en-US" w:eastAsia="zh-CN"/>
              </w:rPr>
              <w:t>370</w:t>
            </w:r>
            <w:r>
              <w:rPr>
                <w:rFonts w:hint="eastAsia" w:ascii="Times New Roman" w:hAnsi="Times New Roman" w:eastAsia="宋体" w:cs="Times New Roman"/>
                <w:color w:val="auto"/>
                <w:sz w:val="24"/>
                <w:szCs w:val="32"/>
                <w:highlight w:val="none"/>
                <w:lang w:val="en-US" w:eastAsia="zh-CN"/>
              </w:rPr>
              <w:t>米</w:t>
            </w:r>
            <w:r>
              <w:rPr>
                <w:rFonts w:hint="eastAsia" w:ascii="Times New Roman" w:hAnsi="Times New Roman" w:cs="Times New Roman"/>
                <w:color w:val="auto"/>
                <w:sz w:val="24"/>
                <w:szCs w:val="32"/>
                <w:highlight w:val="none"/>
                <w:lang w:val="en-US" w:eastAsia="zh-CN"/>
              </w:rPr>
              <w:t>的周营村</w:t>
            </w:r>
            <w:r>
              <w:rPr>
                <w:rFonts w:hint="default" w:ascii="Times New Roman" w:hAnsi="Times New Roman" w:eastAsia="宋体" w:cs="Times New Roman"/>
                <w:color w:val="auto"/>
                <w:sz w:val="24"/>
                <w:szCs w:val="32"/>
                <w:highlight w:val="none"/>
              </w:rPr>
              <w:t>。</w:t>
            </w:r>
          </w:p>
          <w:p w14:paraId="332DC40A">
            <w:pPr>
              <w:pStyle w:val="20"/>
              <w:numPr>
                <w:ilvl w:val="0"/>
                <w:numId w:val="32"/>
              </w:numPr>
              <w:adjustRightInd w:val="0"/>
              <w:snapToGrid w:val="0"/>
              <w:spacing w:before="0" w:beforeAutospacing="0" w:after="0" w:afterAutospacing="0" w:line="360" w:lineRule="auto"/>
              <w:rPr>
                <w:rFonts w:hint="default" w:ascii="Times New Roman" w:hAnsi="Times New Roman" w:eastAsia="宋体" w:cs="Times New Roman"/>
                <w:b/>
                <w:bCs/>
                <w:color w:val="auto"/>
                <w:sz w:val="22"/>
                <w:szCs w:val="22"/>
                <w:highlight w:val="none"/>
                <w:lang w:bidi="ar"/>
              </w:rPr>
            </w:pPr>
            <w:r>
              <w:rPr>
                <w:rFonts w:hint="default" w:ascii="Times New Roman" w:hAnsi="Times New Roman" w:eastAsia="宋体" w:cs="Times New Roman"/>
                <w:b/>
                <w:bCs/>
                <w:color w:val="auto"/>
                <w:sz w:val="22"/>
                <w:szCs w:val="22"/>
                <w:highlight w:val="none"/>
                <w:lang w:bidi="ar"/>
              </w:rPr>
              <w:t>声环境</w:t>
            </w:r>
          </w:p>
          <w:p w14:paraId="7DC68A52">
            <w:pPr>
              <w:autoSpaceDE w:val="0"/>
              <w:autoSpaceDN w:val="0"/>
              <w:adjustRightInd w:val="0"/>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项目厂界外50m范围内无声环境保护目标。</w:t>
            </w:r>
          </w:p>
          <w:p w14:paraId="44B57210">
            <w:pPr>
              <w:pStyle w:val="20"/>
              <w:numPr>
                <w:ilvl w:val="0"/>
                <w:numId w:val="32"/>
              </w:numPr>
              <w:adjustRightInd w:val="0"/>
              <w:snapToGrid w:val="0"/>
              <w:spacing w:before="0" w:beforeAutospacing="0" w:after="0" w:afterAutospacing="0" w:line="360" w:lineRule="auto"/>
              <w:rPr>
                <w:rFonts w:hint="default" w:ascii="Times New Roman" w:hAnsi="Times New Roman" w:eastAsia="宋体" w:cs="Times New Roman"/>
                <w:b/>
                <w:bCs/>
                <w:color w:val="auto"/>
                <w:sz w:val="22"/>
                <w:szCs w:val="22"/>
                <w:highlight w:val="none"/>
                <w:lang w:bidi="ar"/>
              </w:rPr>
            </w:pPr>
            <w:r>
              <w:rPr>
                <w:rFonts w:hint="default" w:ascii="Times New Roman" w:hAnsi="Times New Roman" w:eastAsia="宋体" w:cs="Times New Roman"/>
                <w:b/>
                <w:bCs/>
                <w:color w:val="auto"/>
                <w:szCs w:val="24"/>
                <w:highlight w:val="none"/>
              </w:rPr>
              <w:t>地下水</w:t>
            </w:r>
            <w:r>
              <w:rPr>
                <w:rFonts w:hint="default" w:ascii="Times New Roman" w:hAnsi="Times New Roman" w:eastAsia="宋体" w:cs="Times New Roman"/>
                <w:b/>
                <w:bCs/>
                <w:color w:val="auto"/>
                <w:sz w:val="22"/>
                <w:szCs w:val="22"/>
                <w:highlight w:val="none"/>
                <w:lang w:bidi="ar"/>
              </w:rPr>
              <w:t>环境</w:t>
            </w:r>
          </w:p>
          <w:p w14:paraId="3177BA51">
            <w:pPr>
              <w:autoSpaceDE w:val="0"/>
              <w:autoSpaceDN w:val="0"/>
              <w:adjustRightInd w:val="0"/>
              <w:spacing w:line="360" w:lineRule="auto"/>
              <w:ind w:firstLine="480" w:firstLineChars="200"/>
              <w:rPr>
                <w:rFonts w:hint="default" w:ascii="Times New Roman" w:hAnsi="Times New Roman" w:eastAsia="宋体" w:cs="Times New Roman"/>
                <w:color w:val="auto"/>
                <w:sz w:val="24"/>
                <w:szCs w:val="32"/>
                <w:highlight w:val="none"/>
              </w:rPr>
            </w:pPr>
            <w:r>
              <w:rPr>
                <w:rFonts w:hint="eastAsia" w:ascii="Times New Roman" w:hAnsi="Times New Roman" w:eastAsia="宋体" w:cs="Times New Roman"/>
                <w:color w:val="auto"/>
                <w:sz w:val="24"/>
                <w:szCs w:val="32"/>
                <w:highlight w:val="none"/>
                <w:lang w:val="en-US" w:eastAsia="zh-CN"/>
              </w:rPr>
              <w:t>根据《北京市人民政府关于通州区集中式饮用水水源保护区划定方案的批复》</w:t>
            </w:r>
            <w:r>
              <w:rPr>
                <w:rFonts w:hint="default" w:ascii="Times New Roman" w:hAnsi="Times New Roman" w:eastAsia="宋体" w:cs="Times New Roman"/>
                <w:color w:val="auto"/>
                <w:sz w:val="24"/>
                <w:szCs w:val="32"/>
                <w:highlight w:val="none"/>
                <w:lang w:val="en-US" w:eastAsia="zh-CN"/>
              </w:rPr>
              <w:t>(</w:t>
            </w:r>
            <w:r>
              <w:rPr>
                <w:rFonts w:hint="eastAsia" w:ascii="Times New Roman" w:hAnsi="Times New Roman" w:eastAsia="宋体" w:cs="Times New Roman"/>
                <w:color w:val="auto"/>
                <w:sz w:val="24"/>
                <w:szCs w:val="32"/>
                <w:highlight w:val="none"/>
                <w:lang w:val="en-US" w:eastAsia="zh-CN"/>
              </w:rPr>
              <w:t>京政函</w:t>
            </w:r>
            <w:r>
              <w:rPr>
                <w:rFonts w:hint="default" w:ascii="Times New Roman" w:hAnsi="Times New Roman" w:eastAsia="宋体" w:cs="Times New Roman"/>
                <w:color w:val="auto"/>
                <w:sz w:val="24"/>
                <w:szCs w:val="32"/>
                <w:highlight w:val="none"/>
                <w:lang w:val="en-US" w:eastAsia="zh-CN"/>
              </w:rPr>
              <w:t xml:space="preserve">[2014]164 </w:t>
            </w:r>
            <w:r>
              <w:rPr>
                <w:rFonts w:hint="eastAsia" w:ascii="Times New Roman" w:hAnsi="Times New Roman" w:eastAsia="宋体" w:cs="Times New Roman"/>
                <w:color w:val="auto"/>
                <w:sz w:val="24"/>
                <w:szCs w:val="32"/>
                <w:highlight w:val="none"/>
                <w:lang w:val="en-US" w:eastAsia="zh-CN"/>
              </w:rPr>
              <w:t>号</w:t>
            </w:r>
            <w:r>
              <w:rPr>
                <w:rFonts w:hint="default" w:ascii="Times New Roman" w:hAnsi="Times New Roman" w:eastAsia="宋体" w:cs="Times New Roman"/>
                <w:color w:val="auto"/>
                <w:sz w:val="24"/>
                <w:szCs w:val="32"/>
                <w:highlight w:val="none"/>
                <w:lang w:val="en-US" w:eastAsia="zh-CN"/>
              </w:rPr>
              <w:t>)</w:t>
            </w:r>
            <w:r>
              <w:rPr>
                <w:rFonts w:hint="eastAsia" w:ascii="Times New Roman" w:hAnsi="Times New Roman" w:eastAsia="宋体" w:cs="Times New Roman"/>
                <w:color w:val="auto"/>
                <w:sz w:val="24"/>
                <w:szCs w:val="32"/>
                <w:highlight w:val="none"/>
                <w:lang w:val="en-US" w:eastAsia="zh-CN"/>
              </w:rPr>
              <w:t>、《北京市人民政府关于调整通州区集中式饮用水水源保护区范围的批复》</w:t>
            </w:r>
            <w:r>
              <w:rPr>
                <w:rFonts w:hint="default" w:ascii="Times New Roman" w:hAnsi="Times New Roman" w:eastAsia="宋体" w:cs="Times New Roman"/>
                <w:color w:val="auto"/>
                <w:sz w:val="24"/>
                <w:szCs w:val="32"/>
                <w:highlight w:val="none"/>
                <w:lang w:val="en-US" w:eastAsia="zh-CN"/>
              </w:rPr>
              <w:t>(</w:t>
            </w:r>
            <w:r>
              <w:rPr>
                <w:rFonts w:hint="eastAsia" w:ascii="Times New Roman" w:hAnsi="Times New Roman" w:eastAsia="宋体" w:cs="Times New Roman"/>
                <w:color w:val="auto"/>
                <w:sz w:val="24"/>
                <w:szCs w:val="32"/>
                <w:highlight w:val="none"/>
                <w:lang w:val="en-US" w:eastAsia="zh-CN"/>
              </w:rPr>
              <w:t>京政函</w:t>
            </w:r>
            <w:r>
              <w:rPr>
                <w:rFonts w:hint="default" w:ascii="Times New Roman" w:hAnsi="Times New Roman" w:eastAsia="宋体" w:cs="Times New Roman"/>
                <w:color w:val="auto"/>
                <w:sz w:val="24"/>
                <w:szCs w:val="32"/>
                <w:highlight w:val="none"/>
                <w:lang w:val="en-US" w:eastAsia="zh-CN"/>
              </w:rPr>
              <w:t xml:space="preserve">[2016]24 </w:t>
            </w:r>
            <w:r>
              <w:rPr>
                <w:rFonts w:hint="eastAsia" w:ascii="Times New Roman" w:hAnsi="Times New Roman" w:eastAsia="宋体" w:cs="Times New Roman"/>
                <w:color w:val="auto"/>
                <w:sz w:val="24"/>
                <w:szCs w:val="32"/>
                <w:highlight w:val="none"/>
                <w:lang w:val="en-US" w:eastAsia="zh-CN"/>
              </w:rPr>
              <w:t>号</w:t>
            </w:r>
            <w:r>
              <w:rPr>
                <w:rFonts w:hint="default" w:ascii="Times New Roman" w:hAnsi="Times New Roman" w:eastAsia="宋体" w:cs="Times New Roman"/>
                <w:color w:val="auto"/>
                <w:sz w:val="24"/>
                <w:szCs w:val="32"/>
                <w:highlight w:val="none"/>
                <w:lang w:val="en-US" w:eastAsia="zh-CN"/>
              </w:rPr>
              <w:t>)</w:t>
            </w:r>
            <w:r>
              <w:rPr>
                <w:rFonts w:hint="eastAsia" w:ascii="Times New Roman" w:hAnsi="Times New Roman" w:eastAsia="宋体" w:cs="Times New Roman"/>
                <w:color w:val="auto"/>
                <w:sz w:val="24"/>
                <w:szCs w:val="32"/>
                <w:highlight w:val="none"/>
                <w:lang w:val="en-US" w:eastAsia="zh-CN"/>
              </w:rPr>
              <w:t>、《北京市人民政府关于调整市级地下饮用水水源保护区范围的通知》（京政发</w:t>
            </w:r>
            <w:r>
              <w:rPr>
                <w:rFonts w:hint="default" w:ascii="Times New Roman" w:hAnsi="Times New Roman" w:eastAsia="宋体" w:cs="Times New Roman"/>
                <w:color w:val="auto"/>
                <w:sz w:val="24"/>
                <w:szCs w:val="32"/>
                <w:highlight w:val="none"/>
                <w:lang w:val="en-US" w:eastAsia="zh-CN"/>
              </w:rPr>
              <w:t xml:space="preserve">[2015]33 </w:t>
            </w:r>
            <w:r>
              <w:rPr>
                <w:rFonts w:hint="eastAsia" w:ascii="Times New Roman" w:hAnsi="Times New Roman" w:eastAsia="宋体" w:cs="Times New Roman"/>
                <w:color w:val="auto"/>
                <w:sz w:val="24"/>
                <w:szCs w:val="32"/>
                <w:highlight w:val="none"/>
                <w:lang w:val="en-US" w:eastAsia="zh-CN"/>
              </w:rPr>
              <w:t>号）和《北京市人民政府关于调整部分市级饮用水水源保护区范围的批复》（京政字</w:t>
            </w:r>
            <w:r>
              <w:rPr>
                <w:rFonts w:hint="default" w:ascii="Times New Roman" w:hAnsi="Times New Roman" w:eastAsia="宋体" w:cs="Times New Roman"/>
                <w:color w:val="auto"/>
                <w:sz w:val="24"/>
                <w:szCs w:val="32"/>
                <w:highlight w:val="none"/>
                <w:lang w:val="en-US" w:eastAsia="zh-CN"/>
              </w:rPr>
              <w:t xml:space="preserve">[2021]41 </w:t>
            </w:r>
            <w:r>
              <w:rPr>
                <w:rFonts w:hint="eastAsia" w:ascii="Times New Roman" w:hAnsi="Times New Roman" w:eastAsia="宋体" w:cs="Times New Roman"/>
                <w:color w:val="auto"/>
                <w:sz w:val="24"/>
                <w:szCs w:val="32"/>
                <w:highlight w:val="none"/>
                <w:lang w:val="en-US" w:eastAsia="zh-CN"/>
              </w:rPr>
              <w:t xml:space="preserve">号），根据现场踏勘，本项目边界外 </w:t>
            </w:r>
            <w:r>
              <w:rPr>
                <w:rFonts w:hint="default" w:ascii="Times New Roman" w:hAnsi="Times New Roman" w:eastAsia="宋体" w:cs="Times New Roman"/>
                <w:color w:val="auto"/>
                <w:sz w:val="24"/>
                <w:szCs w:val="32"/>
                <w:highlight w:val="none"/>
                <w:lang w:val="en-US" w:eastAsia="zh-CN"/>
              </w:rPr>
              <w:t xml:space="preserve">500 </w:t>
            </w:r>
            <w:r>
              <w:rPr>
                <w:rFonts w:hint="eastAsia" w:ascii="Times New Roman" w:hAnsi="Times New Roman" w:eastAsia="宋体" w:cs="Times New Roman"/>
                <w:color w:val="auto"/>
                <w:sz w:val="24"/>
                <w:szCs w:val="32"/>
                <w:highlight w:val="none"/>
                <w:lang w:val="en-US" w:eastAsia="zh-CN"/>
              </w:rPr>
              <w:t>米范围内无地下水集中式饮用水水源和热水、矿泉水、温泉等特殊地下水资源，故本项目所在区域不属于北京市地下饮用水水源保护区范围内。</w:t>
            </w:r>
          </w:p>
          <w:p w14:paraId="25CA5E73">
            <w:pPr>
              <w:pStyle w:val="20"/>
              <w:numPr>
                <w:ilvl w:val="0"/>
                <w:numId w:val="32"/>
              </w:numPr>
              <w:adjustRightInd w:val="0"/>
              <w:snapToGrid w:val="0"/>
              <w:spacing w:before="0" w:beforeAutospacing="0" w:after="0" w:afterAutospacing="0" w:line="360" w:lineRule="auto"/>
              <w:rPr>
                <w:rFonts w:hint="default" w:ascii="Times New Roman" w:hAnsi="Times New Roman" w:eastAsia="宋体" w:cs="Times New Roman"/>
                <w:b/>
                <w:bCs/>
                <w:color w:val="auto"/>
                <w:szCs w:val="24"/>
                <w:highlight w:val="none"/>
                <w:lang w:bidi="ar"/>
              </w:rPr>
            </w:pPr>
            <w:r>
              <w:rPr>
                <w:rFonts w:hint="default" w:ascii="Times New Roman" w:hAnsi="Times New Roman" w:eastAsia="宋体" w:cs="Times New Roman"/>
                <w:b/>
                <w:bCs/>
                <w:color w:val="auto"/>
                <w:szCs w:val="24"/>
                <w:highlight w:val="none"/>
                <w:lang w:bidi="ar"/>
              </w:rPr>
              <w:t>生态环境</w:t>
            </w:r>
          </w:p>
          <w:p w14:paraId="5F962822">
            <w:pPr>
              <w:autoSpaceDE w:val="0"/>
              <w:autoSpaceDN w:val="0"/>
              <w:adjustRightInd w:val="0"/>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本项目租用园区内现有房屋，不新增建设用地，且用地范围内无基本农田、森林公园等生态环境保护目标，无需进行生态现状调查。</w:t>
            </w:r>
          </w:p>
          <w:p w14:paraId="2AA118D9">
            <w:pPr>
              <w:numPr>
                <w:ilvl w:val="0"/>
                <w:numId w:val="31"/>
              </w:numPr>
              <w:jc w:val="center"/>
              <w:rPr>
                <w:color w:val="auto"/>
              </w:rPr>
            </w:pPr>
            <w:r>
              <w:rPr>
                <w:rFonts w:hint="eastAsia" w:ascii="宋体" w:hAnsi="宋体" w:eastAsia="宋体" w:cs="宋体"/>
                <w:b/>
                <w:bCs/>
                <w:color w:val="auto"/>
                <w:kern w:val="0"/>
                <w:sz w:val="24"/>
                <w:szCs w:val="24"/>
                <w:lang w:val="en-US" w:eastAsia="zh-CN" w:bidi="ar"/>
              </w:rPr>
              <w:t>环境保护目标一览表</w:t>
            </w:r>
          </w:p>
          <w:tbl>
            <w:tblPr>
              <w:tblStyle w:val="24"/>
              <w:tblW w:w="7931"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898"/>
              <w:gridCol w:w="796"/>
              <w:gridCol w:w="797"/>
              <w:gridCol w:w="1102"/>
              <w:gridCol w:w="2237"/>
            </w:tblGrid>
            <w:tr w14:paraId="2A0247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1" w:type="dxa"/>
                  <w:tcBorders>
                    <w:tl2br w:val="nil"/>
                    <w:tr2bl w:val="nil"/>
                  </w:tcBorders>
                  <w:vAlign w:val="center"/>
                </w:tcPr>
                <w:p w14:paraId="44069C1D">
                  <w:pPr>
                    <w:keepNext w:val="0"/>
                    <w:keepLines w:val="0"/>
                    <w:widowControl/>
                    <w:suppressLineNumbers w:val="0"/>
                    <w:jc w:val="center"/>
                    <w:rPr>
                      <w:b w:val="0"/>
                      <w:bCs w:val="0"/>
                      <w:color w:val="auto"/>
                      <w:sz w:val="21"/>
                      <w:szCs w:val="21"/>
                    </w:rPr>
                  </w:pPr>
                  <w:r>
                    <w:rPr>
                      <w:rFonts w:hint="eastAsia" w:ascii="宋体" w:hAnsi="宋体" w:eastAsia="宋体" w:cs="宋体"/>
                      <w:b w:val="0"/>
                      <w:bCs w:val="0"/>
                      <w:color w:val="auto"/>
                      <w:kern w:val="0"/>
                      <w:sz w:val="21"/>
                      <w:szCs w:val="21"/>
                      <w:lang w:val="en-US" w:eastAsia="zh-CN" w:bidi="ar"/>
                    </w:rPr>
                    <w:t>环境保护</w:t>
                  </w:r>
                </w:p>
                <w:p w14:paraId="4DC9919E">
                  <w:pPr>
                    <w:keepNext w:val="0"/>
                    <w:keepLines w:val="0"/>
                    <w:widowControl/>
                    <w:suppressLineNumbers w:val="0"/>
                    <w:jc w:val="center"/>
                    <w:rPr>
                      <w:b w:val="0"/>
                      <w:bCs w:val="0"/>
                      <w:color w:val="auto"/>
                      <w:sz w:val="21"/>
                      <w:szCs w:val="21"/>
                      <w:vertAlign w:val="baseline"/>
                    </w:rPr>
                  </w:pPr>
                  <w:r>
                    <w:rPr>
                      <w:rFonts w:hint="eastAsia" w:ascii="宋体" w:hAnsi="宋体" w:eastAsia="宋体" w:cs="宋体"/>
                      <w:b w:val="0"/>
                      <w:bCs w:val="0"/>
                      <w:color w:val="auto"/>
                      <w:kern w:val="0"/>
                      <w:sz w:val="21"/>
                      <w:szCs w:val="21"/>
                      <w:lang w:val="en-US" w:eastAsia="zh-CN" w:bidi="ar"/>
                    </w:rPr>
                    <w:t>要素</w:t>
                  </w:r>
                </w:p>
              </w:tc>
              <w:tc>
                <w:tcPr>
                  <w:tcW w:w="1898" w:type="dxa"/>
                  <w:tcBorders>
                    <w:tl2br w:val="nil"/>
                    <w:tr2bl w:val="nil"/>
                  </w:tcBorders>
                  <w:vAlign w:val="center"/>
                </w:tcPr>
                <w:p w14:paraId="4A4B1E79">
                  <w:pPr>
                    <w:numPr>
                      <w:ilvl w:val="0"/>
                      <w:numId w:val="0"/>
                    </w:numPr>
                    <w:jc w:val="center"/>
                    <w:rPr>
                      <w:b w:val="0"/>
                      <w:bCs w:val="0"/>
                      <w:color w:val="auto"/>
                      <w:sz w:val="21"/>
                      <w:szCs w:val="21"/>
                      <w:vertAlign w:val="baseline"/>
                    </w:rPr>
                  </w:pPr>
                  <w:r>
                    <w:rPr>
                      <w:rFonts w:hint="eastAsia" w:ascii="宋体" w:hAnsi="宋体" w:eastAsia="宋体" w:cs="宋体"/>
                      <w:b w:val="0"/>
                      <w:bCs w:val="0"/>
                      <w:color w:val="auto"/>
                      <w:kern w:val="0"/>
                      <w:sz w:val="21"/>
                      <w:szCs w:val="21"/>
                      <w:lang w:val="en-US" w:eastAsia="zh-CN" w:bidi="ar"/>
                    </w:rPr>
                    <w:t>环境保护目标</w:t>
                  </w:r>
                </w:p>
              </w:tc>
              <w:tc>
                <w:tcPr>
                  <w:tcW w:w="796" w:type="dxa"/>
                  <w:tcBorders>
                    <w:tl2br w:val="nil"/>
                    <w:tr2bl w:val="nil"/>
                  </w:tcBorders>
                  <w:vAlign w:val="center"/>
                </w:tcPr>
                <w:p w14:paraId="1AAC9C31">
                  <w:pPr>
                    <w:numPr>
                      <w:ilvl w:val="0"/>
                      <w:numId w:val="0"/>
                    </w:numPr>
                    <w:jc w:val="center"/>
                    <w:rPr>
                      <w:b w:val="0"/>
                      <w:bCs w:val="0"/>
                      <w:color w:val="auto"/>
                      <w:sz w:val="21"/>
                      <w:szCs w:val="21"/>
                      <w:vertAlign w:val="baseline"/>
                    </w:rPr>
                  </w:pPr>
                  <w:r>
                    <w:rPr>
                      <w:rFonts w:hint="eastAsia" w:ascii="宋体" w:hAnsi="宋体" w:eastAsia="宋体" w:cs="宋体"/>
                      <w:b w:val="0"/>
                      <w:bCs w:val="0"/>
                      <w:color w:val="auto"/>
                      <w:kern w:val="0"/>
                      <w:sz w:val="21"/>
                      <w:szCs w:val="21"/>
                      <w:lang w:val="en-US" w:eastAsia="zh-CN" w:bidi="ar"/>
                    </w:rPr>
                    <w:t>方位</w:t>
                  </w:r>
                </w:p>
              </w:tc>
              <w:tc>
                <w:tcPr>
                  <w:tcW w:w="797" w:type="dxa"/>
                  <w:tcBorders>
                    <w:tl2br w:val="nil"/>
                    <w:tr2bl w:val="nil"/>
                  </w:tcBorders>
                  <w:vAlign w:val="center"/>
                </w:tcPr>
                <w:p w14:paraId="5DB8DBD7">
                  <w:pPr>
                    <w:numPr>
                      <w:ilvl w:val="0"/>
                      <w:numId w:val="0"/>
                    </w:numPr>
                    <w:jc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距离</w:t>
                  </w:r>
                </w:p>
                <w:p w14:paraId="0F580CF1">
                  <w:pPr>
                    <w:numPr>
                      <w:ilvl w:val="0"/>
                      <w:numId w:val="0"/>
                    </w:numPr>
                    <w:jc w:val="center"/>
                    <w:rPr>
                      <w:rFonts w:hint="default" w:ascii="宋体" w:hAnsi="宋体" w:eastAsia="宋体" w:cs="宋体"/>
                      <w:b w:val="0"/>
                      <w:bCs w:val="0"/>
                      <w:color w:val="auto"/>
                      <w:kern w:val="0"/>
                      <w:sz w:val="21"/>
                      <w:szCs w:val="21"/>
                      <w:lang w:val="en-US" w:eastAsia="zh-CN" w:bidi="ar"/>
                    </w:rPr>
                  </w:pPr>
                  <w:r>
                    <w:rPr>
                      <w:rFonts w:hint="eastAsia" w:ascii="宋体" w:hAnsi="宋体" w:cs="宋体"/>
                      <w:b w:val="0"/>
                      <w:bCs w:val="0"/>
                      <w:color w:val="auto"/>
                      <w:kern w:val="0"/>
                      <w:sz w:val="21"/>
                      <w:szCs w:val="21"/>
                      <w:lang w:val="en-US" w:eastAsia="zh-CN" w:bidi="ar"/>
                    </w:rPr>
                    <w:t>m</w:t>
                  </w:r>
                </w:p>
              </w:tc>
              <w:tc>
                <w:tcPr>
                  <w:tcW w:w="1102" w:type="dxa"/>
                  <w:tcBorders>
                    <w:tl2br w:val="nil"/>
                    <w:tr2bl w:val="nil"/>
                  </w:tcBorders>
                  <w:vAlign w:val="center"/>
                </w:tcPr>
                <w:p w14:paraId="14477801">
                  <w:pPr>
                    <w:numPr>
                      <w:ilvl w:val="0"/>
                      <w:numId w:val="0"/>
                    </w:numPr>
                    <w:jc w:val="center"/>
                    <w:rPr>
                      <w:b w:val="0"/>
                      <w:bCs w:val="0"/>
                      <w:color w:val="auto"/>
                      <w:sz w:val="21"/>
                      <w:szCs w:val="21"/>
                      <w:vertAlign w:val="baseline"/>
                    </w:rPr>
                  </w:pPr>
                  <w:r>
                    <w:rPr>
                      <w:rFonts w:hint="eastAsia" w:ascii="宋体" w:hAnsi="宋体" w:eastAsia="宋体" w:cs="宋体"/>
                      <w:b w:val="0"/>
                      <w:bCs w:val="0"/>
                      <w:color w:val="auto"/>
                      <w:kern w:val="0"/>
                      <w:sz w:val="21"/>
                      <w:szCs w:val="21"/>
                      <w:lang w:val="en-US" w:eastAsia="zh-CN" w:bidi="ar"/>
                    </w:rPr>
                    <w:t>保护对象</w:t>
                  </w:r>
                </w:p>
              </w:tc>
              <w:tc>
                <w:tcPr>
                  <w:tcW w:w="2237" w:type="dxa"/>
                  <w:tcBorders>
                    <w:tl2br w:val="nil"/>
                    <w:tr2bl w:val="nil"/>
                  </w:tcBorders>
                  <w:vAlign w:val="center"/>
                </w:tcPr>
                <w:p w14:paraId="70329566">
                  <w:pPr>
                    <w:keepNext w:val="0"/>
                    <w:keepLines w:val="0"/>
                    <w:widowControl/>
                    <w:suppressLineNumbers w:val="0"/>
                    <w:jc w:val="center"/>
                    <w:rPr>
                      <w:b w:val="0"/>
                      <w:bCs w:val="0"/>
                      <w:color w:val="auto"/>
                      <w:sz w:val="21"/>
                      <w:szCs w:val="21"/>
                      <w:vertAlign w:val="baseline"/>
                    </w:rPr>
                  </w:pPr>
                  <w:r>
                    <w:rPr>
                      <w:rFonts w:hint="eastAsia" w:ascii="宋体" w:hAnsi="宋体" w:eastAsia="宋体" w:cs="宋体"/>
                      <w:b w:val="0"/>
                      <w:bCs w:val="0"/>
                      <w:color w:val="auto"/>
                      <w:kern w:val="0"/>
                      <w:sz w:val="21"/>
                      <w:szCs w:val="21"/>
                      <w:lang w:val="en-US" w:eastAsia="zh-CN" w:bidi="ar"/>
                    </w:rPr>
                    <w:t>保护级别</w:t>
                  </w:r>
                </w:p>
              </w:tc>
            </w:tr>
            <w:tr w14:paraId="149B59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1" w:type="dxa"/>
                  <w:vMerge w:val="restart"/>
                  <w:tcBorders>
                    <w:tl2br w:val="nil"/>
                    <w:tr2bl w:val="nil"/>
                  </w:tcBorders>
                  <w:vAlign w:val="center"/>
                </w:tcPr>
                <w:p w14:paraId="0BB3634A">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大气环境</w:t>
                  </w:r>
                </w:p>
              </w:tc>
              <w:tc>
                <w:tcPr>
                  <w:tcW w:w="1898" w:type="dxa"/>
                  <w:tcBorders>
                    <w:tl2br w:val="nil"/>
                    <w:tr2bl w:val="nil"/>
                  </w:tcBorders>
                  <w:vAlign w:val="center"/>
                </w:tcPr>
                <w:p w14:paraId="1B7DD2B8">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马驹桥中心小学小张湾校区</w:t>
                  </w:r>
                </w:p>
              </w:tc>
              <w:tc>
                <w:tcPr>
                  <w:tcW w:w="796" w:type="dxa"/>
                  <w:tcBorders>
                    <w:tl2br w:val="nil"/>
                    <w:tr2bl w:val="nil"/>
                  </w:tcBorders>
                  <w:vAlign w:val="center"/>
                </w:tcPr>
                <w:p w14:paraId="3FE9B2A2">
                  <w:pPr>
                    <w:numPr>
                      <w:ilvl w:val="0"/>
                      <w:numId w:val="0"/>
                    </w:num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SW</w:t>
                  </w:r>
                </w:p>
              </w:tc>
              <w:tc>
                <w:tcPr>
                  <w:tcW w:w="797" w:type="dxa"/>
                  <w:tcBorders>
                    <w:tl2br w:val="nil"/>
                    <w:tr2bl w:val="nil"/>
                  </w:tcBorders>
                  <w:vAlign w:val="center"/>
                </w:tcPr>
                <w:p w14:paraId="35EF1D0D">
                  <w:pPr>
                    <w:numPr>
                      <w:ilvl w:val="0"/>
                      <w:numId w:val="0"/>
                    </w:num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243</w:t>
                  </w:r>
                </w:p>
              </w:tc>
              <w:tc>
                <w:tcPr>
                  <w:tcW w:w="1102" w:type="dxa"/>
                  <w:tcBorders>
                    <w:tl2br w:val="nil"/>
                    <w:tr2bl w:val="nil"/>
                  </w:tcBorders>
                  <w:vAlign w:val="center"/>
                </w:tcPr>
                <w:p w14:paraId="5FEF8E36">
                  <w:pPr>
                    <w:numPr>
                      <w:ilvl w:val="0"/>
                      <w:numId w:val="0"/>
                    </w:num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师生</w:t>
                  </w:r>
                </w:p>
              </w:tc>
              <w:tc>
                <w:tcPr>
                  <w:tcW w:w="2237" w:type="dxa"/>
                  <w:vMerge w:val="restart"/>
                  <w:tcBorders>
                    <w:tl2br w:val="nil"/>
                    <w:tr2bl w:val="nil"/>
                  </w:tcBorders>
                  <w:vAlign w:val="center"/>
                </w:tcPr>
                <w:p w14:paraId="20BC2075">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《环境空气质量标准》</w:t>
                  </w:r>
                </w:p>
                <w:p w14:paraId="0D8A8963">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r>
                    <w:rPr>
                      <w:rFonts w:hint="default"/>
                      <w:b w:val="0"/>
                      <w:bCs w:val="0"/>
                      <w:color w:val="auto"/>
                      <w:sz w:val="21"/>
                      <w:szCs w:val="21"/>
                      <w:vertAlign w:val="baseline"/>
                      <w:lang w:val="en-US" w:eastAsia="zh-CN"/>
                    </w:rPr>
                    <w:t>GB3095-2012</w:t>
                  </w:r>
                  <w:r>
                    <w:rPr>
                      <w:rFonts w:hint="eastAsia"/>
                      <w:b w:val="0"/>
                      <w:bCs w:val="0"/>
                      <w:color w:val="auto"/>
                      <w:sz w:val="21"/>
                      <w:szCs w:val="21"/>
                      <w:vertAlign w:val="baseline"/>
                      <w:lang w:val="en-US" w:eastAsia="zh-CN"/>
                    </w:rPr>
                    <w:t>）及其修改单中的二级标准</w:t>
                  </w:r>
                </w:p>
              </w:tc>
            </w:tr>
            <w:tr w14:paraId="3E88DF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1" w:type="dxa"/>
                  <w:vMerge w:val="continue"/>
                  <w:tcBorders>
                    <w:tl2br w:val="nil"/>
                    <w:tr2bl w:val="nil"/>
                  </w:tcBorders>
                  <w:vAlign w:val="center"/>
                </w:tcPr>
                <w:p w14:paraId="55691688">
                  <w:pPr>
                    <w:numPr>
                      <w:ilvl w:val="0"/>
                      <w:numId w:val="0"/>
                    </w:numPr>
                    <w:jc w:val="center"/>
                    <w:rPr>
                      <w:b w:val="0"/>
                      <w:bCs w:val="0"/>
                      <w:color w:val="auto"/>
                      <w:sz w:val="21"/>
                      <w:szCs w:val="21"/>
                      <w:vertAlign w:val="baseline"/>
                    </w:rPr>
                  </w:pPr>
                </w:p>
              </w:tc>
              <w:tc>
                <w:tcPr>
                  <w:tcW w:w="1898" w:type="dxa"/>
                  <w:tcBorders>
                    <w:tl2br w:val="nil"/>
                    <w:tr2bl w:val="nil"/>
                  </w:tcBorders>
                  <w:vAlign w:val="center"/>
                </w:tcPr>
                <w:p w14:paraId="4E3D7063">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小张湾村</w:t>
                  </w:r>
                </w:p>
              </w:tc>
              <w:tc>
                <w:tcPr>
                  <w:tcW w:w="796" w:type="dxa"/>
                  <w:tcBorders>
                    <w:tl2br w:val="nil"/>
                    <w:tr2bl w:val="nil"/>
                  </w:tcBorders>
                  <w:vAlign w:val="center"/>
                </w:tcPr>
                <w:p w14:paraId="53A183DD">
                  <w:pPr>
                    <w:numPr>
                      <w:ilvl w:val="0"/>
                      <w:numId w:val="0"/>
                    </w:num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S</w:t>
                  </w:r>
                </w:p>
              </w:tc>
              <w:tc>
                <w:tcPr>
                  <w:tcW w:w="797" w:type="dxa"/>
                  <w:tcBorders>
                    <w:tl2br w:val="nil"/>
                    <w:tr2bl w:val="nil"/>
                  </w:tcBorders>
                  <w:vAlign w:val="center"/>
                </w:tcPr>
                <w:p w14:paraId="3596CCBC">
                  <w:pPr>
                    <w:numPr>
                      <w:ilvl w:val="0"/>
                      <w:numId w:val="0"/>
                    </w:num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480</w:t>
                  </w:r>
                </w:p>
              </w:tc>
              <w:tc>
                <w:tcPr>
                  <w:tcW w:w="1102" w:type="dxa"/>
                  <w:tcBorders>
                    <w:tl2br w:val="nil"/>
                    <w:tr2bl w:val="nil"/>
                  </w:tcBorders>
                  <w:vAlign w:val="center"/>
                </w:tcPr>
                <w:p w14:paraId="40E83924">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居民</w:t>
                  </w:r>
                </w:p>
              </w:tc>
              <w:tc>
                <w:tcPr>
                  <w:tcW w:w="2237" w:type="dxa"/>
                  <w:vMerge w:val="continue"/>
                  <w:tcBorders>
                    <w:tl2br w:val="nil"/>
                    <w:tr2bl w:val="nil"/>
                  </w:tcBorders>
                  <w:vAlign w:val="center"/>
                </w:tcPr>
                <w:p w14:paraId="607318F2">
                  <w:pPr>
                    <w:numPr>
                      <w:ilvl w:val="0"/>
                      <w:numId w:val="0"/>
                    </w:numPr>
                    <w:jc w:val="center"/>
                    <w:rPr>
                      <w:b w:val="0"/>
                      <w:bCs w:val="0"/>
                      <w:color w:val="auto"/>
                      <w:sz w:val="21"/>
                      <w:szCs w:val="21"/>
                      <w:vertAlign w:val="baseline"/>
                    </w:rPr>
                  </w:pPr>
                </w:p>
              </w:tc>
            </w:tr>
            <w:tr w14:paraId="132ED1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1" w:type="dxa"/>
                  <w:vMerge w:val="continue"/>
                  <w:tcBorders>
                    <w:tl2br w:val="nil"/>
                    <w:tr2bl w:val="nil"/>
                  </w:tcBorders>
                  <w:vAlign w:val="center"/>
                </w:tcPr>
                <w:p w14:paraId="6F7330BB">
                  <w:pPr>
                    <w:numPr>
                      <w:ilvl w:val="0"/>
                      <w:numId w:val="0"/>
                    </w:numPr>
                    <w:jc w:val="center"/>
                    <w:rPr>
                      <w:b w:val="0"/>
                      <w:bCs w:val="0"/>
                      <w:color w:val="auto"/>
                      <w:sz w:val="21"/>
                      <w:szCs w:val="21"/>
                      <w:vertAlign w:val="baseline"/>
                    </w:rPr>
                  </w:pPr>
                </w:p>
              </w:tc>
              <w:tc>
                <w:tcPr>
                  <w:tcW w:w="1898" w:type="dxa"/>
                  <w:tcBorders>
                    <w:tl2br w:val="nil"/>
                    <w:tr2bl w:val="nil"/>
                  </w:tcBorders>
                  <w:vAlign w:val="center"/>
                </w:tcPr>
                <w:p w14:paraId="114D113F">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周营村</w:t>
                  </w:r>
                </w:p>
              </w:tc>
              <w:tc>
                <w:tcPr>
                  <w:tcW w:w="796" w:type="dxa"/>
                  <w:tcBorders>
                    <w:tl2br w:val="nil"/>
                    <w:tr2bl w:val="nil"/>
                  </w:tcBorders>
                  <w:vAlign w:val="center"/>
                </w:tcPr>
                <w:p w14:paraId="355C6869">
                  <w:pPr>
                    <w:numPr>
                      <w:ilvl w:val="0"/>
                      <w:numId w:val="0"/>
                    </w:num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S</w:t>
                  </w:r>
                </w:p>
              </w:tc>
              <w:tc>
                <w:tcPr>
                  <w:tcW w:w="797" w:type="dxa"/>
                  <w:tcBorders>
                    <w:tl2br w:val="nil"/>
                    <w:tr2bl w:val="nil"/>
                  </w:tcBorders>
                  <w:vAlign w:val="center"/>
                </w:tcPr>
                <w:p w14:paraId="05378A87">
                  <w:pPr>
                    <w:numPr>
                      <w:ilvl w:val="0"/>
                      <w:numId w:val="0"/>
                    </w:num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370</w:t>
                  </w:r>
                </w:p>
              </w:tc>
              <w:tc>
                <w:tcPr>
                  <w:tcW w:w="1102" w:type="dxa"/>
                  <w:tcBorders>
                    <w:tl2br w:val="nil"/>
                    <w:tr2bl w:val="nil"/>
                  </w:tcBorders>
                  <w:vAlign w:val="center"/>
                </w:tcPr>
                <w:p w14:paraId="2059D202">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居民</w:t>
                  </w:r>
                </w:p>
              </w:tc>
              <w:tc>
                <w:tcPr>
                  <w:tcW w:w="2237" w:type="dxa"/>
                  <w:vMerge w:val="continue"/>
                  <w:tcBorders>
                    <w:tl2br w:val="nil"/>
                    <w:tr2bl w:val="nil"/>
                  </w:tcBorders>
                  <w:vAlign w:val="center"/>
                </w:tcPr>
                <w:p w14:paraId="184C324A">
                  <w:pPr>
                    <w:numPr>
                      <w:ilvl w:val="0"/>
                      <w:numId w:val="0"/>
                    </w:numPr>
                    <w:jc w:val="center"/>
                    <w:rPr>
                      <w:b w:val="0"/>
                      <w:bCs w:val="0"/>
                      <w:color w:val="auto"/>
                      <w:sz w:val="21"/>
                      <w:szCs w:val="21"/>
                      <w:vertAlign w:val="baseline"/>
                    </w:rPr>
                  </w:pPr>
                </w:p>
              </w:tc>
            </w:tr>
          </w:tbl>
          <w:p w14:paraId="717D9936">
            <w:pPr>
              <w:autoSpaceDE w:val="0"/>
              <w:autoSpaceDN w:val="0"/>
              <w:adjustRightInd w:val="0"/>
              <w:spacing w:line="360" w:lineRule="auto"/>
              <w:ind w:firstLine="480" w:firstLineChars="200"/>
              <w:rPr>
                <w:rFonts w:hint="default" w:ascii="Times New Roman" w:hAnsi="Times New Roman" w:eastAsia="宋体" w:cs="Times New Roman"/>
                <w:color w:val="auto"/>
                <w:sz w:val="24"/>
                <w:szCs w:val="32"/>
                <w:highlight w:val="none"/>
              </w:rPr>
            </w:pPr>
          </w:p>
        </w:tc>
      </w:tr>
      <w:tr w14:paraId="0B2259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800" w:type="dxa"/>
            <w:tcMar>
              <w:left w:w="28" w:type="dxa"/>
              <w:right w:w="28" w:type="dxa"/>
            </w:tcMar>
            <w:vAlign w:val="center"/>
          </w:tcPr>
          <w:p w14:paraId="5E2B765B">
            <w:pPr>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污染物排放控</w:t>
            </w:r>
          </w:p>
          <w:p w14:paraId="446860F8">
            <w:pPr>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制标准</w:t>
            </w:r>
          </w:p>
        </w:tc>
        <w:tc>
          <w:tcPr>
            <w:tcW w:w="8147" w:type="dxa"/>
            <w:vAlign w:val="center"/>
          </w:tcPr>
          <w:p w14:paraId="735CD0C0">
            <w:pPr>
              <w:adjustRightInd w:val="0"/>
              <w:snapToGrid w:val="0"/>
              <w:spacing w:line="360" w:lineRule="auto"/>
              <w:rPr>
                <w:rStyle w:val="31"/>
                <w:rFonts w:hint="default" w:ascii="Times New Roman" w:hAnsi="Times New Roman" w:eastAsia="宋体" w:cs="Times New Roman"/>
                <w:color w:val="auto"/>
                <w:highlight w:val="none"/>
              </w:rPr>
            </w:pPr>
            <w:r>
              <w:rPr>
                <w:rFonts w:hint="default" w:ascii="Times New Roman" w:hAnsi="Times New Roman" w:eastAsia="宋体" w:cs="Times New Roman"/>
                <w:b/>
                <w:color w:val="auto"/>
                <w:sz w:val="24"/>
                <w:highlight w:val="none"/>
              </w:rPr>
              <w:t>一、大气污染物排放标准</w:t>
            </w:r>
          </w:p>
          <w:p w14:paraId="1D65DC7A">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Style w:val="31"/>
                <w:rFonts w:hint="default" w:ascii="Times New Roman" w:hAnsi="Times New Roman" w:eastAsia="宋体" w:cs="Times New Roman"/>
                <w:color w:val="auto"/>
                <w:highlight w:val="none"/>
              </w:rPr>
              <w:t>本项目大气污染物主要为</w:t>
            </w:r>
            <w:r>
              <w:rPr>
                <w:rStyle w:val="31"/>
                <w:rFonts w:hint="eastAsia" w:cs="Times New Roman"/>
                <w:color w:val="auto"/>
                <w:highlight w:val="none"/>
                <w:lang w:val="en-US" w:eastAsia="zh-CN"/>
              </w:rPr>
              <w:t>检测</w:t>
            </w:r>
            <w:r>
              <w:rPr>
                <w:rStyle w:val="31"/>
                <w:rFonts w:hint="default" w:ascii="Times New Roman" w:hAnsi="Times New Roman" w:eastAsia="宋体" w:cs="Times New Roman"/>
                <w:color w:val="auto"/>
                <w:highlight w:val="none"/>
                <w:lang w:val="en-US" w:eastAsia="zh-CN"/>
              </w:rPr>
              <w:t>实验</w:t>
            </w:r>
            <w:r>
              <w:rPr>
                <w:rStyle w:val="31"/>
                <w:rFonts w:hint="default" w:ascii="Times New Roman" w:hAnsi="Times New Roman" w:eastAsia="宋体" w:cs="Times New Roman"/>
                <w:color w:val="auto"/>
                <w:highlight w:val="none"/>
              </w:rPr>
              <w:t>过程产生的挥发性有机废气</w:t>
            </w:r>
            <w:r>
              <w:rPr>
                <w:rStyle w:val="31"/>
                <w:rFonts w:hint="default" w:ascii="Times New Roman" w:hAnsi="Times New Roman" w:eastAsia="宋体" w:cs="Times New Roman"/>
                <w:color w:val="auto"/>
                <w:highlight w:val="none"/>
                <w:lang w:eastAsia="zh-CN"/>
              </w:rPr>
              <w:t>、</w:t>
            </w:r>
            <w:r>
              <w:rPr>
                <w:rStyle w:val="31"/>
                <w:rFonts w:hint="default" w:ascii="Times New Roman" w:hAnsi="Times New Roman" w:eastAsia="宋体" w:cs="Times New Roman"/>
                <w:color w:val="auto"/>
                <w:highlight w:val="none"/>
                <w:lang w:val="en-US" w:eastAsia="zh-CN"/>
              </w:rPr>
              <w:t>氨、氯化氢、氮氧化物、</w:t>
            </w:r>
            <w:r>
              <w:rPr>
                <w:rStyle w:val="31"/>
                <w:rFonts w:hint="eastAsia" w:cs="Times New Roman"/>
                <w:color w:val="auto"/>
                <w:highlight w:val="none"/>
                <w:lang w:val="en-US" w:eastAsia="zh-CN"/>
              </w:rPr>
              <w:t>硫酸雾等无机废气。实验室建设通风橱，部分产生废气的仪器上方、部分产生废气的操作工位上方</w:t>
            </w:r>
            <w:r>
              <w:rPr>
                <w:rStyle w:val="31"/>
                <w:rFonts w:hint="eastAsia" w:cs="Times New Roman"/>
                <w:color w:val="auto"/>
                <w:highlight w:val="none"/>
                <w:lang w:val="en-US" w:eastAsia="zh-CN"/>
              </w:rPr>
              <w:t>安装万向罩，实验检测过程产生的废气经万向罩、通</w:t>
            </w:r>
            <w:r>
              <w:rPr>
                <w:rStyle w:val="31"/>
                <w:rFonts w:hint="eastAsia" w:ascii="Times New Roman" w:hAnsi="Times New Roman" w:eastAsia="宋体" w:cs="Times New Roman"/>
                <w:color w:val="auto"/>
                <w:highlight w:val="none"/>
                <w:lang w:val="en-US" w:eastAsia="zh-CN"/>
              </w:rPr>
              <w:t>风橱收集，然后进位于楼顶的一套</w:t>
            </w:r>
            <w:r>
              <w:rPr>
                <w:rStyle w:val="31"/>
                <w:rFonts w:hint="eastAsia" w:cs="Times New Roman"/>
                <w:color w:val="auto"/>
                <w:highlight w:val="none"/>
                <w:lang w:val="en-US" w:eastAsia="zh-CN"/>
              </w:rPr>
              <w:t>干式过滤器（碱式吸附+酸式吸附+活性炭吸附）</w:t>
            </w:r>
            <w:r>
              <w:rPr>
                <w:rStyle w:val="31"/>
                <w:rFonts w:hint="eastAsia" w:ascii="Times New Roman" w:hAnsi="Times New Roman" w:eastAsia="宋体" w:cs="Times New Roman"/>
                <w:color w:val="auto"/>
                <w:highlight w:val="none"/>
                <w:lang w:val="en-US" w:eastAsia="zh-CN"/>
              </w:rPr>
              <w:t>处理后，通过一根18米的排气筒（DA001）排放。</w:t>
            </w:r>
          </w:p>
          <w:p w14:paraId="2E567A16">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本项目</w:t>
            </w:r>
            <w:r>
              <w:rPr>
                <w:rFonts w:hint="default" w:cs="Times New Roman"/>
                <w:color w:val="auto"/>
                <w:sz w:val="24"/>
                <w:highlight w:val="none"/>
                <w:lang w:val="en-US" w:eastAsia="zh-CN"/>
              </w:rPr>
              <w:t>废气排放执行北京市《大气污染物综合排放标准》（DB11/501-2017）表3中相应限值要求。</w:t>
            </w:r>
          </w:p>
          <w:p w14:paraId="71F212AA">
            <w:pPr>
              <w:pStyle w:val="42"/>
              <w:snapToGrid w:val="0"/>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根据北京市《大气污染物综合排放标准》（DB11/501-2017）中相关规定：</w:t>
            </w:r>
            <w:r>
              <w:rPr>
                <w:rFonts w:hint="eastAsia" w:cs="Times New Roman"/>
                <w:color w:val="auto"/>
                <w:szCs w:val="24"/>
                <w:highlight w:val="none"/>
                <w:lang w:eastAsia="zh-CN"/>
              </w:rPr>
              <w:t>“</w:t>
            </w:r>
            <w:r>
              <w:rPr>
                <w:rFonts w:hint="default" w:ascii="Times New Roman" w:hAnsi="Times New Roman" w:eastAsia="宋体" w:cs="Times New Roman"/>
                <w:color w:val="auto"/>
                <w:szCs w:val="24"/>
                <w:highlight w:val="none"/>
              </w:rPr>
              <w:t>①排气筒高度应高出周围200m半径范围内的建筑物5m以上；不能达到该项要求的，最高允许排放速率应根据5.1.3确定的排放速率限值的50%执行；②排气筒高度处于表 1、表 2 或表 3 所列的两个排气筒高度之间时，其执行的最高允许排放速率以内插法计算</w:t>
            </w:r>
            <w:r>
              <w:rPr>
                <w:rFonts w:hint="default" w:ascii="Times New Roman" w:hAnsi="Times New Roman" w:eastAsia="宋体" w:cs="Times New Roman"/>
                <w:color w:val="auto"/>
                <w:szCs w:val="24"/>
                <w:highlight w:val="none"/>
                <w:lang w:eastAsia="zh-CN"/>
              </w:rPr>
              <w:t>；③</w:t>
            </w:r>
            <w:r>
              <w:rPr>
                <w:rFonts w:hint="default" w:ascii="Times New Roman" w:hAnsi="Times New Roman" w:eastAsia="宋体" w:cs="Times New Roman"/>
                <w:color w:val="auto"/>
                <w:szCs w:val="24"/>
                <w:highlight w:val="none"/>
                <w:lang w:val="en-US" w:eastAsia="zh-CN"/>
              </w:rPr>
              <w:t>排污单位内有排放同种污染物的多根排气筒，按合并后的一根排气筒确定该排污单位应执行的最高允许排放速率限值</w:t>
            </w:r>
            <w:r>
              <w:rPr>
                <w:rFonts w:hint="eastAsia" w:cs="Times New Roman"/>
                <w:color w:val="auto"/>
                <w:szCs w:val="24"/>
                <w:highlight w:val="none"/>
                <w:lang w:val="en-US" w:eastAsia="zh-CN"/>
              </w:rPr>
              <w:t>”</w:t>
            </w:r>
            <w:r>
              <w:rPr>
                <w:rFonts w:hint="default" w:ascii="Times New Roman" w:hAnsi="Times New Roman" w:eastAsia="宋体" w:cs="Times New Roman"/>
                <w:color w:val="auto"/>
                <w:szCs w:val="24"/>
                <w:highlight w:val="none"/>
              </w:rPr>
              <w:t>。</w:t>
            </w:r>
          </w:p>
          <w:p w14:paraId="6EC2F319">
            <w:pPr>
              <w:pStyle w:val="42"/>
              <w:snapToGrid w:val="0"/>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本项目排气筒高</w:t>
            </w:r>
            <w:r>
              <w:rPr>
                <w:rFonts w:hint="eastAsia" w:ascii="Times New Roman" w:hAnsi="Times New Roman" w:eastAsia="宋体" w:cs="Times New Roman"/>
                <w:color w:val="auto"/>
                <w:szCs w:val="24"/>
                <w:highlight w:val="none"/>
                <w:lang w:val="en-US" w:eastAsia="zh-CN"/>
              </w:rPr>
              <w:t>18</w:t>
            </w:r>
            <w:r>
              <w:rPr>
                <w:rFonts w:hint="default" w:ascii="Times New Roman" w:hAnsi="Times New Roman" w:eastAsia="宋体" w:cs="Times New Roman"/>
                <w:color w:val="auto"/>
                <w:szCs w:val="24"/>
                <w:highlight w:val="none"/>
              </w:rPr>
              <w:t>m，</w:t>
            </w:r>
            <w:r>
              <w:rPr>
                <w:rFonts w:hint="eastAsia" w:ascii="Times New Roman" w:hAnsi="Times New Roman" w:eastAsia="宋体" w:cs="Times New Roman"/>
                <w:color w:val="auto"/>
                <w:szCs w:val="24"/>
                <w:highlight w:val="none"/>
                <w:lang w:val="en-US" w:eastAsia="zh-CN"/>
              </w:rPr>
              <w:t>东</w:t>
            </w:r>
            <w:r>
              <w:rPr>
                <w:rFonts w:hint="default" w:ascii="Times New Roman" w:hAnsi="Times New Roman" w:eastAsia="宋体" w:cs="Times New Roman"/>
                <w:color w:val="auto"/>
                <w:szCs w:val="24"/>
                <w:highlight w:val="none"/>
                <w:lang w:val="en-US" w:eastAsia="zh-CN"/>
              </w:rPr>
              <w:t>侧距本项目排气筒</w:t>
            </w:r>
            <w:r>
              <w:rPr>
                <w:rFonts w:hint="eastAsia" w:ascii="Times New Roman" w:hAnsi="Times New Roman" w:eastAsia="宋体" w:cs="Times New Roman"/>
                <w:color w:val="auto"/>
                <w:szCs w:val="24"/>
                <w:highlight w:val="none"/>
                <w:lang w:val="en-US" w:eastAsia="zh-CN"/>
              </w:rPr>
              <w:t>10</w:t>
            </w:r>
            <w:r>
              <w:rPr>
                <w:rFonts w:hint="default" w:ascii="Times New Roman" w:hAnsi="Times New Roman" w:eastAsia="宋体" w:cs="Times New Roman"/>
                <w:color w:val="auto"/>
                <w:szCs w:val="24"/>
                <w:highlight w:val="none"/>
                <w:lang w:val="en-US" w:eastAsia="zh-CN"/>
              </w:rPr>
              <w:t>米的</w:t>
            </w:r>
            <w:r>
              <w:rPr>
                <w:rFonts w:hint="eastAsia" w:ascii="Times New Roman" w:hAnsi="Times New Roman" w:eastAsia="宋体" w:cs="Times New Roman"/>
                <w:color w:val="auto"/>
                <w:szCs w:val="24"/>
                <w:highlight w:val="none"/>
                <w:lang w:val="en-US" w:eastAsia="zh-CN"/>
              </w:rPr>
              <w:t>24</w:t>
            </w:r>
            <w:r>
              <w:rPr>
                <w:rFonts w:hint="default" w:ascii="Times New Roman" w:hAnsi="Times New Roman" w:eastAsia="宋体" w:cs="Times New Roman"/>
                <w:color w:val="auto"/>
                <w:szCs w:val="24"/>
                <w:highlight w:val="none"/>
                <w:lang w:val="en-US" w:eastAsia="zh-CN"/>
              </w:rPr>
              <w:t>号楼</w:t>
            </w:r>
            <w:r>
              <w:rPr>
                <w:rFonts w:hint="eastAsia" w:ascii="Times New Roman" w:hAnsi="Times New Roman" w:eastAsia="宋体" w:cs="Times New Roman"/>
                <w:color w:val="auto"/>
                <w:szCs w:val="24"/>
                <w:highlight w:val="none"/>
                <w:lang w:val="en-US" w:eastAsia="zh-CN"/>
              </w:rPr>
              <w:t>高16米</w:t>
            </w:r>
            <w:r>
              <w:rPr>
                <w:rFonts w:hint="default" w:ascii="Times New Roman" w:hAnsi="Times New Roman" w:eastAsia="宋体" w:cs="Times New Roman"/>
                <w:color w:val="auto"/>
                <w:szCs w:val="24"/>
                <w:highlight w:val="none"/>
                <w:lang w:val="en-US" w:eastAsia="zh-CN"/>
              </w:rPr>
              <w:t>，</w:t>
            </w:r>
            <w:r>
              <w:rPr>
                <w:rFonts w:hint="eastAsia" w:ascii="Times New Roman" w:hAnsi="Times New Roman" w:eastAsia="宋体" w:cs="Times New Roman"/>
                <w:color w:val="auto"/>
                <w:szCs w:val="24"/>
                <w:highlight w:val="none"/>
                <w:lang w:val="en-US" w:eastAsia="zh-CN"/>
              </w:rPr>
              <w:t>本项目排气筒</w:t>
            </w:r>
            <w:r>
              <w:rPr>
                <w:rFonts w:hint="default" w:ascii="Times New Roman" w:hAnsi="Times New Roman" w:eastAsia="宋体" w:cs="Times New Roman"/>
                <w:color w:val="auto"/>
                <w:szCs w:val="24"/>
                <w:highlight w:val="none"/>
              </w:rPr>
              <w:t>未高出周围200m半径范围内的建筑物5m以上，废气排放速率须根据上述要求执行。</w:t>
            </w:r>
          </w:p>
          <w:p w14:paraId="47F50349">
            <w:pPr>
              <w:pStyle w:val="42"/>
              <w:snapToGrid w:val="0"/>
              <w:ind w:firstLine="480" w:firstLineChars="200"/>
              <w:rPr>
                <w:rFonts w:hint="default" w:ascii="Times New Roman" w:hAnsi="Times New Roman" w:eastAsia="宋体" w:cs="Times New Roman"/>
                <w:color w:val="auto"/>
                <w:szCs w:val="24"/>
                <w:highlight w:val="none"/>
                <w:lang w:val="zh-CN"/>
              </w:rPr>
            </w:pPr>
            <w:r>
              <w:rPr>
                <w:rFonts w:hint="default" w:ascii="Times New Roman" w:hAnsi="Times New Roman" w:eastAsia="宋体" w:cs="Times New Roman"/>
                <w:color w:val="auto"/>
                <w:szCs w:val="24"/>
                <w:highlight w:val="none"/>
                <w:lang w:val="zh-CN"/>
              </w:rPr>
              <w:t>综上，本项目大气污染物排放执行标准详见下表。</w:t>
            </w:r>
          </w:p>
          <w:p w14:paraId="1D8BF571">
            <w:pPr>
              <w:numPr>
                <w:ilvl w:val="0"/>
                <w:numId w:val="31"/>
              </w:num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北京市《大气污染物综合排放标准》（DB11/501-2017）（摘录）</w:t>
            </w:r>
          </w:p>
          <w:tbl>
            <w:tblPr>
              <w:tblStyle w:val="24"/>
              <w:tblW w:w="492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776"/>
              <w:gridCol w:w="1728"/>
              <w:gridCol w:w="1055"/>
              <w:gridCol w:w="1260"/>
              <w:gridCol w:w="1314"/>
            </w:tblGrid>
            <w:tr w14:paraId="75ECD0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84" w:type="dxa"/>
                  <w:vMerge w:val="restart"/>
                  <w:tcBorders>
                    <w:tl2br w:val="nil"/>
                    <w:tr2bl w:val="nil"/>
                  </w:tcBorders>
                  <w:shd w:val="clear" w:color="auto" w:fill="auto"/>
                  <w:vAlign w:val="center"/>
                </w:tcPr>
                <w:p w14:paraId="1D53B570">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排放口</w:t>
                  </w:r>
                </w:p>
              </w:tc>
              <w:tc>
                <w:tcPr>
                  <w:tcW w:w="1776" w:type="dxa"/>
                  <w:vMerge w:val="restart"/>
                  <w:tcBorders>
                    <w:tl2br w:val="nil"/>
                    <w:tr2bl w:val="nil"/>
                  </w:tcBorders>
                  <w:shd w:val="clear" w:color="auto" w:fill="auto"/>
                  <w:vAlign w:val="center"/>
                </w:tcPr>
                <w:p w14:paraId="35A41310">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污染物</w:t>
                  </w:r>
                </w:p>
                <w:p w14:paraId="2F6444CF">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项目</w:t>
                  </w:r>
                </w:p>
              </w:tc>
              <w:tc>
                <w:tcPr>
                  <w:tcW w:w="1728" w:type="dxa"/>
                  <w:vMerge w:val="restart"/>
                  <w:tcBorders>
                    <w:tl2br w:val="nil"/>
                    <w:tr2bl w:val="nil"/>
                  </w:tcBorders>
                  <w:shd w:val="clear" w:color="auto" w:fill="auto"/>
                  <w:vAlign w:val="center"/>
                </w:tcPr>
                <w:p w14:paraId="34B078BD">
                  <w:pPr>
                    <w:jc w:val="center"/>
                    <w:rPr>
                      <w:rFonts w:hint="default" w:ascii="Times New Roman" w:hAnsi="Times New Roman" w:eastAsia="宋体" w:cs="Times New Roman"/>
                      <w:b/>
                      <w:color w:val="auto"/>
                      <w:szCs w:val="21"/>
                      <w:highlight w:val="none"/>
                      <w:lang w:val="zh-CN"/>
                    </w:rPr>
                  </w:pPr>
                  <w:r>
                    <w:rPr>
                      <w:rFonts w:hint="default" w:ascii="Times New Roman" w:hAnsi="Times New Roman" w:eastAsia="宋体" w:cs="Times New Roman"/>
                      <w:b/>
                      <w:color w:val="auto"/>
                      <w:szCs w:val="21"/>
                      <w:highlight w:val="none"/>
                      <w:lang w:val="zh-CN"/>
                    </w:rPr>
                    <w:t>Ⅱ时段大气污染物最高允许排放浓度（mg/m</w:t>
                  </w:r>
                  <w:r>
                    <w:rPr>
                      <w:rFonts w:hint="default" w:ascii="Times New Roman" w:hAnsi="Times New Roman" w:eastAsia="宋体" w:cs="Times New Roman"/>
                      <w:b/>
                      <w:color w:val="auto"/>
                      <w:szCs w:val="21"/>
                      <w:highlight w:val="none"/>
                      <w:vertAlign w:val="superscript"/>
                      <w:lang w:val="zh-CN"/>
                    </w:rPr>
                    <w:t>3</w:t>
                  </w:r>
                  <w:r>
                    <w:rPr>
                      <w:rFonts w:hint="default" w:ascii="Times New Roman" w:hAnsi="Times New Roman" w:eastAsia="宋体" w:cs="Times New Roman"/>
                      <w:b/>
                      <w:color w:val="auto"/>
                      <w:szCs w:val="21"/>
                      <w:highlight w:val="none"/>
                      <w:lang w:val="zh-CN"/>
                    </w:rPr>
                    <w:t>）</w:t>
                  </w:r>
                </w:p>
              </w:tc>
              <w:tc>
                <w:tcPr>
                  <w:tcW w:w="1055" w:type="dxa"/>
                  <w:vMerge w:val="restart"/>
                  <w:tcBorders>
                    <w:tl2br w:val="nil"/>
                    <w:tr2bl w:val="nil"/>
                  </w:tcBorders>
                  <w:shd w:val="clear" w:color="auto" w:fill="auto"/>
                  <w:vAlign w:val="center"/>
                </w:tcPr>
                <w:p w14:paraId="44F1321A">
                  <w:pPr>
                    <w:jc w:val="center"/>
                    <w:rPr>
                      <w:rFonts w:hint="default" w:ascii="Times New Roman" w:hAnsi="Times New Roman" w:eastAsia="宋体" w:cs="Times New Roman"/>
                      <w:b/>
                      <w:color w:val="auto"/>
                      <w:szCs w:val="21"/>
                      <w:highlight w:val="none"/>
                      <w:lang w:val="zh-CN"/>
                    </w:rPr>
                  </w:pPr>
                  <w:r>
                    <w:rPr>
                      <w:rFonts w:hint="default" w:ascii="Times New Roman" w:hAnsi="Times New Roman" w:eastAsia="宋体" w:cs="Times New Roman"/>
                      <w:b/>
                      <w:color w:val="auto"/>
                      <w:szCs w:val="21"/>
                      <w:highlight w:val="none"/>
                      <w:lang w:val="zh-CN"/>
                    </w:rPr>
                    <w:t>排气筒高度（m）</w:t>
                  </w:r>
                </w:p>
              </w:tc>
              <w:tc>
                <w:tcPr>
                  <w:tcW w:w="2574" w:type="dxa"/>
                  <w:gridSpan w:val="2"/>
                  <w:tcBorders>
                    <w:tl2br w:val="nil"/>
                    <w:tr2bl w:val="nil"/>
                  </w:tcBorders>
                  <w:shd w:val="clear" w:color="auto" w:fill="auto"/>
                  <w:vAlign w:val="center"/>
                </w:tcPr>
                <w:p w14:paraId="741BF3C5">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
                      <w:color w:val="auto"/>
                      <w:szCs w:val="21"/>
                      <w:highlight w:val="none"/>
                      <w:lang w:val="zh-CN"/>
                    </w:rPr>
                    <w:t>最高允许排放速率（kg/h）</w:t>
                  </w:r>
                </w:p>
              </w:tc>
            </w:tr>
            <w:tr w14:paraId="409F7AF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84" w:type="dxa"/>
                  <w:vMerge w:val="continue"/>
                  <w:tcBorders>
                    <w:tl2br w:val="nil"/>
                    <w:tr2bl w:val="nil"/>
                  </w:tcBorders>
                  <w:vAlign w:val="center"/>
                </w:tcPr>
                <w:p w14:paraId="63F28508">
                  <w:pPr>
                    <w:jc w:val="center"/>
                    <w:rPr>
                      <w:rFonts w:hint="default" w:ascii="Times New Roman" w:hAnsi="Times New Roman" w:eastAsia="宋体" w:cs="Times New Roman"/>
                      <w:color w:val="auto"/>
                      <w:szCs w:val="21"/>
                      <w:highlight w:val="none"/>
                    </w:rPr>
                  </w:pPr>
                </w:p>
              </w:tc>
              <w:tc>
                <w:tcPr>
                  <w:tcW w:w="1776" w:type="dxa"/>
                  <w:vMerge w:val="continue"/>
                  <w:tcBorders>
                    <w:tl2br w:val="nil"/>
                    <w:tr2bl w:val="nil"/>
                  </w:tcBorders>
                  <w:vAlign w:val="center"/>
                </w:tcPr>
                <w:p w14:paraId="69E66E3A">
                  <w:pPr>
                    <w:jc w:val="center"/>
                    <w:rPr>
                      <w:rFonts w:hint="default" w:ascii="Times New Roman" w:hAnsi="Times New Roman" w:eastAsia="宋体" w:cs="Times New Roman"/>
                      <w:color w:val="auto"/>
                      <w:szCs w:val="21"/>
                      <w:highlight w:val="none"/>
                    </w:rPr>
                  </w:pPr>
                </w:p>
              </w:tc>
              <w:tc>
                <w:tcPr>
                  <w:tcW w:w="1728" w:type="dxa"/>
                  <w:vMerge w:val="continue"/>
                  <w:tcBorders>
                    <w:tl2br w:val="nil"/>
                    <w:tr2bl w:val="nil"/>
                  </w:tcBorders>
                  <w:vAlign w:val="center"/>
                </w:tcPr>
                <w:p w14:paraId="481F9D9B">
                  <w:pPr>
                    <w:jc w:val="center"/>
                    <w:rPr>
                      <w:rFonts w:hint="default" w:ascii="Times New Roman" w:hAnsi="Times New Roman" w:eastAsia="宋体" w:cs="Times New Roman"/>
                      <w:color w:val="auto"/>
                      <w:szCs w:val="21"/>
                      <w:highlight w:val="none"/>
                    </w:rPr>
                  </w:pPr>
                </w:p>
              </w:tc>
              <w:tc>
                <w:tcPr>
                  <w:tcW w:w="1055" w:type="dxa"/>
                  <w:vMerge w:val="continue"/>
                  <w:tcBorders>
                    <w:tl2br w:val="nil"/>
                    <w:tr2bl w:val="nil"/>
                  </w:tcBorders>
                  <w:vAlign w:val="center"/>
                </w:tcPr>
                <w:p w14:paraId="7FEE2AC8">
                  <w:pPr>
                    <w:jc w:val="center"/>
                    <w:rPr>
                      <w:rFonts w:hint="default" w:ascii="Times New Roman" w:hAnsi="Times New Roman" w:eastAsia="宋体" w:cs="Times New Roman"/>
                      <w:color w:val="auto"/>
                      <w:szCs w:val="21"/>
                      <w:highlight w:val="none"/>
                    </w:rPr>
                  </w:pPr>
                </w:p>
              </w:tc>
              <w:tc>
                <w:tcPr>
                  <w:tcW w:w="1260" w:type="dxa"/>
                  <w:tcBorders>
                    <w:tl2br w:val="nil"/>
                    <w:tr2bl w:val="nil"/>
                  </w:tcBorders>
                  <w:shd w:val="clear" w:color="auto" w:fill="auto"/>
                  <w:vAlign w:val="center"/>
                </w:tcPr>
                <w:p w14:paraId="6EEC34F0">
                  <w:pPr>
                    <w:jc w:val="center"/>
                    <w:rPr>
                      <w:rFonts w:hint="default" w:ascii="Times New Roman" w:hAnsi="Times New Roman" w:eastAsia="宋体" w:cs="Times New Roman"/>
                      <w:b/>
                      <w:color w:val="auto"/>
                      <w:szCs w:val="21"/>
                      <w:highlight w:val="none"/>
                      <w:lang w:val="en-US" w:eastAsia="zh-CN"/>
                    </w:rPr>
                  </w:pPr>
                  <w:r>
                    <w:rPr>
                      <w:rFonts w:hint="eastAsia" w:cs="Times New Roman"/>
                      <w:b/>
                      <w:color w:val="auto"/>
                      <w:szCs w:val="21"/>
                      <w:highlight w:val="none"/>
                      <w:lang w:val="en-US" w:eastAsia="zh-CN"/>
                    </w:rPr>
                    <w:t>18m</w:t>
                  </w:r>
                </w:p>
              </w:tc>
              <w:tc>
                <w:tcPr>
                  <w:tcW w:w="1314" w:type="dxa"/>
                  <w:tcBorders>
                    <w:tl2br w:val="nil"/>
                    <w:tr2bl w:val="nil"/>
                  </w:tcBorders>
                  <w:shd w:val="clear" w:color="auto" w:fill="auto"/>
                  <w:vAlign w:val="center"/>
                </w:tcPr>
                <w:p w14:paraId="76B7C5CF">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严格50%</w:t>
                  </w:r>
                </w:p>
              </w:tc>
            </w:tr>
            <w:tr w14:paraId="2365212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4" w:type="dxa"/>
                  <w:vMerge w:val="restart"/>
                  <w:tcBorders>
                    <w:tl2br w:val="nil"/>
                    <w:tr2bl w:val="nil"/>
                  </w:tcBorders>
                  <w:shd w:val="clear" w:color="auto" w:fill="auto"/>
                  <w:vAlign w:val="center"/>
                </w:tcPr>
                <w:p w14:paraId="24319445">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DA</w:t>
                  </w:r>
                </w:p>
                <w:p w14:paraId="5D9061D3">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w:t>
                  </w:r>
                </w:p>
              </w:tc>
              <w:tc>
                <w:tcPr>
                  <w:tcW w:w="1776" w:type="dxa"/>
                  <w:tcBorders>
                    <w:tl2br w:val="nil"/>
                    <w:tr2bl w:val="nil"/>
                  </w:tcBorders>
                  <w:shd w:val="clear" w:color="auto" w:fill="auto"/>
                  <w:vAlign w:val="center"/>
                </w:tcPr>
                <w:p w14:paraId="30E5AC1B">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非甲烷总烃</w:t>
                  </w:r>
                </w:p>
              </w:tc>
              <w:tc>
                <w:tcPr>
                  <w:tcW w:w="1728" w:type="dxa"/>
                  <w:tcBorders>
                    <w:tl2br w:val="nil"/>
                    <w:tr2bl w:val="nil"/>
                  </w:tcBorders>
                  <w:shd w:val="clear" w:color="auto" w:fill="auto"/>
                  <w:vAlign w:val="center"/>
                </w:tcPr>
                <w:p w14:paraId="62EA5C24">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w:t>
                  </w:r>
                </w:p>
              </w:tc>
              <w:tc>
                <w:tcPr>
                  <w:tcW w:w="1055" w:type="dxa"/>
                  <w:vMerge w:val="restart"/>
                  <w:tcBorders>
                    <w:tl2br w:val="nil"/>
                    <w:tr2bl w:val="nil"/>
                  </w:tcBorders>
                  <w:shd w:val="clear" w:color="auto" w:fill="auto"/>
                  <w:vAlign w:val="center"/>
                </w:tcPr>
                <w:p w14:paraId="2072CD6A">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18</w:t>
                  </w:r>
                </w:p>
              </w:tc>
              <w:tc>
                <w:tcPr>
                  <w:tcW w:w="1260" w:type="dxa"/>
                  <w:tcBorders>
                    <w:tl2br w:val="nil"/>
                    <w:tr2bl w:val="nil"/>
                  </w:tcBorders>
                  <w:shd w:val="clear" w:color="auto" w:fill="auto"/>
                  <w:vAlign w:val="center"/>
                </w:tcPr>
                <w:p w14:paraId="40119F20">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w:t>
                  </w:r>
                </w:p>
              </w:tc>
              <w:tc>
                <w:tcPr>
                  <w:tcW w:w="1314" w:type="dxa"/>
                  <w:tcBorders>
                    <w:tl2br w:val="nil"/>
                    <w:tr2bl w:val="nil"/>
                  </w:tcBorders>
                  <w:shd w:val="clear" w:color="auto" w:fill="auto"/>
                  <w:vAlign w:val="center"/>
                </w:tcPr>
                <w:p w14:paraId="371640AE">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2.5</w:t>
                  </w:r>
                </w:p>
              </w:tc>
            </w:tr>
            <w:tr w14:paraId="67FE66D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4" w:type="dxa"/>
                  <w:vMerge w:val="continue"/>
                  <w:tcBorders>
                    <w:tl2br w:val="nil"/>
                    <w:tr2bl w:val="nil"/>
                  </w:tcBorders>
                  <w:shd w:val="clear" w:color="auto" w:fill="auto"/>
                  <w:vAlign w:val="center"/>
                </w:tcPr>
                <w:p w14:paraId="5DDC795D">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p>
              </w:tc>
              <w:tc>
                <w:tcPr>
                  <w:tcW w:w="1776" w:type="dxa"/>
                  <w:tcBorders>
                    <w:tl2br w:val="nil"/>
                    <w:tr2bl w:val="nil"/>
                  </w:tcBorders>
                  <w:shd w:val="clear" w:color="auto" w:fill="auto"/>
                  <w:vAlign w:val="center"/>
                </w:tcPr>
                <w:p w14:paraId="1252E2C0">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甲醇</w:t>
                  </w:r>
                </w:p>
              </w:tc>
              <w:tc>
                <w:tcPr>
                  <w:tcW w:w="1728" w:type="dxa"/>
                  <w:tcBorders>
                    <w:tl2br w:val="nil"/>
                    <w:tr2bl w:val="nil"/>
                  </w:tcBorders>
                  <w:shd w:val="clear" w:color="auto" w:fill="auto"/>
                  <w:vAlign w:val="center"/>
                </w:tcPr>
                <w:p w14:paraId="3E4B12C3">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w:t>
                  </w:r>
                </w:p>
              </w:tc>
              <w:tc>
                <w:tcPr>
                  <w:tcW w:w="1055" w:type="dxa"/>
                  <w:vMerge w:val="continue"/>
                  <w:tcBorders>
                    <w:tl2br w:val="nil"/>
                    <w:tr2bl w:val="nil"/>
                  </w:tcBorders>
                  <w:shd w:val="clear" w:color="auto" w:fill="auto"/>
                  <w:vAlign w:val="center"/>
                </w:tcPr>
                <w:p w14:paraId="58AEA820">
                  <w:pPr>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260" w:type="dxa"/>
                  <w:tcBorders>
                    <w:tl2br w:val="nil"/>
                    <w:tr2bl w:val="nil"/>
                  </w:tcBorders>
                  <w:shd w:val="clear" w:color="auto" w:fill="auto"/>
                  <w:vAlign w:val="center"/>
                </w:tcPr>
                <w:p w14:paraId="19E7F0E3">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2.5</w:t>
                  </w:r>
                </w:p>
              </w:tc>
              <w:tc>
                <w:tcPr>
                  <w:tcW w:w="1314" w:type="dxa"/>
                  <w:tcBorders>
                    <w:tl2br w:val="nil"/>
                    <w:tr2bl w:val="nil"/>
                  </w:tcBorders>
                  <w:shd w:val="clear" w:color="auto" w:fill="auto"/>
                  <w:vAlign w:val="center"/>
                </w:tcPr>
                <w:p w14:paraId="4EA7C908">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1.3</w:t>
                  </w:r>
                </w:p>
              </w:tc>
            </w:tr>
            <w:tr w14:paraId="5665D20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4" w:type="dxa"/>
                  <w:vMerge w:val="continue"/>
                  <w:tcBorders>
                    <w:tl2br w:val="nil"/>
                    <w:tr2bl w:val="nil"/>
                  </w:tcBorders>
                  <w:shd w:val="clear" w:color="auto" w:fill="auto"/>
                  <w:vAlign w:val="center"/>
                </w:tcPr>
                <w:p w14:paraId="2A937496">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p>
              </w:tc>
              <w:tc>
                <w:tcPr>
                  <w:tcW w:w="1776" w:type="dxa"/>
                  <w:tcBorders>
                    <w:tl2br w:val="nil"/>
                    <w:tr2bl w:val="nil"/>
                  </w:tcBorders>
                  <w:shd w:val="clear" w:color="auto" w:fill="auto"/>
                  <w:vAlign w:val="center"/>
                </w:tcPr>
                <w:p w14:paraId="567B19E3">
                  <w:pPr>
                    <w:adjustRightInd w:val="0"/>
                    <w:snapToGrid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其他A类物质（乙酸）</w:t>
                  </w:r>
                </w:p>
              </w:tc>
              <w:tc>
                <w:tcPr>
                  <w:tcW w:w="1728" w:type="dxa"/>
                  <w:tcBorders>
                    <w:tl2br w:val="nil"/>
                    <w:tr2bl w:val="nil"/>
                  </w:tcBorders>
                  <w:shd w:val="clear" w:color="auto" w:fill="auto"/>
                  <w:vAlign w:val="center"/>
                </w:tcPr>
                <w:p w14:paraId="4AD4E842">
                  <w:pPr>
                    <w:adjustRightInd w:val="0"/>
                    <w:snapToGrid w:val="0"/>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w:t>
                  </w:r>
                </w:p>
              </w:tc>
              <w:tc>
                <w:tcPr>
                  <w:tcW w:w="1055" w:type="dxa"/>
                  <w:vMerge w:val="continue"/>
                  <w:tcBorders>
                    <w:tl2br w:val="nil"/>
                    <w:tr2bl w:val="nil"/>
                  </w:tcBorders>
                  <w:shd w:val="clear" w:color="auto" w:fill="auto"/>
                  <w:vAlign w:val="center"/>
                </w:tcPr>
                <w:p w14:paraId="32056BD1">
                  <w:pPr>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260" w:type="dxa"/>
                  <w:tcBorders>
                    <w:tl2br w:val="nil"/>
                    <w:tr2bl w:val="nil"/>
                  </w:tcBorders>
                  <w:shd w:val="clear" w:color="auto" w:fill="auto"/>
                  <w:vAlign w:val="center"/>
                </w:tcPr>
                <w:p w14:paraId="007599A6">
                  <w:pPr>
                    <w:adjustRightInd w:val="0"/>
                    <w:snapToGrid w:val="0"/>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314" w:type="dxa"/>
                  <w:tcBorders>
                    <w:tl2br w:val="nil"/>
                    <w:tr2bl w:val="nil"/>
                  </w:tcBorders>
                  <w:shd w:val="clear" w:color="auto" w:fill="auto"/>
                  <w:vAlign w:val="center"/>
                </w:tcPr>
                <w:p w14:paraId="3291AC72">
                  <w:pPr>
                    <w:adjustRightInd w:val="0"/>
                    <w:snapToGrid w:val="0"/>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69F4C8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4" w:type="dxa"/>
                  <w:vMerge w:val="continue"/>
                  <w:tcBorders>
                    <w:tl2br w:val="nil"/>
                    <w:tr2bl w:val="nil"/>
                  </w:tcBorders>
                  <w:shd w:val="clear" w:color="auto" w:fill="auto"/>
                  <w:vAlign w:val="center"/>
                </w:tcPr>
                <w:p w14:paraId="05E49C21">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p>
              </w:tc>
              <w:tc>
                <w:tcPr>
                  <w:tcW w:w="1776" w:type="dxa"/>
                  <w:tcBorders>
                    <w:tl2br w:val="nil"/>
                    <w:tr2bl w:val="nil"/>
                  </w:tcBorders>
                  <w:shd w:val="clear" w:color="auto" w:fill="auto"/>
                  <w:vAlign w:val="center"/>
                </w:tcPr>
                <w:p w14:paraId="7487CEC3">
                  <w:pPr>
                    <w:adjustRightInd w:val="0"/>
                    <w:snapToGrid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其他C类物质（乙酸乙酯、乙醚、正己烷、丙酮）</w:t>
                  </w:r>
                </w:p>
              </w:tc>
              <w:tc>
                <w:tcPr>
                  <w:tcW w:w="1728" w:type="dxa"/>
                  <w:tcBorders>
                    <w:tl2br w:val="nil"/>
                    <w:tr2bl w:val="nil"/>
                  </w:tcBorders>
                  <w:shd w:val="clear" w:color="auto" w:fill="auto"/>
                  <w:vAlign w:val="center"/>
                </w:tcPr>
                <w:p w14:paraId="09CBED86">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80</w:t>
                  </w:r>
                </w:p>
              </w:tc>
              <w:tc>
                <w:tcPr>
                  <w:tcW w:w="1055" w:type="dxa"/>
                  <w:vMerge w:val="continue"/>
                  <w:tcBorders>
                    <w:tl2br w:val="nil"/>
                    <w:tr2bl w:val="nil"/>
                  </w:tcBorders>
                  <w:shd w:val="clear" w:color="auto" w:fill="auto"/>
                  <w:vAlign w:val="center"/>
                </w:tcPr>
                <w:p w14:paraId="2B6DFB49">
                  <w:pPr>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260" w:type="dxa"/>
                  <w:tcBorders>
                    <w:tl2br w:val="nil"/>
                    <w:tr2bl w:val="nil"/>
                  </w:tcBorders>
                  <w:shd w:val="clear" w:color="auto" w:fill="auto"/>
                  <w:vAlign w:val="center"/>
                </w:tcPr>
                <w:p w14:paraId="26418CFF">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314" w:type="dxa"/>
                  <w:tcBorders>
                    <w:tl2br w:val="nil"/>
                    <w:tr2bl w:val="nil"/>
                  </w:tcBorders>
                  <w:shd w:val="clear" w:color="auto" w:fill="auto"/>
                  <w:vAlign w:val="center"/>
                </w:tcPr>
                <w:p w14:paraId="4B2D2900">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3CE959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4" w:type="dxa"/>
                  <w:vMerge w:val="continue"/>
                  <w:tcBorders>
                    <w:tl2br w:val="nil"/>
                    <w:tr2bl w:val="nil"/>
                  </w:tcBorders>
                  <w:shd w:val="clear" w:color="auto" w:fill="auto"/>
                  <w:vAlign w:val="center"/>
                </w:tcPr>
                <w:p w14:paraId="2921C1A4">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p>
              </w:tc>
              <w:tc>
                <w:tcPr>
                  <w:tcW w:w="1776" w:type="dxa"/>
                  <w:tcBorders>
                    <w:tl2br w:val="nil"/>
                    <w:tr2bl w:val="nil"/>
                  </w:tcBorders>
                  <w:shd w:val="clear" w:color="auto" w:fill="auto"/>
                  <w:vAlign w:val="center"/>
                </w:tcPr>
                <w:p w14:paraId="08C0B2EE">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氨</w:t>
                  </w:r>
                </w:p>
              </w:tc>
              <w:tc>
                <w:tcPr>
                  <w:tcW w:w="1728" w:type="dxa"/>
                  <w:tcBorders>
                    <w:tl2br w:val="nil"/>
                    <w:tr2bl w:val="nil"/>
                  </w:tcBorders>
                  <w:shd w:val="clear" w:color="auto" w:fill="auto"/>
                  <w:vAlign w:val="center"/>
                </w:tcPr>
                <w:p w14:paraId="68FFE263">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p>
              </w:tc>
              <w:tc>
                <w:tcPr>
                  <w:tcW w:w="1055" w:type="dxa"/>
                  <w:vMerge w:val="continue"/>
                  <w:tcBorders>
                    <w:tl2br w:val="nil"/>
                    <w:tr2bl w:val="nil"/>
                  </w:tcBorders>
                  <w:shd w:val="clear" w:color="auto" w:fill="auto"/>
                  <w:vAlign w:val="center"/>
                </w:tcPr>
                <w:p w14:paraId="4A0DAFC2">
                  <w:pPr>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260" w:type="dxa"/>
                  <w:tcBorders>
                    <w:tl2br w:val="nil"/>
                    <w:tr2bl w:val="nil"/>
                  </w:tcBorders>
                  <w:shd w:val="clear" w:color="auto" w:fill="auto"/>
                  <w:vAlign w:val="center"/>
                </w:tcPr>
                <w:p w14:paraId="30619C97">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p>
              </w:tc>
              <w:tc>
                <w:tcPr>
                  <w:tcW w:w="1314" w:type="dxa"/>
                  <w:tcBorders>
                    <w:tl2br w:val="nil"/>
                    <w:tr2bl w:val="nil"/>
                  </w:tcBorders>
                  <w:shd w:val="clear" w:color="auto" w:fill="auto"/>
                  <w:vAlign w:val="center"/>
                </w:tcPr>
                <w:p w14:paraId="7D1AD81D">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0.50</w:t>
                  </w:r>
                </w:p>
              </w:tc>
            </w:tr>
            <w:tr w14:paraId="18E83D5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4" w:type="dxa"/>
                  <w:vMerge w:val="continue"/>
                  <w:tcBorders>
                    <w:tl2br w:val="nil"/>
                    <w:tr2bl w:val="nil"/>
                  </w:tcBorders>
                  <w:shd w:val="clear" w:color="auto" w:fill="auto"/>
                  <w:vAlign w:val="center"/>
                </w:tcPr>
                <w:p w14:paraId="75BF069C">
                  <w:pPr>
                    <w:adjustRightInd w:val="0"/>
                    <w:snapToGrid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p>
              </w:tc>
              <w:tc>
                <w:tcPr>
                  <w:tcW w:w="1776" w:type="dxa"/>
                  <w:tcBorders>
                    <w:tl2br w:val="nil"/>
                    <w:tr2bl w:val="nil"/>
                  </w:tcBorders>
                  <w:shd w:val="clear" w:color="auto" w:fill="auto"/>
                  <w:vAlign w:val="center"/>
                </w:tcPr>
                <w:p w14:paraId="475C9D41">
                  <w:pPr>
                    <w:adjustRightInd w:val="0"/>
                    <w:snapToGrid w:val="0"/>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氯化氢</w:t>
                  </w:r>
                </w:p>
              </w:tc>
              <w:tc>
                <w:tcPr>
                  <w:tcW w:w="1728" w:type="dxa"/>
                  <w:tcBorders>
                    <w:tl2br w:val="nil"/>
                    <w:tr2bl w:val="nil"/>
                  </w:tcBorders>
                  <w:shd w:val="clear" w:color="auto" w:fill="auto"/>
                  <w:vAlign w:val="center"/>
                </w:tcPr>
                <w:p w14:paraId="57E6425F">
                  <w:pPr>
                    <w:adjustRightInd w:val="0"/>
                    <w:snapToGrid w:val="0"/>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p>
              </w:tc>
              <w:tc>
                <w:tcPr>
                  <w:tcW w:w="1055" w:type="dxa"/>
                  <w:vMerge w:val="continue"/>
                  <w:tcBorders>
                    <w:tl2br w:val="nil"/>
                    <w:tr2bl w:val="nil"/>
                  </w:tcBorders>
                  <w:shd w:val="clear" w:color="auto" w:fill="auto"/>
                  <w:vAlign w:val="center"/>
                </w:tcPr>
                <w:p w14:paraId="4D465105">
                  <w:pPr>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260" w:type="dxa"/>
                  <w:tcBorders>
                    <w:tl2br w:val="nil"/>
                    <w:tr2bl w:val="nil"/>
                  </w:tcBorders>
                  <w:shd w:val="clear" w:color="auto" w:fill="auto"/>
                  <w:vAlign w:val="center"/>
                </w:tcPr>
                <w:p w14:paraId="0F1B903D">
                  <w:pPr>
                    <w:adjustRightInd w:val="0"/>
                    <w:snapToGrid w:val="0"/>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0.050</w:t>
                  </w:r>
                </w:p>
              </w:tc>
              <w:tc>
                <w:tcPr>
                  <w:tcW w:w="1314" w:type="dxa"/>
                  <w:tcBorders>
                    <w:tl2br w:val="nil"/>
                    <w:tr2bl w:val="nil"/>
                  </w:tcBorders>
                  <w:shd w:val="clear" w:color="auto" w:fill="auto"/>
                  <w:vAlign w:val="center"/>
                </w:tcPr>
                <w:p w14:paraId="196635FA">
                  <w:pPr>
                    <w:adjustRightInd w:val="0"/>
                    <w:snapToGrid w:val="0"/>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0.025</w:t>
                  </w:r>
                </w:p>
              </w:tc>
            </w:tr>
            <w:tr w14:paraId="7DC38C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4" w:type="dxa"/>
                  <w:vMerge w:val="continue"/>
                  <w:tcBorders>
                    <w:tl2br w:val="nil"/>
                    <w:tr2bl w:val="nil"/>
                  </w:tcBorders>
                  <w:shd w:val="clear" w:color="auto" w:fill="auto"/>
                  <w:vAlign w:val="center"/>
                </w:tcPr>
                <w:p w14:paraId="0A8E2AF1">
                  <w:pPr>
                    <w:adjustRightInd w:val="0"/>
                    <w:snapToGrid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p>
              </w:tc>
              <w:tc>
                <w:tcPr>
                  <w:tcW w:w="1776" w:type="dxa"/>
                  <w:tcBorders>
                    <w:tl2br w:val="nil"/>
                    <w:tr2bl w:val="nil"/>
                  </w:tcBorders>
                  <w:shd w:val="clear" w:color="auto" w:fill="auto"/>
                  <w:vAlign w:val="center"/>
                </w:tcPr>
                <w:p w14:paraId="1CA85D9A">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硫酸雾</w:t>
                  </w:r>
                </w:p>
              </w:tc>
              <w:tc>
                <w:tcPr>
                  <w:tcW w:w="1728" w:type="dxa"/>
                  <w:tcBorders>
                    <w:tl2br w:val="nil"/>
                    <w:tr2bl w:val="nil"/>
                  </w:tcBorders>
                  <w:shd w:val="clear" w:color="auto" w:fill="auto"/>
                  <w:vAlign w:val="center"/>
                </w:tcPr>
                <w:p w14:paraId="2C73C71A">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w:t>
                  </w:r>
                </w:p>
              </w:tc>
              <w:tc>
                <w:tcPr>
                  <w:tcW w:w="1055" w:type="dxa"/>
                  <w:vMerge w:val="continue"/>
                  <w:tcBorders>
                    <w:tl2br w:val="nil"/>
                    <w:tr2bl w:val="nil"/>
                  </w:tcBorders>
                  <w:shd w:val="clear" w:color="auto" w:fill="auto"/>
                  <w:vAlign w:val="center"/>
                </w:tcPr>
                <w:p w14:paraId="0198D3BA">
                  <w:pPr>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260" w:type="dxa"/>
                  <w:tcBorders>
                    <w:tl2br w:val="nil"/>
                    <w:tr2bl w:val="nil"/>
                  </w:tcBorders>
                  <w:shd w:val="clear" w:color="auto" w:fill="auto"/>
                  <w:vAlign w:val="center"/>
                </w:tcPr>
                <w:p w14:paraId="39FE3357">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p>
              </w:tc>
              <w:tc>
                <w:tcPr>
                  <w:tcW w:w="1314" w:type="dxa"/>
                  <w:tcBorders>
                    <w:tl2br w:val="nil"/>
                    <w:tr2bl w:val="nil"/>
                  </w:tcBorders>
                  <w:shd w:val="clear" w:color="auto" w:fill="auto"/>
                  <w:vAlign w:val="center"/>
                </w:tcPr>
                <w:p w14:paraId="308B6276">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0.75</w:t>
                  </w:r>
                </w:p>
              </w:tc>
            </w:tr>
            <w:tr w14:paraId="758F326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4" w:type="dxa"/>
                  <w:vMerge w:val="continue"/>
                  <w:tcBorders>
                    <w:tl2br w:val="nil"/>
                    <w:tr2bl w:val="nil"/>
                  </w:tcBorders>
                  <w:shd w:val="clear" w:color="auto" w:fill="auto"/>
                  <w:vAlign w:val="center"/>
                </w:tcPr>
                <w:p w14:paraId="7A8F15DA">
                  <w:pPr>
                    <w:adjustRightInd w:val="0"/>
                    <w:snapToGrid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p>
              </w:tc>
              <w:tc>
                <w:tcPr>
                  <w:tcW w:w="1776" w:type="dxa"/>
                  <w:tcBorders>
                    <w:tl2br w:val="nil"/>
                    <w:tr2bl w:val="nil"/>
                  </w:tcBorders>
                  <w:shd w:val="clear" w:color="auto" w:fill="auto"/>
                  <w:vAlign w:val="center"/>
                </w:tcPr>
                <w:p w14:paraId="24C59FC9">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氮氧化物</w:t>
                  </w:r>
                </w:p>
              </w:tc>
              <w:tc>
                <w:tcPr>
                  <w:tcW w:w="1728" w:type="dxa"/>
                  <w:tcBorders>
                    <w:tl2br w:val="nil"/>
                    <w:tr2bl w:val="nil"/>
                  </w:tcBorders>
                  <w:shd w:val="clear" w:color="auto" w:fill="auto"/>
                  <w:vAlign w:val="center"/>
                </w:tcPr>
                <w:p w14:paraId="01747D3A">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1055" w:type="dxa"/>
                  <w:vMerge w:val="continue"/>
                  <w:tcBorders>
                    <w:tl2br w:val="nil"/>
                    <w:tr2bl w:val="nil"/>
                  </w:tcBorders>
                  <w:shd w:val="clear" w:color="auto" w:fill="auto"/>
                  <w:vAlign w:val="center"/>
                </w:tcPr>
                <w:p w14:paraId="3A5523E7">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p>
              </w:tc>
              <w:tc>
                <w:tcPr>
                  <w:tcW w:w="1260" w:type="dxa"/>
                  <w:tcBorders>
                    <w:tl2br w:val="nil"/>
                    <w:tr2bl w:val="nil"/>
                  </w:tcBorders>
                  <w:shd w:val="clear" w:color="auto" w:fill="auto"/>
                  <w:vAlign w:val="center"/>
                </w:tcPr>
                <w:p w14:paraId="605EA83B">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0.60</w:t>
                  </w:r>
                </w:p>
              </w:tc>
              <w:tc>
                <w:tcPr>
                  <w:tcW w:w="1314" w:type="dxa"/>
                  <w:tcBorders>
                    <w:tl2br w:val="nil"/>
                    <w:tr2bl w:val="nil"/>
                  </w:tcBorders>
                  <w:shd w:val="clear" w:color="auto" w:fill="auto"/>
                  <w:vAlign w:val="center"/>
                </w:tcPr>
                <w:p w14:paraId="08B0DBB3">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0.30</w:t>
                  </w:r>
                </w:p>
              </w:tc>
            </w:tr>
          </w:tbl>
          <w:p w14:paraId="5CFA7DFC">
            <w:pPr>
              <w:adjustRightInd w:val="0"/>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color w:val="auto"/>
                <w:sz w:val="24"/>
                <w:highlight w:val="none"/>
              </w:rPr>
              <w:t>二</w:t>
            </w:r>
            <w:r>
              <w:rPr>
                <w:rFonts w:hint="default" w:ascii="Times New Roman" w:hAnsi="Times New Roman" w:eastAsia="宋体" w:cs="Times New Roman"/>
                <w:b/>
                <w:color w:val="auto"/>
                <w:sz w:val="24"/>
                <w:highlight w:val="none"/>
              </w:rPr>
              <w:t>、水污染物排放标准</w:t>
            </w:r>
          </w:p>
          <w:p w14:paraId="10C013F3">
            <w:pPr>
              <w:pStyle w:val="6"/>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本项目废水最终排入</w:t>
            </w:r>
            <w:r>
              <w:rPr>
                <w:rFonts w:hint="eastAsia" w:cs="Times New Roman"/>
                <w:color w:val="auto"/>
                <w:sz w:val="24"/>
                <w:szCs w:val="24"/>
                <w:highlight w:val="none"/>
                <w:lang w:eastAsia="zh-CN"/>
              </w:rPr>
              <w:t>北京新城禹潞环保科技有限责任公司—金桥基地第一污水处理厂</w:t>
            </w:r>
            <w:r>
              <w:rPr>
                <w:rFonts w:hint="default" w:ascii="Times New Roman" w:hAnsi="Times New Roman" w:eastAsia="宋体" w:cs="Times New Roman"/>
                <w:color w:val="auto"/>
                <w:sz w:val="24"/>
                <w:szCs w:val="24"/>
                <w:highlight w:val="none"/>
              </w:rPr>
              <w:t>，根据北京市《水污染物综合排放标准》（DB11/307-2013）中的规定，水污染物排放执行</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排入公共污水处理系统的水污染物排放限值</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。具体限值见下表。</w:t>
            </w:r>
          </w:p>
          <w:p w14:paraId="33CA1E3B">
            <w:pPr>
              <w:numPr>
                <w:ilvl w:val="0"/>
                <w:numId w:val="31"/>
              </w:num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color w:val="auto"/>
                <w:sz w:val="24"/>
                <w:highlight w:val="none"/>
              </w:rPr>
              <w:t xml:space="preserve"> 排入公共污水处理系统的水污染物排放限值</w:t>
            </w:r>
            <w:r>
              <w:rPr>
                <w:rFonts w:hint="default" w:ascii="Times New Roman" w:hAnsi="Times New Roman" w:eastAsia="宋体" w:cs="Times New Roman"/>
                <w:b/>
                <w:bCs/>
                <w:color w:val="auto"/>
                <w:sz w:val="24"/>
                <w:highlight w:val="none"/>
              </w:rPr>
              <w:t>（摘录）</w:t>
            </w:r>
          </w:p>
          <w:tbl>
            <w:tblPr>
              <w:tblStyle w:val="23"/>
              <w:tblW w:w="4853"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3283"/>
              <w:gridCol w:w="3059"/>
            </w:tblGrid>
            <w:tr w14:paraId="0E6CC0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blHeader/>
                <w:jc w:val="center"/>
              </w:trPr>
              <w:tc>
                <w:tcPr>
                  <w:tcW w:w="880" w:type="pct"/>
                  <w:tcBorders>
                    <w:tl2br w:val="nil"/>
                    <w:tr2bl w:val="nil"/>
                  </w:tcBorders>
                  <w:vAlign w:val="center"/>
                </w:tcPr>
                <w:p w14:paraId="6BF685D0">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序号</w:t>
                  </w:r>
                </w:p>
              </w:tc>
              <w:tc>
                <w:tcPr>
                  <w:tcW w:w="2132" w:type="pct"/>
                  <w:tcBorders>
                    <w:tl2br w:val="nil"/>
                    <w:tr2bl w:val="nil"/>
                  </w:tcBorders>
                  <w:vAlign w:val="center"/>
                </w:tcPr>
                <w:p w14:paraId="6B78683B">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污染物或项目名称</w:t>
                  </w:r>
                </w:p>
              </w:tc>
              <w:tc>
                <w:tcPr>
                  <w:tcW w:w="1986" w:type="pct"/>
                  <w:tcBorders>
                    <w:tl2br w:val="nil"/>
                    <w:tr2bl w:val="nil"/>
                  </w:tcBorders>
                  <w:vAlign w:val="center"/>
                </w:tcPr>
                <w:p w14:paraId="0543A064">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排放限值（</w:t>
                  </w:r>
                  <w:r>
                    <w:rPr>
                      <w:rFonts w:hint="default" w:ascii="Times New Roman" w:hAnsi="Times New Roman" w:eastAsia="宋体" w:cs="Times New Roman"/>
                      <w:b/>
                      <w:bCs/>
                      <w:color w:val="auto"/>
                      <w:sz w:val="24"/>
                      <w:highlight w:val="none"/>
                    </w:rPr>
                    <w:t>mg/L</w:t>
                  </w:r>
                  <w:r>
                    <w:rPr>
                      <w:rFonts w:hint="default" w:ascii="Times New Roman" w:hAnsi="Times New Roman" w:eastAsia="宋体" w:cs="Times New Roman"/>
                      <w:b/>
                      <w:color w:val="auto"/>
                      <w:szCs w:val="21"/>
                      <w:highlight w:val="none"/>
                    </w:rPr>
                    <w:t>）</w:t>
                  </w:r>
                </w:p>
              </w:tc>
            </w:tr>
            <w:tr w14:paraId="249EC73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blHeader/>
                <w:jc w:val="center"/>
              </w:trPr>
              <w:tc>
                <w:tcPr>
                  <w:tcW w:w="880" w:type="pct"/>
                  <w:tcBorders>
                    <w:tl2br w:val="nil"/>
                    <w:tr2bl w:val="nil"/>
                  </w:tcBorders>
                  <w:vAlign w:val="center"/>
                </w:tcPr>
                <w:p w14:paraId="7D283DA1">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2132" w:type="pct"/>
                  <w:tcBorders>
                    <w:tl2br w:val="nil"/>
                    <w:tr2bl w:val="nil"/>
                  </w:tcBorders>
                  <w:vAlign w:val="center"/>
                </w:tcPr>
                <w:p w14:paraId="0BD13DB5">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pH</w:t>
                  </w:r>
                  <w:r>
                    <w:rPr>
                      <w:rFonts w:hint="default" w:ascii="Times New Roman" w:hAnsi="Times New Roman" w:eastAsia="宋体" w:cs="Times New Roman"/>
                      <w:color w:val="auto"/>
                      <w:szCs w:val="21"/>
                      <w:highlight w:val="none"/>
                    </w:rPr>
                    <w:t>（无量纲）</w:t>
                  </w:r>
                </w:p>
              </w:tc>
              <w:tc>
                <w:tcPr>
                  <w:tcW w:w="1986" w:type="pct"/>
                  <w:tcBorders>
                    <w:tl2br w:val="nil"/>
                    <w:tr2bl w:val="nil"/>
                  </w:tcBorders>
                  <w:vAlign w:val="center"/>
                </w:tcPr>
                <w:p w14:paraId="7538F1BD">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6.5～9</w:t>
                  </w:r>
                </w:p>
              </w:tc>
            </w:tr>
            <w:tr w14:paraId="162494E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tblHeader/>
                <w:jc w:val="center"/>
              </w:trPr>
              <w:tc>
                <w:tcPr>
                  <w:tcW w:w="880" w:type="pct"/>
                  <w:tcBorders>
                    <w:tl2br w:val="nil"/>
                    <w:tr2bl w:val="nil"/>
                  </w:tcBorders>
                  <w:vAlign w:val="center"/>
                </w:tcPr>
                <w:p w14:paraId="7A4D3DA7">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2132" w:type="pct"/>
                  <w:tcBorders>
                    <w:tl2br w:val="nil"/>
                    <w:tr2bl w:val="nil"/>
                  </w:tcBorders>
                  <w:vAlign w:val="center"/>
                </w:tcPr>
                <w:p w14:paraId="0043241C">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悬浮物</w:t>
                  </w:r>
                </w:p>
              </w:tc>
              <w:tc>
                <w:tcPr>
                  <w:tcW w:w="1986" w:type="pct"/>
                  <w:tcBorders>
                    <w:tl2br w:val="nil"/>
                    <w:tr2bl w:val="nil"/>
                  </w:tcBorders>
                  <w:vAlign w:val="center"/>
                </w:tcPr>
                <w:p w14:paraId="2ACD0424">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400</w:t>
                  </w:r>
                </w:p>
              </w:tc>
            </w:tr>
            <w:tr w14:paraId="6A71B9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blHeader/>
                <w:jc w:val="center"/>
              </w:trPr>
              <w:tc>
                <w:tcPr>
                  <w:tcW w:w="880" w:type="pct"/>
                  <w:tcBorders>
                    <w:tl2br w:val="nil"/>
                    <w:tr2bl w:val="nil"/>
                  </w:tcBorders>
                  <w:vAlign w:val="center"/>
                </w:tcPr>
                <w:p w14:paraId="1470154B">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w:t>
                  </w:r>
                </w:p>
              </w:tc>
              <w:tc>
                <w:tcPr>
                  <w:tcW w:w="2132" w:type="pct"/>
                  <w:tcBorders>
                    <w:tl2br w:val="nil"/>
                    <w:tr2bl w:val="nil"/>
                  </w:tcBorders>
                  <w:vAlign w:val="center"/>
                </w:tcPr>
                <w:p w14:paraId="2AED8F67">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五日生化需氧量</w:t>
                  </w:r>
                </w:p>
              </w:tc>
              <w:tc>
                <w:tcPr>
                  <w:tcW w:w="1986" w:type="pct"/>
                  <w:tcBorders>
                    <w:tl2br w:val="nil"/>
                    <w:tr2bl w:val="nil"/>
                  </w:tcBorders>
                  <w:vAlign w:val="center"/>
                </w:tcPr>
                <w:p w14:paraId="76A31BE3">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300</w:t>
                  </w:r>
                </w:p>
              </w:tc>
            </w:tr>
            <w:tr w14:paraId="239EEE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880" w:type="pct"/>
                  <w:tcBorders>
                    <w:tl2br w:val="nil"/>
                    <w:tr2bl w:val="nil"/>
                  </w:tcBorders>
                  <w:vAlign w:val="center"/>
                </w:tcPr>
                <w:p w14:paraId="27E6E614">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p>
              </w:tc>
              <w:tc>
                <w:tcPr>
                  <w:tcW w:w="2132" w:type="pct"/>
                  <w:tcBorders>
                    <w:tl2br w:val="nil"/>
                    <w:tr2bl w:val="nil"/>
                  </w:tcBorders>
                  <w:vAlign w:val="center"/>
                </w:tcPr>
                <w:p w14:paraId="60156109">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化学需氧量</w:t>
                  </w:r>
                </w:p>
              </w:tc>
              <w:tc>
                <w:tcPr>
                  <w:tcW w:w="1986" w:type="pct"/>
                  <w:tcBorders>
                    <w:tl2br w:val="nil"/>
                    <w:tr2bl w:val="nil"/>
                  </w:tcBorders>
                  <w:vAlign w:val="center"/>
                </w:tcPr>
                <w:p w14:paraId="2F3872F5">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500</w:t>
                  </w:r>
                </w:p>
              </w:tc>
            </w:tr>
            <w:tr w14:paraId="15263D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blHeader/>
                <w:jc w:val="center"/>
              </w:trPr>
              <w:tc>
                <w:tcPr>
                  <w:tcW w:w="880" w:type="pct"/>
                  <w:tcBorders>
                    <w:tl2br w:val="nil"/>
                    <w:tr2bl w:val="nil"/>
                  </w:tcBorders>
                  <w:vAlign w:val="center"/>
                </w:tcPr>
                <w:p w14:paraId="2340F6B5">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p>
              </w:tc>
              <w:tc>
                <w:tcPr>
                  <w:tcW w:w="2132" w:type="pct"/>
                  <w:tcBorders>
                    <w:tl2br w:val="nil"/>
                    <w:tr2bl w:val="nil"/>
                  </w:tcBorders>
                  <w:vAlign w:val="center"/>
                </w:tcPr>
                <w:p w14:paraId="0E4533DB">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氨氮</w:t>
                  </w:r>
                </w:p>
              </w:tc>
              <w:tc>
                <w:tcPr>
                  <w:tcW w:w="1986" w:type="pct"/>
                  <w:tcBorders>
                    <w:tl2br w:val="nil"/>
                    <w:tr2bl w:val="nil"/>
                  </w:tcBorders>
                  <w:vAlign w:val="center"/>
                </w:tcPr>
                <w:p w14:paraId="0FE31195">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45</w:t>
                  </w:r>
                </w:p>
              </w:tc>
            </w:tr>
            <w:tr w14:paraId="3417CC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blHeader/>
                <w:jc w:val="center"/>
              </w:trPr>
              <w:tc>
                <w:tcPr>
                  <w:tcW w:w="880" w:type="pct"/>
                  <w:tcBorders>
                    <w:tl2br w:val="nil"/>
                    <w:tr2bl w:val="nil"/>
                  </w:tcBorders>
                  <w:vAlign w:val="center"/>
                </w:tcPr>
                <w:p w14:paraId="770D40D9">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w:t>
                  </w:r>
                </w:p>
              </w:tc>
              <w:tc>
                <w:tcPr>
                  <w:tcW w:w="2132" w:type="pct"/>
                  <w:tcBorders>
                    <w:tl2br w:val="nil"/>
                    <w:tr2bl w:val="nil"/>
                  </w:tcBorders>
                  <w:vAlign w:val="center"/>
                </w:tcPr>
                <w:p w14:paraId="527DAEC8">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可溶性固体总量</w:t>
                  </w:r>
                </w:p>
              </w:tc>
              <w:tc>
                <w:tcPr>
                  <w:tcW w:w="1986" w:type="pct"/>
                  <w:tcBorders>
                    <w:tl2br w:val="nil"/>
                    <w:tr2bl w:val="nil"/>
                  </w:tcBorders>
                  <w:vAlign w:val="center"/>
                </w:tcPr>
                <w:p w14:paraId="3AA70280">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1600</w:t>
                  </w:r>
                </w:p>
              </w:tc>
            </w:tr>
          </w:tbl>
          <w:p w14:paraId="0C928397">
            <w:pPr>
              <w:adjustRightInd w:val="0"/>
              <w:snapToGrid w:val="0"/>
              <w:spacing w:before="120" w:beforeLines="50"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三、噪声排放标准</w:t>
            </w:r>
          </w:p>
          <w:p w14:paraId="5FD6F046">
            <w:pPr>
              <w:pStyle w:val="6"/>
              <w:adjustRightInd w:val="0"/>
              <w:snapToGrid w:val="0"/>
              <w:spacing w:line="360" w:lineRule="auto"/>
              <w:ind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项目施工期厂界噪声排放标准执行《建筑施工场界环境噪声排放标准》（GB12523-2011）中标准限值。</w:t>
            </w:r>
          </w:p>
          <w:p w14:paraId="77EDFC02">
            <w:pPr>
              <w:pStyle w:val="6"/>
              <w:adjustRightInd w:val="0"/>
              <w:snapToGrid w:val="0"/>
              <w:spacing w:line="360" w:lineRule="auto"/>
              <w:ind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项目边界运营期厂界噪声执行《工业企业厂界环境噪声排放标准》（GB12348-2008）中规定的3类标准要求，具体标准值详见下表。</w:t>
            </w:r>
          </w:p>
          <w:p w14:paraId="7A9D1F44">
            <w:pPr>
              <w:numPr>
                <w:ilvl w:val="0"/>
                <w:numId w:val="31"/>
              </w:num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本项目噪声排放标准 单位：dB（A）</w:t>
            </w:r>
          </w:p>
          <w:tbl>
            <w:tblPr>
              <w:tblStyle w:val="23"/>
              <w:tblW w:w="4766"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1265"/>
              <w:gridCol w:w="3082"/>
              <w:gridCol w:w="1607"/>
              <w:gridCol w:w="1607"/>
            </w:tblGrid>
            <w:tr w14:paraId="11895B3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552" w:hRule="atLeast"/>
                <w:jc w:val="center"/>
              </w:trPr>
              <w:tc>
                <w:tcPr>
                  <w:tcW w:w="2874" w:type="pct"/>
                  <w:gridSpan w:val="2"/>
                  <w:tcBorders>
                    <w:tl2br w:val="nil"/>
                    <w:tr2bl w:val="nil"/>
                  </w:tcBorders>
                  <mc:AlternateContent>
                    <mc:Choice Requires="wpsCustomData">
                      <wpsCustomData:diagonals>
                        <wpsCustomData:diagonal from="10000" to="30000">
                          <wpsCustomData:border w:val="single" w:color="000000" w:sz="4" w:space="0"/>
                        </wpsCustomData:diagonal>
                      </wpsCustomData:diagonals>
                    </mc:Choice>
                  </mc:AlternateContent>
                </w:tcPr>
                <w:p w14:paraId="78C568AA">
                  <w:pPr>
                    <w:ind w:right="42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lang w:val="en-US" w:eastAsia="zh-CN"/>
                    </w:rPr>
                    <w:t xml:space="preserve">     </w:t>
                  </w:r>
                  <w:r>
                    <w:rPr>
                      <w:rFonts w:hint="eastAsia" w:cs="Times New Roman"/>
                      <w:b/>
                      <w:color w:val="auto"/>
                      <w:szCs w:val="21"/>
                      <w:highlight w:val="none"/>
                      <w:lang w:val="en-US" w:eastAsia="zh-CN"/>
                    </w:rPr>
                    <w:t xml:space="preserve">        </w:t>
                  </w:r>
                </w:p>
                <w:p w14:paraId="484D306D">
                  <w:pPr>
                    <w:snapToGrid w:val="0"/>
                    <w:spacing w:line="240" w:lineRule="auto"/>
                    <w:ind w:firstLine="422" w:firstLineChars="200"/>
                    <w:jc w:val="left"/>
                    <mc:AlternateContent>
                      <mc:Choice Requires="wpsCustomData">
                        <wpsCustomData:diagonalParaType/>
                      </mc:Choice>
                    </mc:AlternateContent>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项目阶段</w:t>
                  </w:r>
                </w:p>
                <w:p w14:paraId="6F63C732">
                  <w:pPr>
                    <w:ind w:firstLine="1054" w:firstLineChars="500"/>
                    <w:jc w:val="left"/>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时段</w:t>
                  </w:r>
                </w:p>
              </w:tc>
              <w:tc>
                <w:tcPr>
                  <w:tcW w:w="1062" w:type="pct"/>
                  <w:tcBorders>
                    <w:tl2br w:val="nil"/>
                    <w:tr2bl w:val="nil"/>
                  </w:tcBorders>
                  <w:vAlign w:val="center"/>
                </w:tcPr>
                <w:p w14:paraId="5C600A7A">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昼间</w:t>
                  </w:r>
                </w:p>
              </w:tc>
              <w:tc>
                <w:tcPr>
                  <w:tcW w:w="1062" w:type="pct"/>
                  <w:tcBorders>
                    <w:tl2br w:val="nil"/>
                    <w:tr2bl w:val="nil"/>
                  </w:tcBorders>
                  <w:vAlign w:val="center"/>
                </w:tcPr>
                <w:p w14:paraId="37AC2A69">
                  <w:pPr>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夜间</w:t>
                  </w:r>
                </w:p>
              </w:tc>
            </w:tr>
            <w:tr w14:paraId="2CF2AD5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195" w:hRule="atLeast"/>
                <w:jc w:val="center"/>
              </w:trPr>
              <w:tc>
                <w:tcPr>
                  <w:tcW w:w="2874" w:type="pct"/>
                  <w:gridSpan w:val="2"/>
                  <w:tcBorders>
                    <w:tl2br w:val="nil"/>
                    <w:tr2bl w:val="nil"/>
                  </w:tcBorders>
                  <w:vAlign w:val="center"/>
                </w:tcPr>
                <w:p w14:paraId="7AF89663">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施工期</w:t>
                  </w:r>
                </w:p>
              </w:tc>
              <w:tc>
                <w:tcPr>
                  <w:tcW w:w="2125" w:type="pct"/>
                  <w:gridSpan w:val="2"/>
                  <w:tcBorders>
                    <w:tl2br w:val="nil"/>
                    <w:tr2bl w:val="nil"/>
                  </w:tcBorders>
                  <w:vAlign w:val="center"/>
                </w:tcPr>
                <w:p w14:paraId="72B0203C">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70</w:t>
                  </w:r>
                </w:p>
              </w:tc>
            </w:tr>
            <w:tr w14:paraId="31C4C92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195" w:hRule="atLeast"/>
                <w:jc w:val="center"/>
              </w:trPr>
              <w:tc>
                <w:tcPr>
                  <w:tcW w:w="836" w:type="pct"/>
                  <w:tcBorders>
                    <w:tl2br w:val="nil"/>
                    <w:tr2bl w:val="nil"/>
                  </w:tcBorders>
                  <w:vAlign w:val="center"/>
                </w:tcPr>
                <w:p w14:paraId="46B404C0">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运行期</w:t>
                  </w:r>
                </w:p>
              </w:tc>
              <w:tc>
                <w:tcPr>
                  <w:tcW w:w="2038" w:type="pct"/>
                  <w:tcBorders>
                    <w:tl2br w:val="nil"/>
                    <w:tr2bl w:val="nil"/>
                  </w:tcBorders>
                  <w:vAlign w:val="center"/>
                </w:tcPr>
                <w:p w14:paraId="455CB604">
                  <w:pPr>
                    <w:ind w:firstLine="210" w:firstLineChars="100"/>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厂界东侧、南侧、西侧、北侧</w:t>
                  </w:r>
                </w:p>
              </w:tc>
              <w:tc>
                <w:tcPr>
                  <w:tcW w:w="1062" w:type="pct"/>
                  <w:tcBorders>
                    <w:tl2br w:val="nil"/>
                    <w:tr2bl w:val="nil"/>
                  </w:tcBorders>
                  <w:vAlign w:val="center"/>
                </w:tcPr>
                <w:p w14:paraId="1F5FF2F8">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65</w:t>
                  </w:r>
                </w:p>
              </w:tc>
              <w:tc>
                <w:tcPr>
                  <w:tcW w:w="1062" w:type="pct"/>
                  <w:tcBorders>
                    <w:tl2br w:val="nil"/>
                    <w:tr2bl w:val="nil"/>
                  </w:tcBorders>
                  <w:vAlign w:val="center"/>
                </w:tcPr>
                <w:p w14:paraId="5D069FF8">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55</w:t>
                  </w:r>
                </w:p>
              </w:tc>
            </w:tr>
            <w:tr w14:paraId="39E2138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195" w:hRule="atLeast"/>
                <w:jc w:val="center"/>
              </w:trPr>
              <w:tc>
                <w:tcPr>
                  <w:tcW w:w="5000" w:type="pct"/>
                  <w:gridSpan w:val="4"/>
                  <w:tcBorders>
                    <w:tl2br w:val="nil"/>
                    <w:tr2bl w:val="nil"/>
                  </w:tcBorders>
                  <w:vAlign w:val="center"/>
                </w:tcPr>
                <w:p w14:paraId="4183993D">
                  <w:pPr>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注：本项目施工期夜间不施工；运行期</w:t>
                  </w:r>
                  <w:r>
                    <w:rPr>
                      <w:rFonts w:hint="default" w:ascii="Times New Roman" w:hAnsi="Times New Roman" w:eastAsia="宋体" w:cs="Times New Roman"/>
                      <w:color w:val="auto"/>
                      <w:highlight w:val="none"/>
                      <w:lang w:val="en-US" w:eastAsia="zh-CN"/>
                    </w:rPr>
                    <w:t>夜间不</w:t>
                  </w:r>
                  <w:r>
                    <w:rPr>
                      <w:rFonts w:hint="default" w:ascii="Times New Roman" w:hAnsi="Times New Roman" w:eastAsia="宋体" w:cs="Times New Roman"/>
                      <w:color w:val="auto"/>
                      <w:highlight w:val="none"/>
                    </w:rPr>
                    <w:t>运行。</w:t>
                  </w:r>
                </w:p>
              </w:tc>
            </w:tr>
          </w:tbl>
          <w:p w14:paraId="36B4B485">
            <w:pPr>
              <w:adjustRightInd w:val="0"/>
              <w:spacing w:before="120" w:beforeLines="50"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四、固体废物排放标准或规定</w:t>
            </w:r>
          </w:p>
          <w:p w14:paraId="4D7E26C3">
            <w:pPr>
              <w:adjustRightIn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固体废物执行《中华人民共和国固体废物污染环境防治法》（2020 年 4 月 29 日修订）中有关规定。</w:t>
            </w:r>
          </w:p>
          <w:p w14:paraId="7BA1D583">
            <w:pPr>
              <w:adjustRightIn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（1）生活垃圾</w:t>
            </w:r>
          </w:p>
          <w:p w14:paraId="0A88F828">
            <w:pPr>
              <w:adjustRightIn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执行《中华人民共和国固体废物污染环境防治法》（2020年版）及《北京市生活垃圾管理条例》（2020年5月1日起施行，2020年9月25日第二次修正）中的有关规定。</w:t>
            </w:r>
          </w:p>
          <w:p w14:paraId="43A4C9DB">
            <w:pPr>
              <w:adjustRightIn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（2）一般工业固体废物</w:t>
            </w:r>
          </w:p>
          <w:p w14:paraId="23E0C0A9">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一般工业固体废物处置执行《中华人民共和国固体废物污染环境防治法》（2020年9月1日起施行）、《一般工业固体废物贮存和填埋污染控制标准》（GB18599-2020）中的有关规定。</w:t>
            </w:r>
          </w:p>
          <w:p w14:paraId="004BCEAB">
            <w:pPr>
              <w:adjustRightIn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（3）危险废物</w:t>
            </w:r>
          </w:p>
          <w:p w14:paraId="77441D3B">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危险废物收集、储存、转运执行《北京市危险废物污染环境防治条例》、（2020年9月1日实施）、《危险废物收集贮存运输技术规范》（HJ2025-2012）、《危险废物贮存污染控制标准》（GB18597-2023）、《危险废物污染防治技术政策》（环发[2021]199号）和《危险废物转移管理办法》（2022年1月1日起施行）、《实验室危险废物污染防治技术规范》（DB11 /T 1368—2016）中的有关规定。</w:t>
            </w:r>
          </w:p>
        </w:tc>
      </w:tr>
      <w:tr w14:paraId="02F92C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800" w:type="dxa"/>
            <w:tcMar>
              <w:left w:w="28" w:type="dxa"/>
              <w:right w:w="28" w:type="dxa"/>
            </w:tcMar>
            <w:vAlign w:val="center"/>
          </w:tcPr>
          <w:p w14:paraId="1A677B0F">
            <w:pPr>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总量控制指标</w:t>
            </w:r>
          </w:p>
        </w:tc>
        <w:tc>
          <w:tcPr>
            <w:tcW w:w="8147" w:type="dxa"/>
            <w:vAlign w:val="center"/>
          </w:tcPr>
          <w:p w14:paraId="6FE04509">
            <w:pPr>
              <w:adjustRightInd w:val="0"/>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一、污染物排放总量控制原则</w:t>
            </w:r>
          </w:p>
          <w:p w14:paraId="66491CD1">
            <w:pPr>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北京市环境保护局关于转发环境保护部《建设项目主要污染物排放总量指标审核及管理暂行办法》的通知（京环发〔2015〕19号）以及《北京市环境保护局关于建设项目主要污染物排放总量指标审核及管理的补充通知》（京环发〔2016〕24号），本市实施建设项目总量指标审核和管理的污染物范围包括：二氧化硫、氮氧化物、烟粉尘、挥发性有机物（工业及汽车维修行业）及化学需氧量、氨氮。</w:t>
            </w:r>
          </w:p>
          <w:p w14:paraId="6FF3A9E1">
            <w:pPr>
              <w:pStyle w:val="6"/>
              <w:adjustRightInd w:val="0"/>
              <w:snapToGrid w:val="0"/>
              <w:spacing w:line="360" w:lineRule="auto"/>
              <w:ind w:firstLine="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二、建设项目污染物排放总量核算</w:t>
            </w:r>
          </w:p>
          <w:p w14:paraId="0C699706">
            <w:pPr>
              <w:adjustRightInd w:val="0"/>
              <w:snapToGrid w:val="0"/>
              <w:spacing w:line="360" w:lineRule="auto"/>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sz w:val="24"/>
                <w:highlight w:val="none"/>
              </w:rPr>
              <w:t>本项目主要进行</w:t>
            </w:r>
            <w:r>
              <w:rPr>
                <w:rFonts w:hint="eastAsia" w:cs="Times New Roman"/>
                <w:color w:val="auto"/>
                <w:sz w:val="24"/>
                <w:highlight w:val="none"/>
                <w:lang w:val="en-US" w:eastAsia="zh-CN"/>
              </w:rPr>
              <w:t>实验检测</w:t>
            </w:r>
            <w:r>
              <w:rPr>
                <w:rFonts w:hint="default" w:ascii="Times New Roman" w:hAnsi="Times New Roman" w:eastAsia="宋体" w:cs="Times New Roman"/>
                <w:color w:val="auto"/>
                <w:sz w:val="24"/>
                <w:highlight w:val="none"/>
              </w:rPr>
              <w:t>，根</w:t>
            </w:r>
            <w:r>
              <w:rPr>
                <w:rFonts w:hint="default" w:ascii="Times New Roman" w:hAnsi="Times New Roman" w:eastAsia="宋体" w:cs="Times New Roman"/>
                <w:color w:val="auto"/>
                <w:kern w:val="0"/>
                <w:sz w:val="24"/>
                <w:highlight w:val="none"/>
              </w:rPr>
              <w:t>据项目特点，本项目需要申请总量控制指标的污染物为：挥发性有机物、</w:t>
            </w:r>
            <w:r>
              <w:rPr>
                <w:rFonts w:hint="eastAsia" w:cs="Times New Roman"/>
                <w:color w:val="auto"/>
                <w:kern w:val="0"/>
                <w:sz w:val="24"/>
                <w:highlight w:val="none"/>
                <w:lang w:val="en-US" w:eastAsia="zh-CN"/>
              </w:rPr>
              <w:t>氮氧化物</w:t>
            </w:r>
            <w:r>
              <w:rPr>
                <w:rFonts w:hint="default"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sz w:val="24"/>
                <w:highlight w:val="none"/>
              </w:rPr>
              <w:t>化学需氧量、氨氮。</w:t>
            </w:r>
            <w:r>
              <w:rPr>
                <w:rFonts w:hint="default" w:ascii="Times New Roman" w:hAnsi="Times New Roman" w:eastAsia="宋体" w:cs="Times New Roman"/>
                <w:color w:val="auto"/>
                <w:kern w:val="0"/>
                <w:sz w:val="24"/>
                <w:highlight w:val="none"/>
              </w:rPr>
              <w:t>根据《北京市环境保护局关于建设项目主要污染物排放总量指标审核及管理的补充通知》（京环发〔2016〕24号）附件1，</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为了使污染物源强的核算更接近实际的排放情况，在污染物源强的核算过程中优先使用实测法，类比分析法、物料衡算法及排放系数法次之。同时在核算过程中应选择不少于两种方法对污染物源强的产生进行核算，当核算的污染物排放总量差别较大时还应继续采用其他方法进行校验，以便得到更接近实际情况的排放量核算数据</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w:t>
            </w:r>
          </w:p>
          <w:p w14:paraId="6A082C4D">
            <w:pPr>
              <w:numPr>
                <w:ilvl w:val="0"/>
                <w:numId w:val="33"/>
              </w:numPr>
              <w:adjustRightInd w:val="0"/>
              <w:snapToGrid w:val="0"/>
              <w:spacing w:line="360" w:lineRule="auto"/>
              <w:ind w:left="0" w:firstLine="482" w:firstLineChars="200"/>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大气污染物</w:t>
            </w:r>
          </w:p>
          <w:p w14:paraId="4069C44C">
            <w:pPr>
              <w:numPr>
                <w:ilvl w:val="0"/>
                <w:numId w:val="0"/>
              </w:numPr>
              <w:adjustRightInd w:val="0"/>
              <w:snapToGrid w:val="0"/>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1</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挥发性有机物</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以非甲烷总烃计</w:t>
            </w:r>
            <w:r>
              <w:rPr>
                <w:rFonts w:hint="default" w:ascii="Times New Roman" w:hAnsi="Times New Roman" w:eastAsia="宋体" w:cs="Times New Roman"/>
                <w:b w:val="0"/>
                <w:bCs w:val="0"/>
                <w:color w:val="auto"/>
                <w:sz w:val="24"/>
                <w:highlight w:val="none"/>
                <w:lang w:eastAsia="zh-CN"/>
              </w:rPr>
              <w:t>）</w:t>
            </w:r>
          </w:p>
          <w:p w14:paraId="3FD9346B">
            <w:pPr>
              <w:numPr>
                <w:ilvl w:val="0"/>
                <w:numId w:val="34"/>
              </w:numPr>
              <w:adjustRightInd w:val="0"/>
              <w:snapToGrid w:val="0"/>
              <w:spacing w:line="360" w:lineRule="auto"/>
              <w:ind w:left="0" w:leftChars="0"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排污系数法</w:t>
            </w:r>
          </w:p>
          <w:p w14:paraId="00B89924">
            <w:pPr>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根据</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四、主要环境影响和环保措施</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 xml:space="preserve">章节中废气排放量核算结果，本项目挥发性有机物（以非甲烷总烃计）的排放量为 </w:t>
            </w:r>
            <w:r>
              <w:rPr>
                <w:rFonts w:hint="eastAsia" w:eastAsia="宋体" w:cs="Times New Roman"/>
                <w:color w:val="auto"/>
                <w:sz w:val="24"/>
                <w:highlight w:val="none"/>
                <w:lang w:val="en-US" w:eastAsia="zh-CN"/>
              </w:rPr>
              <w:t>0.00</w:t>
            </w:r>
            <w:r>
              <w:rPr>
                <w:rFonts w:hint="eastAsia" w:cs="Times New Roman"/>
                <w:b w:val="0"/>
                <w:bCs w:val="0"/>
                <w:color w:val="auto"/>
                <w:kern w:val="0"/>
                <w:sz w:val="21"/>
                <w:szCs w:val="21"/>
                <w:highlight w:val="none"/>
                <w:vertAlign w:val="baseline"/>
                <w:lang w:val="en-US" w:eastAsia="zh-CN"/>
              </w:rPr>
              <w:t xml:space="preserve">43 </w:t>
            </w:r>
            <w:r>
              <w:rPr>
                <w:rFonts w:hint="default" w:ascii="Times New Roman" w:hAnsi="Times New Roman" w:eastAsia="宋体" w:cs="Times New Roman"/>
                <w:color w:val="auto"/>
                <w:sz w:val="24"/>
                <w:highlight w:val="none"/>
                <w:lang w:val="en-US" w:eastAsia="zh-CN"/>
              </w:rPr>
              <w:t>t /a。</w:t>
            </w:r>
          </w:p>
          <w:p w14:paraId="101025A2">
            <w:pPr>
              <w:numPr>
                <w:ilvl w:val="0"/>
                <w:numId w:val="34"/>
              </w:numPr>
              <w:adjustRightInd w:val="0"/>
              <w:snapToGrid w:val="0"/>
              <w:spacing w:line="360" w:lineRule="auto"/>
              <w:ind w:left="0" w:leftChars="0"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类比分析法</w:t>
            </w:r>
          </w:p>
          <w:p w14:paraId="6BAC9640">
            <w:pPr>
              <w:adjustRightInd w:val="0"/>
              <w:snapToGrid w:val="0"/>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本项目挥发性有机物排放类比</w:t>
            </w:r>
            <w:r>
              <w:rPr>
                <w:rFonts w:hint="eastAsia" w:cs="Times New Roman"/>
                <w:color w:val="auto"/>
                <w:sz w:val="24"/>
                <w:highlight w:val="none"/>
                <w:lang w:val="en-US" w:eastAsia="zh-CN"/>
              </w:rPr>
              <w:t>本公司现有项目的污染物排放数据，类比项目与本项目环境管理、检测类别、废气收集处理方式一致，具有可类比性</w:t>
            </w:r>
            <w:r>
              <w:rPr>
                <w:rFonts w:hint="default" w:ascii="Times New Roman" w:hAnsi="Times New Roman" w:eastAsia="宋体" w:cs="Times New Roman"/>
                <w:color w:val="auto"/>
                <w:sz w:val="24"/>
                <w:highlight w:val="none"/>
                <w:lang w:val="en-US" w:eastAsia="zh-CN"/>
              </w:rPr>
              <w:t>，类比</w:t>
            </w:r>
            <w:r>
              <w:rPr>
                <w:rFonts w:hint="eastAsia" w:cs="Times New Roman"/>
                <w:color w:val="auto"/>
                <w:sz w:val="24"/>
                <w:highlight w:val="none"/>
                <w:lang w:val="en-US" w:eastAsia="zh-CN"/>
              </w:rPr>
              <w:t>项目</w:t>
            </w:r>
            <w:r>
              <w:rPr>
                <w:rFonts w:hint="default" w:ascii="Times New Roman" w:hAnsi="Times New Roman" w:eastAsia="宋体" w:cs="Times New Roman"/>
                <w:color w:val="auto"/>
                <w:sz w:val="24"/>
                <w:highlight w:val="none"/>
                <w:lang w:val="en-US" w:eastAsia="zh-CN"/>
              </w:rPr>
              <w:t>与本项目的情况对比见下表。</w:t>
            </w:r>
          </w:p>
          <w:p w14:paraId="3E0DF195">
            <w:pPr>
              <w:numPr>
                <w:ilvl w:val="0"/>
                <w:numId w:val="31"/>
              </w:num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项目挥发性有机物排放情况类比性一览表</w:t>
            </w:r>
          </w:p>
          <w:tbl>
            <w:tblPr>
              <w:tblStyle w:val="23"/>
              <w:tblW w:w="7857"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2798"/>
              <w:gridCol w:w="2799"/>
              <w:gridCol w:w="870"/>
            </w:tblGrid>
            <w:tr w14:paraId="57BAB6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390" w:type="dxa"/>
                  <w:noWrap w:val="0"/>
                  <w:vAlign w:val="center"/>
                </w:tcPr>
                <w:p w14:paraId="525A7998">
                  <w:pPr>
                    <w:pStyle w:val="48"/>
                    <w:spacing w:before="0"/>
                    <w:jc w:val="center"/>
                    <w:rPr>
                      <w:rFonts w:hint="eastAsia" w:ascii="Times New Roman" w:hAnsi="Times New Roman" w:cs="Times New Roman"/>
                      <w:b/>
                      <w:bCs/>
                      <w:color w:val="auto"/>
                      <w:sz w:val="21"/>
                      <w:szCs w:val="21"/>
                      <w:highlight w:val="none"/>
                      <w:lang w:val="en-US"/>
                    </w:rPr>
                  </w:pPr>
                  <w:r>
                    <w:rPr>
                      <w:rFonts w:hint="eastAsia" w:ascii="Times New Roman" w:hAnsi="Times New Roman" w:cs="Times New Roman"/>
                      <w:b/>
                      <w:bCs/>
                      <w:color w:val="auto"/>
                      <w:sz w:val="21"/>
                      <w:szCs w:val="21"/>
                      <w:highlight w:val="none"/>
                      <w:lang w:val="en-US"/>
                    </w:rPr>
                    <w:t>工程特征及污染物排放特征</w:t>
                  </w:r>
                </w:p>
              </w:tc>
              <w:tc>
                <w:tcPr>
                  <w:tcW w:w="2798" w:type="dxa"/>
                  <w:noWrap w:val="0"/>
                  <w:vAlign w:val="center"/>
                </w:tcPr>
                <w:p w14:paraId="34AD7875">
                  <w:pPr>
                    <w:pStyle w:val="48"/>
                    <w:spacing w:before="0"/>
                    <w:jc w:val="center"/>
                    <w:rPr>
                      <w:rFonts w:hint="eastAsia" w:ascii="Times New Roman" w:hAnsi="Times New Roman" w:cs="Times New Roman"/>
                      <w:b/>
                      <w:bCs/>
                      <w:color w:val="auto"/>
                      <w:sz w:val="21"/>
                      <w:szCs w:val="21"/>
                      <w:highlight w:val="none"/>
                      <w:lang w:val="en-US"/>
                    </w:rPr>
                  </w:pPr>
                  <w:r>
                    <w:rPr>
                      <w:rFonts w:hint="eastAsia" w:ascii="Times New Roman" w:hAnsi="Times New Roman" w:cs="Times New Roman"/>
                      <w:b/>
                      <w:bCs/>
                      <w:color w:val="auto"/>
                      <w:sz w:val="21"/>
                      <w:szCs w:val="21"/>
                      <w:highlight w:val="none"/>
                      <w:lang w:val="en-US"/>
                    </w:rPr>
                    <w:t>本项目</w:t>
                  </w:r>
                </w:p>
              </w:tc>
              <w:tc>
                <w:tcPr>
                  <w:tcW w:w="2799" w:type="dxa"/>
                  <w:noWrap w:val="0"/>
                  <w:vAlign w:val="center"/>
                </w:tcPr>
                <w:p w14:paraId="0A3F7BCA">
                  <w:pPr>
                    <w:pStyle w:val="48"/>
                    <w:spacing w:before="0"/>
                    <w:jc w:val="center"/>
                    <w:rPr>
                      <w:rFonts w:hint="eastAsia" w:ascii="Times New Roman" w:hAnsi="Times New Roman" w:cs="Times New Roman"/>
                      <w:b/>
                      <w:bCs/>
                      <w:color w:val="auto"/>
                      <w:sz w:val="21"/>
                      <w:szCs w:val="21"/>
                      <w:highlight w:val="none"/>
                      <w:lang w:val="en-US"/>
                    </w:rPr>
                  </w:pPr>
                  <w:r>
                    <w:rPr>
                      <w:rFonts w:hint="eastAsia" w:ascii="Times New Roman" w:hAnsi="Times New Roman" w:cs="Times New Roman"/>
                      <w:b/>
                      <w:bCs/>
                      <w:color w:val="auto"/>
                      <w:sz w:val="21"/>
                      <w:szCs w:val="21"/>
                      <w:highlight w:val="none"/>
                      <w:lang w:val="en-US"/>
                    </w:rPr>
                    <w:t>类比项目</w:t>
                  </w:r>
                </w:p>
              </w:tc>
              <w:tc>
                <w:tcPr>
                  <w:tcW w:w="870" w:type="dxa"/>
                  <w:shd w:val="clear" w:color="auto" w:fill="auto"/>
                  <w:noWrap w:val="0"/>
                  <w:vAlign w:val="center"/>
                </w:tcPr>
                <w:p w14:paraId="683815BF">
                  <w:pPr>
                    <w:pStyle w:val="58"/>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可类</w:t>
                  </w:r>
                </w:p>
                <w:p w14:paraId="11A6A844">
                  <w:pPr>
                    <w:pStyle w:val="58"/>
                    <w:ind w:firstLine="0" w:firstLineChars="0"/>
                    <w:jc w:val="center"/>
                    <w:rPr>
                      <w:rFonts w:hint="eastAsia"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比性</w:t>
                  </w:r>
                </w:p>
              </w:tc>
            </w:tr>
            <w:tr w14:paraId="05DDE5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390" w:type="dxa"/>
                  <w:noWrap w:val="0"/>
                  <w:vAlign w:val="center"/>
                </w:tcPr>
                <w:p w14:paraId="7483C27B">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项目性质</w:t>
                  </w:r>
                </w:p>
              </w:tc>
              <w:tc>
                <w:tcPr>
                  <w:tcW w:w="2798" w:type="dxa"/>
                  <w:noWrap w:val="0"/>
                  <w:vAlign w:val="center"/>
                </w:tcPr>
                <w:p w14:paraId="59117CA5">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新</w:t>
                  </w:r>
                  <w:r>
                    <w:rPr>
                      <w:rFonts w:hint="default" w:ascii="Times New Roman" w:hAnsi="Times New Roman" w:eastAsia="宋体" w:cs="Times New Roman"/>
                      <w:color w:val="auto"/>
                      <w:kern w:val="0"/>
                      <w:sz w:val="21"/>
                      <w:szCs w:val="21"/>
                      <w:highlight w:val="none"/>
                      <w:lang w:val="en-US" w:eastAsia="zh-CN"/>
                    </w:rPr>
                    <w:t>建</w:t>
                  </w:r>
                </w:p>
              </w:tc>
              <w:tc>
                <w:tcPr>
                  <w:tcW w:w="2799" w:type="dxa"/>
                  <w:noWrap w:val="0"/>
                  <w:vAlign w:val="center"/>
                </w:tcPr>
                <w:p w14:paraId="0B78389A">
                  <w:pPr>
                    <w:pStyle w:val="48"/>
                    <w:spacing w:before="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新建</w:t>
                  </w:r>
                </w:p>
              </w:tc>
              <w:tc>
                <w:tcPr>
                  <w:tcW w:w="870" w:type="dxa"/>
                  <w:shd w:val="clear" w:color="auto" w:fill="auto"/>
                  <w:noWrap w:val="0"/>
                  <w:vAlign w:val="center"/>
                </w:tcPr>
                <w:p w14:paraId="5F17B7E8">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可类比</w:t>
                  </w:r>
                </w:p>
              </w:tc>
            </w:tr>
            <w:tr w14:paraId="392C0B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90" w:type="dxa"/>
                  <w:noWrap w:val="0"/>
                  <w:vAlign w:val="center"/>
                </w:tcPr>
                <w:p w14:paraId="34AB91E7">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项目规模</w:t>
                  </w:r>
                </w:p>
              </w:tc>
              <w:tc>
                <w:tcPr>
                  <w:tcW w:w="2798" w:type="dxa"/>
                  <w:noWrap w:val="0"/>
                  <w:vAlign w:val="center"/>
                </w:tcPr>
                <w:p w14:paraId="2FA5FC2E">
                  <w:pPr>
                    <w:adjustRightInd w:val="0"/>
                    <w:snapToGrid w:val="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年检测环境检测10000个</w:t>
                  </w:r>
                </w:p>
              </w:tc>
              <w:tc>
                <w:tcPr>
                  <w:tcW w:w="2799" w:type="dxa"/>
                  <w:noWrap w:val="0"/>
                  <w:vAlign w:val="center"/>
                </w:tcPr>
                <w:p w14:paraId="2364B27E">
                  <w:pPr>
                    <w:adjustRightInd w:val="0"/>
                    <w:snapToGrid w:val="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年检测血液样品7000个、环境检测3000个</w:t>
                  </w:r>
                </w:p>
              </w:tc>
              <w:tc>
                <w:tcPr>
                  <w:tcW w:w="870" w:type="dxa"/>
                  <w:shd w:val="clear" w:color="auto" w:fill="auto"/>
                  <w:noWrap w:val="0"/>
                  <w:vAlign w:val="center"/>
                </w:tcPr>
                <w:p w14:paraId="39C87A2E">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可类比</w:t>
                  </w:r>
                </w:p>
              </w:tc>
            </w:tr>
            <w:tr w14:paraId="23C1E4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90" w:type="dxa"/>
                  <w:noWrap w:val="0"/>
                  <w:vAlign w:val="center"/>
                </w:tcPr>
                <w:p w14:paraId="77B93B53">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工艺路线</w:t>
                  </w:r>
                </w:p>
              </w:tc>
              <w:tc>
                <w:tcPr>
                  <w:tcW w:w="2798" w:type="dxa"/>
                  <w:noWrap w:val="0"/>
                  <w:vAlign w:val="center"/>
                </w:tcPr>
                <w:p w14:paraId="37F431A7">
                  <w:pPr>
                    <w:adjustRightInd w:val="0"/>
                    <w:snapToGrid w:val="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采样、试剂配制、样品处理、样品检测、数据处理</w:t>
                  </w:r>
                </w:p>
              </w:tc>
              <w:tc>
                <w:tcPr>
                  <w:tcW w:w="2799" w:type="dxa"/>
                  <w:noWrap w:val="0"/>
                  <w:vAlign w:val="center"/>
                </w:tcPr>
                <w:p w14:paraId="1EA2BCB0">
                  <w:pPr>
                    <w:adjustRightInd w:val="0"/>
                    <w:snapToGrid w:val="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采样、试剂配制、样品处理、样品检测、数据处理</w:t>
                  </w:r>
                </w:p>
              </w:tc>
              <w:tc>
                <w:tcPr>
                  <w:tcW w:w="870" w:type="dxa"/>
                  <w:shd w:val="clear" w:color="auto" w:fill="auto"/>
                  <w:noWrap w:val="0"/>
                  <w:vAlign w:val="center"/>
                </w:tcPr>
                <w:p w14:paraId="22D86ACD">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可类比</w:t>
                  </w:r>
                </w:p>
              </w:tc>
            </w:tr>
            <w:tr w14:paraId="2890D0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390" w:type="dxa"/>
                  <w:noWrap w:val="0"/>
                  <w:vAlign w:val="center"/>
                </w:tcPr>
                <w:p w14:paraId="0F231596">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原辅料使用</w:t>
                  </w:r>
                </w:p>
                <w:p w14:paraId="1814C062">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情况</w:t>
                  </w:r>
                </w:p>
              </w:tc>
              <w:tc>
                <w:tcPr>
                  <w:tcW w:w="2798" w:type="dxa"/>
                  <w:noWrap w:val="0"/>
                  <w:vAlign w:val="center"/>
                </w:tcPr>
                <w:p w14:paraId="5D6A6182">
                  <w:pPr>
                    <w:adjustRightInd w:val="0"/>
                    <w:snapToGrid w:val="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年用甲醇、乙醇、乙酸乙酯、乙醚、甲苯、乙酸等挥发性试剂127.7kg。</w:t>
                  </w:r>
                </w:p>
              </w:tc>
              <w:tc>
                <w:tcPr>
                  <w:tcW w:w="2799" w:type="dxa"/>
                  <w:noWrap w:val="0"/>
                  <w:vAlign w:val="center"/>
                </w:tcPr>
                <w:p w14:paraId="307CEDD0">
                  <w:pPr>
                    <w:adjustRightInd w:val="0"/>
                    <w:snapToGrid w:val="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年用甲醇、乙醇、乙酸乙酯、乙醚、甲苯、乙腈等挥发性试剂162.4kg。</w:t>
                  </w:r>
                </w:p>
              </w:tc>
              <w:tc>
                <w:tcPr>
                  <w:tcW w:w="870" w:type="dxa"/>
                  <w:shd w:val="clear" w:color="auto" w:fill="auto"/>
                  <w:noWrap w:val="0"/>
                  <w:vAlign w:val="center"/>
                </w:tcPr>
                <w:p w14:paraId="0E7E2079">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可类比</w:t>
                  </w:r>
                </w:p>
              </w:tc>
            </w:tr>
            <w:tr w14:paraId="26229B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90" w:type="dxa"/>
                  <w:vAlign w:val="center"/>
                </w:tcPr>
                <w:p w14:paraId="1C5CB5B6">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废气排放类型</w:t>
                  </w:r>
                </w:p>
              </w:tc>
              <w:tc>
                <w:tcPr>
                  <w:tcW w:w="2798" w:type="dxa"/>
                  <w:vAlign w:val="center"/>
                </w:tcPr>
                <w:p w14:paraId="60AB7307">
                  <w:pPr>
                    <w:adjustRightInd w:val="0"/>
                    <w:snapToGrid w:val="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有组织排放，挥发性有机物</w:t>
                  </w:r>
                </w:p>
              </w:tc>
              <w:tc>
                <w:tcPr>
                  <w:tcW w:w="2799" w:type="dxa"/>
                  <w:vAlign w:val="center"/>
                </w:tcPr>
                <w:p w14:paraId="36264A9F">
                  <w:pPr>
                    <w:adjustRightInd w:val="0"/>
                    <w:snapToGrid w:val="0"/>
                    <w:jc w:val="both"/>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有组织排放，挥发性有机物</w:t>
                  </w:r>
                </w:p>
              </w:tc>
              <w:tc>
                <w:tcPr>
                  <w:tcW w:w="870" w:type="dxa"/>
                  <w:shd w:val="clear" w:color="auto" w:fill="auto"/>
                  <w:vAlign w:val="center"/>
                </w:tcPr>
                <w:p w14:paraId="2B4EA9CE">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可类比</w:t>
                  </w:r>
                </w:p>
              </w:tc>
            </w:tr>
            <w:tr w14:paraId="620F27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1390" w:type="dxa"/>
                  <w:vAlign w:val="center"/>
                </w:tcPr>
                <w:p w14:paraId="1435E639">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环保措施、排放方式及去向</w:t>
                  </w:r>
                </w:p>
              </w:tc>
              <w:tc>
                <w:tcPr>
                  <w:tcW w:w="2798" w:type="dxa"/>
                  <w:vAlign w:val="center"/>
                </w:tcPr>
                <w:p w14:paraId="296C15AE">
                  <w:pPr>
                    <w:adjustRightInd w:val="0"/>
                    <w:snapToGrid w:val="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废气经通风橱和万向罩收集后进干式过滤器处理后经18米排气筒排放。</w:t>
                  </w:r>
                </w:p>
              </w:tc>
              <w:tc>
                <w:tcPr>
                  <w:tcW w:w="2799" w:type="dxa"/>
                  <w:vAlign w:val="center"/>
                </w:tcPr>
                <w:p w14:paraId="375420F4">
                  <w:pPr>
                    <w:adjustRightInd w:val="0"/>
                    <w:snapToGrid w:val="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废气经通风橱和万向罩收集后进活性炭处理设施处理后经20米排气筒排放。</w:t>
                  </w:r>
                </w:p>
              </w:tc>
              <w:tc>
                <w:tcPr>
                  <w:tcW w:w="870" w:type="dxa"/>
                  <w:shd w:val="clear" w:color="auto" w:fill="auto"/>
                  <w:vAlign w:val="center"/>
                </w:tcPr>
                <w:p w14:paraId="2835DF4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可类比</w:t>
                  </w:r>
                </w:p>
              </w:tc>
            </w:tr>
          </w:tbl>
          <w:p w14:paraId="490C064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类比项目于2023年10月进行了</w:t>
            </w:r>
            <w:r>
              <w:rPr>
                <w:rFonts w:hint="eastAsia" w:cs="Times New Roman"/>
                <w:color w:val="auto"/>
                <w:sz w:val="24"/>
                <w:highlight w:val="none"/>
                <w:lang w:val="en-US" w:eastAsia="zh-CN"/>
              </w:rPr>
              <w:t>验收</w:t>
            </w:r>
            <w:r>
              <w:rPr>
                <w:rFonts w:hint="eastAsia" w:ascii="Times New Roman" w:hAnsi="Times New Roman" w:eastAsia="宋体" w:cs="Times New Roman"/>
                <w:color w:val="auto"/>
                <w:sz w:val="24"/>
                <w:highlight w:val="none"/>
                <w:lang w:val="en-US" w:eastAsia="zh-CN"/>
              </w:rPr>
              <w:t>检测，根据类比项目</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壹检（北京）生物科技有限公司壹检生物实验室项目竣工环境保护验收监测报告</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HB2023101706</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中排气筒出口的数据</w:t>
            </w:r>
            <w:r>
              <w:rPr>
                <w:rFonts w:hint="default" w:ascii="Times New Roman" w:hAnsi="Times New Roman" w:eastAsia="宋体" w:cs="Times New Roman"/>
                <w:color w:val="auto"/>
                <w:sz w:val="24"/>
                <w:highlight w:val="none"/>
                <w:lang w:val="en-US" w:eastAsia="zh-CN"/>
              </w:rPr>
              <w:t>，类比项目排气筒非甲烷总烃平均排放速率为</w:t>
            </w:r>
            <w:r>
              <w:rPr>
                <w:rFonts w:hint="eastAsia" w:cs="Times New Roman"/>
                <w:color w:val="auto"/>
                <w:sz w:val="24"/>
                <w:highlight w:val="none"/>
                <w:lang w:val="en-US" w:eastAsia="zh-CN"/>
              </w:rPr>
              <w:t>0.016</w:t>
            </w:r>
            <w:r>
              <w:rPr>
                <w:rFonts w:hint="default" w:ascii="Times New Roman" w:hAnsi="Times New Roman" w:eastAsia="宋体" w:cs="Times New Roman"/>
                <w:color w:val="auto"/>
                <w:sz w:val="24"/>
                <w:highlight w:val="none"/>
                <w:lang w:val="en-US" w:eastAsia="zh-CN"/>
              </w:rPr>
              <w:t xml:space="preserve"> kg/h，</w:t>
            </w:r>
            <w:r>
              <w:rPr>
                <w:rFonts w:hint="eastAsia" w:cs="Times New Roman"/>
                <w:color w:val="auto"/>
                <w:sz w:val="24"/>
                <w:highlight w:val="none"/>
                <w:lang w:val="en-US" w:eastAsia="zh-CN"/>
              </w:rPr>
              <w:t>年工作时间500h，类比项目挥发性有机物年排放量8</w:t>
            </w:r>
            <w:r>
              <w:rPr>
                <w:rFonts w:hint="default" w:ascii="Times New Roman" w:hAnsi="Times New Roman" w:eastAsia="宋体" w:cs="Times New Roman"/>
                <w:color w:val="auto"/>
                <w:sz w:val="24"/>
                <w:highlight w:val="none"/>
                <w:lang w:val="en-US" w:eastAsia="zh-CN"/>
              </w:rPr>
              <w:t>kg，则类比项目挥发性有机物产生系数为</w:t>
            </w:r>
            <w:r>
              <w:rPr>
                <w:rFonts w:hint="eastAsia" w:cs="Times New Roman"/>
                <w:color w:val="auto"/>
                <w:sz w:val="24"/>
                <w:highlight w:val="none"/>
                <w:lang w:val="en-US" w:eastAsia="zh-CN"/>
              </w:rPr>
              <w:t>0.049</w:t>
            </w:r>
            <w:r>
              <w:rPr>
                <w:rFonts w:hint="default" w:ascii="Times New Roman" w:hAnsi="Times New Roman" w:eastAsia="宋体" w:cs="Times New Roman"/>
                <w:color w:val="auto"/>
                <w:sz w:val="24"/>
                <w:highlight w:val="none"/>
                <w:lang w:val="en-US" w:eastAsia="zh-CN"/>
              </w:rPr>
              <w:t>kg/kg-原料，本项目</w:t>
            </w:r>
            <w:r>
              <w:rPr>
                <w:rFonts w:hint="eastAsia" w:cs="Times New Roman"/>
                <w:color w:val="auto"/>
                <w:sz w:val="24"/>
                <w:highlight w:val="none"/>
                <w:lang w:val="en-US" w:eastAsia="zh-CN"/>
              </w:rPr>
              <w:t>含</w:t>
            </w:r>
            <w:r>
              <w:rPr>
                <w:rFonts w:hint="default" w:ascii="Times New Roman" w:hAnsi="Times New Roman" w:eastAsia="宋体" w:cs="Times New Roman"/>
                <w:color w:val="auto"/>
                <w:sz w:val="24"/>
                <w:highlight w:val="none"/>
                <w:lang w:val="en-US" w:eastAsia="zh-CN"/>
              </w:rPr>
              <w:t>挥发性有机物</w:t>
            </w:r>
            <w:r>
              <w:rPr>
                <w:rFonts w:hint="eastAsia" w:cs="Times New Roman"/>
                <w:color w:val="auto"/>
                <w:sz w:val="24"/>
                <w:highlight w:val="none"/>
                <w:lang w:val="en-US" w:eastAsia="zh-CN"/>
              </w:rPr>
              <w:t>试剂用量127.7</w:t>
            </w:r>
            <w:r>
              <w:rPr>
                <w:rFonts w:hint="default" w:ascii="Times New Roman" w:hAnsi="Times New Roman" w:eastAsia="宋体" w:cs="Times New Roman"/>
                <w:color w:val="auto"/>
                <w:sz w:val="24"/>
                <w:highlight w:val="none"/>
                <w:lang w:val="en-US" w:eastAsia="zh-CN"/>
              </w:rPr>
              <w:t>kg/a，则本项目挥发性有机气体排放量为0.00</w:t>
            </w:r>
            <w:r>
              <w:rPr>
                <w:rFonts w:hint="eastAsia" w:cs="Times New Roman"/>
                <w:color w:val="auto"/>
                <w:sz w:val="24"/>
                <w:highlight w:val="none"/>
                <w:lang w:val="en-US" w:eastAsia="zh-CN"/>
              </w:rPr>
              <w:t>63</w:t>
            </w:r>
            <w:r>
              <w:rPr>
                <w:rFonts w:hint="default" w:ascii="Times New Roman" w:hAnsi="Times New Roman" w:eastAsia="宋体" w:cs="Times New Roman"/>
                <w:color w:val="auto"/>
                <w:sz w:val="24"/>
                <w:highlight w:val="none"/>
                <w:lang w:val="en-US" w:eastAsia="zh-CN"/>
              </w:rPr>
              <w:t>t/a。</w:t>
            </w:r>
          </w:p>
          <w:p w14:paraId="5A1F1D36">
            <w:pPr>
              <w:adjustRightInd w:val="0"/>
              <w:snapToGrid w:val="0"/>
              <w:spacing w:line="360" w:lineRule="auto"/>
              <w:ind w:firstLine="42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综上，本项目采用排污系数法及类比分析法进行挥发性有机物排放量核算，经比较结果相近。考虑到不</w:t>
            </w:r>
            <w:r>
              <w:rPr>
                <w:rFonts w:hint="eastAsia" w:ascii="Times New Roman" w:hAnsi="Times New Roman" w:eastAsia="宋体" w:cs="Times New Roman"/>
                <w:color w:val="auto"/>
                <w:sz w:val="24"/>
                <w:highlight w:val="none"/>
                <w:lang w:val="en-US" w:eastAsia="zh-CN"/>
              </w:rPr>
              <w:t>情况下</w:t>
            </w:r>
            <w:r>
              <w:rPr>
                <w:rFonts w:hint="default" w:ascii="Times New Roman" w:hAnsi="Times New Roman" w:eastAsia="宋体" w:cs="Times New Roman"/>
                <w:color w:val="auto"/>
                <w:sz w:val="24"/>
                <w:highlight w:val="none"/>
                <w:lang w:val="en-US" w:eastAsia="zh-CN"/>
              </w:rPr>
              <w:t>实际运行过程中存在差异，类比数据存在一定的误差，本次环评采用排污系数法的核算结果作为申请排污总量的依据。因此，本项目挥发性有机物排放量为：0.00</w:t>
            </w:r>
            <w:r>
              <w:rPr>
                <w:rFonts w:hint="eastAsia" w:cs="Times New Roman"/>
                <w:color w:val="auto"/>
                <w:sz w:val="24"/>
                <w:highlight w:val="none"/>
                <w:lang w:val="en-US" w:eastAsia="zh-CN"/>
              </w:rPr>
              <w:t>43</w:t>
            </w:r>
            <w:r>
              <w:rPr>
                <w:rFonts w:hint="default" w:ascii="Times New Roman" w:hAnsi="Times New Roman" w:eastAsia="宋体" w:cs="Times New Roman"/>
                <w:color w:val="auto"/>
                <w:sz w:val="24"/>
                <w:highlight w:val="none"/>
                <w:lang w:val="en-US" w:eastAsia="zh-CN"/>
              </w:rPr>
              <w:t xml:space="preserve"> t /a。</w:t>
            </w:r>
          </w:p>
          <w:p w14:paraId="237D5E77">
            <w:pPr>
              <w:numPr>
                <w:ilvl w:val="0"/>
                <w:numId w:val="0"/>
              </w:numPr>
              <w:adjustRightInd w:val="0"/>
              <w:snapToGrid w:val="0"/>
              <w:spacing w:line="360" w:lineRule="auto"/>
              <w:ind w:leftChars="200"/>
              <w:jc w:val="left"/>
              <w:rPr>
                <w:rFonts w:hint="eastAsia" w:cs="Times New Roman"/>
                <w:bCs/>
                <w:color w:val="auto"/>
                <w:sz w:val="24"/>
                <w:highlight w:val="none"/>
                <w:lang w:val="en-US" w:eastAsia="zh-CN"/>
              </w:rPr>
            </w:pP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lang w:eastAsia="zh-CN"/>
              </w:rPr>
              <w:t>）</w:t>
            </w:r>
            <w:r>
              <w:rPr>
                <w:rFonts w:hint="eastAsia" w:cs="Times New Roman"/>
                <w:bCs/>
                <w:color w:val="auto"/>
                <w:sz w:val="24"/>
                <w:highlight w:val="none"/>
                <w:lang w:val="en-US" w:eastAsia="zh-CN"/>
              </w:rPr>
              <w:t>氮氧化物</w:t>
            </w:r>
          </w:p>
          <w:p w14:paraId="25AF38CA">
            <w:pPr>
              <w:numPr>
                <w:ilvl w:val="0"/>
                <w:numId w:val="35"/>
              </w:numPr>
              <w:adjustRightInd w:val="0"/>
              <w:snapToGrid w:val="0"/>
              <w:spacing w:line="360" w:lineRule="auto"/>
              <w:ind w:left="0" w:leftChars="0"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排污系数法</w:t>
            </w:r>
          </w:p>
          <w:p w14:paraId="41BFD1EF">
            <w:pPr>
              <w:adjustRightInd w:val="0"/>
              <w:snapToGrid w:val="0"/>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四、主要环境影响和环保措施</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章节中废气排放量核算结果，本项目</w:t>
            </w:r>
            <w:r>
              <w:rPr>
                <w:rFonts w:hint="eastAsia" w:cs="Times New Roman"/>
                <w:color w:val="auto"/>
                <w:sz w:val="24"/>
                <w:highlight w:val="none"/>
                <w:lang w:val="en-US" w:eastAsia="zh-CN"/>
              </w:rPr>
              <w:t>氮氧化物</w:t>
            </w:r>
            <w:r>
              <w:rPr>
                <w:rFonts w:hint="default" w:ascii="Times New Roman" w:hAnsi="Times New Roman" w:eastAsia="宋体" w:cs="Times New Roman"/>
                <w:color w:val="auto"/>
                <w:sz w:val="24"/>
                <w:highlight w:val="none"/>
                <w:lang w:val="en-US" w:eastAsia="zh-CN"/>
              </w:rPr>
              <w:t>排放量为 0.</w:t>
            </w:r>
            <w:r>
              <w:rPr>
                <w:rFonts w:hint="eastAsia" w:cs="Times New Roman"/>
                <w:color w:val="auto"/>
                <w:sz w:val="24"/>
                <w:highlight w:val="none"/>
                <w:lang w:val="en-US" w:eastAsia="zh-CN"/>
              </w:rPr>
              <w:t>00025t</w:t>
            </w:r>
            <w:r>
              <w:rPr>
                <w:rFonts w:hint="default" w:ascii="Times New Roman" w:hAnsi="Times New Roman" w:eastAsia="宋体" w:cs="Times New Roman"/>
                <w:color w:val="auto"/>
                <w:sz w:val="24"/>
                <w:highlight w:val="none"/>
                <w:lang w:val="en-US" w:eastAsia="zh-CN"/>
              </w:rPr>
              <w:t>/a。</w:t>
            </w:r>
          </w:p>
          <w:p w14:paraId="5BCD3D1F">
            <w:pPr>
              <w:numPr>
                <w:ilvl w:val="0"/>
                <w:numId w:val="35"/>
              </w:numPr>
              <w:adjustRightInd w:val="0"/>
              <w:snapToGrid w:val="0"/>
              <w:spacing w:line="360" w:lineRule="auto"/>
              <w:ind w:left="0" w:leftChars="0"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类比分析法</w:t>
            </w:r>
          </w:p>
          <w:p w14:paraId="76001185">
            <w:pPr>
              <w:adjustRightInd w:val="0"/>
              <w:snapToGrid w:val="0"/>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w:t>
            </w:r>
            <w:r>
              <w:rPr>
                <w:rFonts w:hint="eastAsia" w:cs="Times New Roman"/>
                <w:bCs/>
                <w:color w:val="auto"/>
                <w:sz w:val="24"/>
                <w:highlight w:val="none"/>
                <w:lang w:val="en-US" w:eastAsia="zh-CN"/>
              </w:rPr>
              <w:t>氮氧化物</w:t>
            </w:r>
            <w:r>
              <w:rPr>
                <w:rFonts w:hint="default" w:ascii="Times New Roman" w:hAnsi="Times New Roman" w:eastAsia="宋体" w:cs="Times New Roman"/>
                <w:color w:val="auto"/>
                <w:sz w:val="24"/>
                <w:highlight w:val="none"/>
                <w:lang w:val="en-US" w:eastAsia="zh-CN"/>
              </w:rPr>
              <w:t>排放类比《</w:t>
            </w:r>
            <w:r>
              <w:rPr>
                <w:rFonts w:hint="eastAsia" w:ascii="Times New Roman" w:hAnsi="Times New Roman" w:eastAsia="宋体" w:cs="Times New Roman"/>
                <w:color w:val="auto"/>
                <w:sz w:val="24"/>
                <w:highlight w:val="none"/>
                <w:lang w:val="en-US" w:eastAsia="zh-CN"/>
              </w:rPr>
              <w:t>壹检（北京）生物科技有限公司壹检生物实验室项目竣工环境保护验收监测报告</w:t>
            </w:r>
            <w:r>
              <w:rPr>
                <w:rFonts w:hint="default" w:ascii="Times New Roman" w:hAnsi="Times New Roman" w:eastAsia="宋体" w:cs="Times New Roman"/>
                <w:color w:val="auto"/>
                <w:sz w:val="24"/>
                <w:highlight w:val="none"/>
                <w:lang w:val="en-US" w:eastAsia="zh-CN"/>
              </w:rPr>
              <w:t>》，类比对象与本项目的情况对比见下表。</w:t>
            </w:r>
          </w:p>
          <w:p w14:paraId="3261733F">
            <w:pPr>
              <w:numPr>
                <w:ilvl w:val="0"/>
                <w:numId w:val="31"/>
              </w:numPr>
              <w:spacing w:line="36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w:t>
            </w:r>
            <w:r>
              <w:rPr>
                <w:rFonts w:hint="eastAsia" w:ascii="Times New Roman" w:hAnsi="Times New Roman" w:eastAsia="宋体" w:cs="Times New Roman"/>
                <w:b/>
                <w:bCs/>
                <w:color w:val="auto"/>
                <w:sz w:val="24"/>
                <w:highlight w:val="none"/>
                <w:lang w:val="en-US" w:eastAsia="zh-CN"/>
              </w:rPr>
              <w:t>氮氧化物</w:t>
            </w:r>
            <w:r>
              <w:rPr>
                <w:rFonts w:hint="default" w:ascii="Times New Roman" w:hAnsi="Times New Roman" w:eastAsia="宋体" w:cs="Times New Roman"/>
                <w:b/>
                <w:bCs/>
                <w:color w:val="auto"/>
                <w:sz w:val="24"/>
                <w:highlight w:val="none"/>
              </w:rPr>
              <w:t>排放情况类比性一览表</w:t>
            </w:r>
          </w:p>
          <w:tbl>
            <w:tblPr>
              <w:tblStyle w:val="23"/>
              <w:tblW w:w="7857"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2798"/>
              <w:gridCol w:w="2799"/>
              <w:gridCol w:w="870"/>
            </w:tblGrid>
            <w:tr w14:paraId="4412F3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390" w:type="dxa"/>
                  <w:noWrap w:val="0"/>
                  <w:vAlign w:val="center"/>
                </w:tcPr>
                <w:p w14:paraId="2AF50328">
                  <w:pPr>
                    <w:pStyle w:val="48"/>
                    <w:spacing w:before="0"/>
                    <w:jc w:val="center"/>
                    <w:rPr>
                      <w:rFonts w:hint="eastAsia" w:ascii="Times New Roman" w:hAnsi="Times New Roman" w:cs="Times New Roman"/>
                      <w:b/>
                      <w:bCs/>
                      <w:color w:val="auto"/>
                      <w:sz w:val="21"/>
                      <w:szCs w:val="21"/>
                      <w:highlight w:val="none"/>
                      <w:lang w:val="en-US"/>
                    </w:rPr>
                  </w:pPr>
                  <w:r>
                    <w:rPr>
                      <w:rFonts w:hint="eastAsia" w:ascii="Times New Roman" w:hAnsi="Times New Roman" w:cs="Times New Roman"/>
                      <w:b/>
                      <w:bCs/>
                      <w:color w:val="auto"/>
                      <w:sz w:val="21"/>
                      <w:szCs w:val="21"/>
                      <w:highlight w:val="none"/>
                      <w:lang w:val="en-US"/>
                    </w:rPr>
                    <w:t>工程特征及污染物排放特征</w:t>
                  </w:r>
                </w:p>
              </w:tc>
              <w:tc>
                <w:tcPr>
                  <w:tcW w:w="2798" w:type="dxa"/>
                  <w:noWrap w:val="0"/>
                  <w:vAlign w:val="center"/>
                </w:tcPr>
                <w:p w14:paraId="7C8041B4">
                  <w:pPr>
                    <w:pStyle w:val="48"/>
                    <w:spacing w:before="0"/>
                    <w:jc w:val="center"/>
                    <w:rPr>
                      <w:rFonts w:hint="eastAsia" w:ascii="Times New Roman" w:hAnsi="Times New Roman" w:cs="Times New Roman"/>
                      <w:b/>
                      <w:bCs/>
                      <w:color w:val="auto"/>
                      <w:sz w:val="21"/>
                      <w:szCs w:val="21"/>
                      <w:highlight w:val="none"/>
                      <w:lang w:val="en-US"/>
                    </w:rPr>
                  </w:pPr>
                  <w:r>
                    <w:rPr>
                      <w:rFonts w:hint="eastAsia" w:ascii="Times New Roman" w:hAnsi="Times New Roman" w:cs="Times New Roman"/>
                      <w:b/>
                      <w:bCs/>
                      <w:color w:val="auto"/>
                      <w:sz w:val="21"/>
                      <w:szCs w:val="21"/>
                      <w:highlight w:val="none"/>
                      <w:lang w:val="en-US"/>
                    </w:rPr>
                    <w:t>本项目</w:t>
                  </w:r>
                </w:p>
              </w:tc>
              <w:tc>
                <w:tcPr>
                  <w:tcW w:w="2799" w:type="dxa"/>
                  <w:noWrap w:val="0"/>
                  <w:vAlign w:val="center"/>
                </w:tcPr>
                <w:p w14:paraId="2DC61BFB">
                  <w:pPr>
                    <w:pStyle w:val="48"/>
                    <w:spacing w:before="0"/>
                    <w:jc w:val="center"/>
                    <w:rPr>
                      <w:rFonts w:hint="eastAsia" w:ascii="Times New Roman" w:hAnsi="Times New Roman" w:cs="Times New Roman"/>
                      <w:b/>
                      <w:bCs/>
                      <w:color w:val="auto"/>
                      <w:sz w:val="21"/>
                      <w:szCs w:val="21"/>
                      <w:highlight w:val="none"/>
                      <w:lang w:val="en-US"/>
                    </w:rPr>
                  </w:pPr>
                  <w:r>
                    <w:rPr>
                      <w:rFonts w:hint="eastAsia" w:ascii="Times New Roman" w:hAnsi="Times New Roman" w:cs="Times New Roman"/>
                      <w:b/>
                      <w:bCs/>
                      <w:color w:val="auto"/>
                      <w:sz w:val="21"/>
                      <w:szCs w:val="21"/>
                      <w:highlight w:val="none"/>
                      <w:lang w:val="en-US"/>
                    </w:rPr>
                    <w:t>类比项目</w:t>
                  </w:r>
                </w:p>
              </w:tc>
              <w:tc>
                <w:tcPr>
                  <w:tcW w:w="870" w:type="dxa"/>
                  <w:shd w:val="clear" w:color="auto" w:fill="auto"/>
                  <w:noWrap w:val="0"/>
                  <w:vAlign w:val="center"/>
                </w:tcPr>
                <w:p w14:paraId="4B4BA6F1">
                  <w:pPr>
                    <w:pStyle w:val="58"/>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可类</w:t>
                  </w:r>
                </w:p>
                <w:p w14:paraId="505D2BC7">
                  <w:pPr>
                    <w:pStyle w:val="58"/>
                    <w:ind w:firstLine="0" w:firstLineChars="0"/>
                    <w:jc w:val="center"/>
                    <w:rPr>
                      <w:rFonts w:hint="eastAsia"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比性</w:t>
                  </w:r>
                </w:p>
              </w:tc>
            </w:tr>
            <w:tr w14:paraId="37C522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390" w:type="dxa"/>
                  <w:noWrap w:val="0"/>
                  <w:vAlign w:val="center"/>
                </w:tcPr>
                <w:p w14:paraId="0DDFEE93">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项目性质</w:t>
                  </w:r>
                </w:p>
              </w:tc>
              <w:tc>
                <w:tcPr>
                  <w:tcW w:w="2798" w:type="dxa"/>
                  <w:noWrap w:val="0"/>
                  <w:vAlign w:val="center"/>
                </w:tcPr>
                <w:p w14:paraId="16DB1D42">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新</w:t>
                  </w:r>
                  <w:r>
                    <w:rPr>
                      <w:rFonts w:hint="default" w:ascii="Times New Roman" w:hAnsi="Times New Roman" w:eastAsia="宋体" w:cs="Times New Roman"/>
                      <w:color w:val="auto"/>
                      <w:kern w:val="0"/>
                      <w:sz w:val="21"/>
                      <w:szCs w:val="21"/>
                      <w:highlight w:val="none"/>
                      <w:lang w:val="en-US" w:eastAsia="zh-CN"/>
                    </w:rPr>
                    <w:t>建</w:t>
                  </w:r>
                </w:p>
              </w:tc>
              <w:tc>
                <w:tcPr>
                  <w:tcW w:w="2799" w:type="dxa"/>
                  <w:noWrap w:val="0"/>
                  <w:vAlign w:val="center"/>
                </w:tcPr>
                <w:p w14:paraId="2BBFC51F">
                  <w:pPr>
                    <w:pStyle w:val="48"/>
                    <w:spacing w:before="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新建</w:t>
                  </w:r>
                </w:p>
              </w:tc>
              <w:tc>
                <w:tcPr>
                  <w:tcW w:w="870" w:type="dxa"/>
                  <w:shd w:val="clear" w:color="auto" w:fill="auto"/>
                  <w:noWrap w:val="0"/>
                  <w:vAlign w:val="center"/>
                </w:tcPr>
                <w:p w14:paraId="6AB9CD95">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可类比</w:t>
                  </w:r>
                </w:p>
              </w:tc>
            </w:tr>
            <w:tr w14:paraId="0191EC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90" w:type="dxa"/>
                  <w:noWrap w:val="0"/>
                  <w:vAlign w:val="center"/>
                </w:tcPr>
                <w:p w14:paraId="17CD8926">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项目规模</w:t>
                  </w:r>
                </w:p>
              </w:tc>
              <w:tc>
                <w:tcPr>
                  <w:tcW w:w="2798" w:type="dxa"/>
                  <w:noWrap w:val="0"/>
                  <w:vAlign w:val="center"/>
                </w:tcPr>
                <w:p w14:paraId="6AC14CBE">
                  <w:pPr>
                    <w:adjustRightInd w:val="0"/>
                    <w:snapToGrid w:val="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年检测血液样品7000个、环境检测10000个</w:t>
                  </w:r>
                </w:p>
              </w:tc>
              <w:tc>
                <w:tcPr>
                  <w:tcW w:w="2799" w:type="dxa"/>
                  <w:noWrap w:val="0"/>
                  <w:vAlign w:val="center"/>
                </w:tcPr>
                <w:p w14:paraId="3416F21A">
                  <w:pPr>
                    <w:adjustRightInd w:val="0"/>
                    <w:snapToGrid w:val="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年检测血液样品7000个、环境检测3000个</w:t>
                  </w:r>
                </w:p>
              </w:tc>
              <w:tc>
                <w:tcPr>
                  <w:tcW w:w="870" w:type="dxa"/>
                  <w:shd w:val="clear" w:color="auto" w:fill="auto"/>
                  <w:noWrap w:val="0"/>
                  <w:vAlign w:val="center"/>
                </w:tcPr>
                <w:p w14:paraId="3BC8E7F0">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可类比</w:t>
                  </w:r>
                </w:p>
              </w:tc>
            </w:tr>
            <w:tr w14:paraId="05CDE2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90" w:type="dxa"/>
                  <w:noWrap w:val="0"/>
                  <w:vAlign w:val="center"/>
                </w:tcPr>
                <w:p w14:paraId="5E441942">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工艺路线</w:t>
                  </w:r>
                </w:p>
              </w:tc>
              <w:tc>
                <w:tcPr>
                  <w:tcW w:w="2798" w:type="dxa"/>
                  <w:noWrap w:val="0"/>
                  <w:vAlign w:val="center"/>
                </w:tcPr>
                <w:p w14:paraId="6F841324">
                  <w:pPr>
                    <w:adjustRightInd w:val="0"/>
                    <w:snapToGrid w:val="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采样、试剂配制、样品处理、样品检测、数据处理</w:t>
                  </w:r>
                </w:p>
              </w:tc>
              <w:tc>
                <w:tcPr>
                  <w:tcW w:w="2799" w:type="dxa"/>
                  <w:noWrap w:val="0"/>
                  <w:vAlign w:val="center"/>
                </w:tcPr>
                <w:p w14:paraId="62490B68">
                  <w:pPr>
                    <w:adjustRightInd w:val="0"/>
                    <w:snapToGrid w:val="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采样、试剂配制、样品处理、样品检测、数据处理</w:t>
                  </w:r>
                </w:p>
              </w:tc>
              <w:tc>
                <w:tcPr>
                  <w:tcW w:w="870" w:type="dxa"/>
                  <w:shd w:val="clear" w:color="auto" w:fill="auto"/>
                  <w:noWrap w:val="0"/>
                  <w:vAlign w:val="center"/>
                </w:tcPr>
                <w:p w14:paraId="44C69179">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可类比</w:t>
                  </w:r>
                </w:p>
              </w:tc>
            </w:tr>
            <w:tr w14:paraId="67A153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390" w:type="dxa"/>
                  <w:noWrap w:val="0"/>
                  <w:vAlign w:val="center"/>
                </w:tcPr>
                <w:p w14:paraId="4299DA85">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原辅料使用</w:t>
                  </w:r>
                </w:p>
                <w:p w14:paraId="10148C03">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情况</w:t>
                  </w:r>
                </w:p>
              </w:tc>
              <w:tc>
                <w:tcPr>
                  <w:tcW w:w="2798" w:type="dxa"/>
                  <w:noWrap w:val="0"/>
                  <w:vAlign w:val="center"/>
                </w:tcPr>
                <w:p w14:paraId="29A067AF">
                  <w:pPr>
                    <w:adjustRightInd w:val="0"/>
                    <w:snapToGrid w:val="0"/>
                    <w:jc w:val="center"/>
                    <w:rPr>
                      <w:rFonts w:hint="eastAsia"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硝酸</w:t>
                  </w:r>
                  <w:r>
                    <w:rPr>
                      <w:rFonts w:hint="eastAsia" w:cs="Times New Roman"/>
                      <w:color w:val="auto"/>
                      <w:kern w:val="0"/>
                      <w:sz w:val="21"/>
                      <w:szCs w:val="21"/>
                      <w:highlight w:val="none"/>
                      <w:lang w:val="en-US" w:eastAsia="zh-CN"/>
                    </w:rPr>
                    <w:t>41.7 kg/a</w:t>
                  </w:r>
                </w:p>
              </w:tc>
              <w:tc>
                <w:tcPr>
                  <w:tcW w:w="2799" w:type="dxa"/>
                  <w:noWrap w:val="0"/>
                  <w:vAlign w:val="center"/>
                </w:tcPr>
                <w:p w14:paraId="1D1E5E66">
                  <w:pPr>
                    <w:adjustRightInd w:val="0"/>
                    <w:snapToGrid w:val="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硝酸10kg/a</w:t>
                  </w:r>
                </w:p>
              </w:tc>
              <w:tc>
                <w:tcPr>
                  <w:tcW w:w="870" w:type="dxa"/>
                  <w:shd w:val="clear" w:color="auto" w:fill="auto"/>
                  <w:noWrap w:val="0"/>
                  <w:vAlign w:val="center"/>
                </w:tcPr>
                <w:p w14:paraId="4BDA114B">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可类比</w:t>
                  </w:r>
                </w:p>
              </w:tc>
            </w:tr>
            <w:tr w14:paraId="017B90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90" w:type="dxa"/>
                  <w:vAlign w:val="center"/>
                </w:tcPr>
                <w:p w14:paraId="2FB1AF29">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废气排放类型</w:t>
                  </w:r>
                </w:p>
              </w:tc>
              <w:tc>
                <w:tcPr>
                  <w:tcW w:w="2798" w:type="dxa"/>
                  <w:vAlign w:val="center"/>
                </w:tcPr>
                <w:p w14:paraId="58CD0C91">
                  <w:pPr>
                    <w:adjustRightInd w:val="0"/>
                    <w:snapToGrid w:val="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有组织排放，</w:t>
                  </w:r>
                  <w:r>
                    <w:rPr>
                      <w:rFonts w:hint="default" w:cs="Times New Roman"/>
                      <w:color w:val="auto"/>
                      <w:kern w:val="0"/>
                      <w:sz w:val="21"/>
                      <w:szCs w:val="21"/>
                      <w:highlight w:val="none"/>
                      <w:lang w:val="en-US" w:eastAsia="zh-CN"/>
                    </w:rPr>
                    <w:t>氮氧化物</w:t>
                  </w:r>
                </w:p>
              </w:tc>
              <w:tc>
                <w:tcPr>
                  <w:tcW w:w="2799" w:type="dxa"/>
                  <w:vAlign w:val="center"/>
                </w:tcPr>
                <w:p w14:paraId="62324A25">
                  <w:pPr>
                    <w:adjustRightInd w:val="0"/>
                    <w:snapToGrid w:val="0"/>
                    <w:ind w:firstLine="210" w:firstLineChars="10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有组织排放，氮氧化物</w:t>
                  </w:r>
                </w:p>
              </w:tc>
              <w:tc>
                <w:tcPr>
                  <w:tcW w:w="870" w:type="dxa"/>
                  <w:shd w:val="clear" w:color="auto" w:fill="auto"/>
                  <w:vAlign w:val="center"/>
                </w:tcPr>
                <w:p w14:paraId="245E6890">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可类比</w:t>
                  </w:r>
                </w:p>
              </w:tc>
            </w:tr>
            <w:tr w14:paraId="56398D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1390" w:type="dxa"/>
                  <w:vAlign w:val="center"/>
                </w:tcPr>
                <w:p w14:paraId="11F1089B">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环保措施、排放方式及去向</w:t>
                  </w:r>
                </w:p>
              </w:tc>
              <w:tc>
                <w:tcPr>
                  <w:tcW w:w="2798" w:type="dxa"/>
                  <w:vAlign w:val="center"/>
                </w:tcPr>
                <w:p w14:paraId="255E235C">
                  <w:pPr>
                    <w:adjustRightInd w:val="0"/>
                    <w:snapToGrid w:val="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废气经通风橱和万向罩收集后进干式过滤器后经18米排气筒排放。</w:t>
                  </w:r>
                </w:p>
              </w:tc>
              <w:tc>
                <w:tcPr>
                  <w:tcW w:w="2799" w:type="dxa"/>
                  <w:vAlign w:val="center"/>
                </w:tcPr>
                <w:p w14:paraId="0F5BF236">
                  <w:pPr>
                    <w:adjustRightInd w:val="0"/>
                    <w:snapToGrid w:val="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废气经通风橱和万向罩收集后进活性炭处理设施后经20米排气筒排放。</w:t>
                  </w:r>
                </w:p>
              </w:tc>
              <w:tc>
                <w:tcPr>
                  <w:tcW w:w="870" w:type="dxa"/>
                  <w:shd w:val="clear" w:color="auto" w:fill="auto"/>
                  <w:vAlign w:val="center"/>
                </w:tcPr>
                <w:p w14:paraId="05D9CD5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可类比</w:t>
                  </w:r>
                </w:p>
              </w:tc>
            </w:tr>
          </w:tbl>
          <w:p w14:paraId="30CF01E7">
            <w:pPr>
              <w:adjustRightInd w:val="0"/>
              <w:snapToGrid w:val="0"/>
              <w:spacing w:line="360" w:lineRule="auto"/>
              <w:ind w:firstLine="420"/>
              <w:jc w:val="left"/>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类比项目于2023年10月进行了</w:t>
            </w:r>
            <w:r>
              <w:rPr>
                <w:rFonts w:hint="eastAsia" w:cs="Times New Roman"/>
                <w:color w:val="auto"/>
                <w:sz w:val="24"/>
                <w:highlight w:val="none"/>
                <w:lang w:val="en-US" w:eastAsia="zh-CN"/>
              </w:rPr>
              <w:t>验收</w:t>
            </w:r>
            <w:r>
              <w:rPr>
                <w:rFonts w:hint="eastAsia" w:ascii="Times New Roman" w:hAnsi="Times New Roman" w:eastAsia="宋体" w:cs="Times New Roman"/>
                <w:color w:val="auto"/>
                <w:sz w:val="24"/>
                <w:highlight w:val="none"/>
                <w:lang w:val="en-US" w:eastAsia="zh-CN"/>
              </w:rPr>
              <w:t>检测，根据类比项目检测报告</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HB2023101706</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中排气筒出口的数据，氮氧化物的最大排放速率为0.00228kg/h，年排放时间</w:t>
            </w:r>
            <w:r>
              <w:rPr>
                <w:rFonts w:hint="eastAsia" w:cs="Times New Roman"/>
                <w:color w:val="auto"/>
                <w:sz w:val="24"/>
                <w:highlight w:val="none"/>
                <w:lang w:val="en-US" w:eastAsia="zh-CN"/>
              </w:rPr>
              <w:t>261</w:t>
            </w:r>
            <w:r>
              <w:rPr>
                <w:rFonts w:hint="eastAsia" w:ascii="Times New Roman" w:hAnsi="Times New Roman" w:eastAsia="宋体" w:cs="Times New Roman"/>
                <w:color w:val="auto"/>
                <w:sz w:val="24"/>
                <w:highlight w:val="none"/>
                <w:lang w:val="en-US" w:eastAsia="zh-CN"/>
              </w:rPr>
              <w:t>h，</w:t>
            </w:r>
            <w:r>
              <w:rPr>
                <w:rFonts w:hint="default" w:ascii="Times New Roman" w:hAnsi="Times New Roman" w:eastAsia="宋体" w:cs="Times New Roman"/>
                <w:color w:val="auto"/>
                <w:sz w:val="24"/>
                <w:highlight w:val="none"/>
                <w:lang w:val="en-US" w:eastAsia="zh-CN"/>
              </w:rPr>
              <w:t>活性炭吸附装置</w:t>
            </w:r>
            <w:r>
              <w:rPr>
                <w:rFonts w:hint="eastAsia" w:ascii="Times New Roman" w:hAnsi="Times New Roman" w:eastAsia="宋体" w:cs="Times New Roman"/>
                <w:color w:val="auto"/>
                <w:sz w:val="24"/>
                <w:highlight w:val="none"/>
                <w:lang w:val="en-US" w:eastAsia="zh-CN"/>
              </w:rPr>
              <w:t>对氮氧化物的去除效率为0，类比项目氮氧化物产生量为</w:t>
            </w:r>
            <w:r>
              <w:rPr>
                <w:rFonts w:hint="eastAsia" w:cs="Times New Roman"/>
                <w:color w:val="auto"/>
                <w:sz w:val="24"/>
                <w:highlight w:val="none"/>
                <w:lang w:val="en-US" w:eastAsia="zh-CN"/>
              </w:rPr>
              <w:t>0.595</w:t>
            </w:r>
            <w:r>
              <w:rPr>
                <w:rFonts w:hint="eastAsia" w:ascii="Times New Roman" w:hAnsi="Times New Roman" w:eastAsia="宋体" w:cs="Times New Roman"/>
                <w:color w:val="auto"/>
                <w:sz w:val="24"/>
                <w:highlight w:val="none"/>
                <w:lang w:val="en-US" w:eastAsia="zh-CN"/>
              </w:rPr>
              <w:t>kg/a，类比项目年用硝酸10kg，则排放系数为0.</w:t>
            </w:r>
            <w:r>
              <w:rPr>
                <w:rFonts w:hint="eastAsia" w:cs="Times New Roman"/>
                <w:color w:val="auto"/>
                <w:sz w:val="24"/>
                <w:highlight w:val="none"/>
                <w:lang w:val="en-US" w:eastAsia="zh-CN"/>
              </w:rPr>
              <w:t>0595</w:t>
            </w:r>
            <w:r>
              <w:rPr>
                <w:rFonts w:hint="eastAsia" w:ascii="Times New Roman" w:hAnsi="Times New Roman" w:eastAsia="宋体" w:cs="Times New Roman"/>
                <w:color w:val="auto"/>
                <w:sz w:val="24"/>
                <w:highlight w:val="none"/>
                <w:lang w:val="en-US" w:eastAsia="zh-CN"/>
              </w:rPr>
              <w:t>kg/kg。本项目检测使用硝酸</w:t>
            </w:r>
            <w:r>
              <w:rPr>
                <w:rFonts w:hint="eastAsia" w:cs="Times New Roman"/>
                <w:color w:val="auto"/>
                <w:sz w:val="24"/>
                <w:highlight w:val="none"/>
                <w:lang w:val="en-US" w:eastAsia="zh-CN"/>
              </w:rPr>
              <w:t xml:space="preserve">41.7 </w:t>
            </w:r>
            <w:r>
              <w:rPr>
                <w:rFonts w:hint="eastAsia" w:ascii="Times New Roman" w:hAnsi="Times New Roman" w:eastAsia="宋体" w:cs="Times New Roman"/>
                <w:color w:val="auto"/>
                <w:sz w:val="24"/>
                <w:highlight w:val="none"/>
                <w:lang w:val="en-US" w:eastAsia="zh-CN"/>
              </w:rPr>
              <w:t>kg/a，</w:t>
            </w:r>
            <w:r>
              <w:rPr>
                <w:rFonts w:hint="eastAsia" w:cs="Times New Roman"/>
                <w:color w:val="auto"/>
                <w:sz w:val="24"/>
                <w:highlight w:val="none"/>
                <w:lang w:val="en-US" w:eastAsia="zh-CN"/>
              </w:rPr>
              <w:t>干式过滤器</w:t>
            </w:r>
            <w:r>
              <w:rPr>
                <w:rFonts w:hint="eastAsia" w:ascii="Times New Roman" w:hAnsi="Times New Roman" w:eastAsia="宋体" w:cs="Times New Roman"/>
                <w:color w:val="auto"/>
                <w:sz w:val="24"/>
                <w:highlight w:val="none"/>
                <w:lang w:val="en-US" w:eastAsia="zh-CN"/>
              </w:rPr>
              <w:t>对氮氧化物的去除效率为</w:t>
            </w:r>
            <w:r>
              <w:rPr>
                <w:rFonts w:hint="eastAsia" w:cs="Times New Roman"/>
                <w:color w:val="auto"/>
                <w:sz w:val="24"/>
                <w:highlight w:val="none"/>
                <w:lang w:val="en-US" w:eastAsia="zh-CN"/>
              </w:rPr>
              <w:t>30</w:t>
            </w:r>
            <w:r>
              <w:rPr>
                <w:rFonts w:hint="eastAsia" w:ascii="Times New Roman" w:hAnsi="Times New Roman" w:eastAsia="宋体" w:cs="Times New Roman"/>
                <w:color w:val="auto"/>
                <w:sz w:val="24"/>
                <w:highlight w:val="none"/>
                <w:lang w:val="en-US" w:eastAsia="zh-CN"/>
              </w:rPr>
              <w:t>，则本项目氮氧化物排放量为0.00</w:t>
            </w:r>
            <w:r>
              <w:rPr>
                <w:rFonts w:hint="eastAsia" w:cs="Times New Roman"/>
                <w:color w:val="auto"/>
                <w:sz w:val="24"/>
                <w:highlight w:val="none"/>
                <w:lang w:val="en-US" w:eastAsia="zh-CN"/>
              </w:rPr>
              <w:t>17</w:t>
            </w:r>
            <w:r>
              <w:rPr>
                <w:rFonts w:hint="eastAsia" w:ascii="Times New Roman" w:hAnsi="Times New Roman" w:eastAsia="宋体" w:cs="Times New Roman"/>
                <w:color w:val="auto"/>
                <w:sz w:val="24"/>
                <w:highlight w:val="none"/>
                <w:lang w:val="en-US" w:eastAsia="zh-CN"/>
              </w:rPr>
              <w:t>t</w:t>
            </w:r>
            <w:r>
              <w:rPr>
                <w:rFonts w:hint="eastAsia" w:cs="Times New Roman"/>
                <w:color w:val="auto"/>
                <w:sz w:val="24"/>
                <w:highlight w:val="none"/>
                <w:lang w:val="en-US" w:eastAsia="zh-CN"/>
              </w:rPr>
              <w:t>。</w:t>
            </w:r>
          </w:p>
          <w:p w14:paraId="1C92C929">
            <w:pPr>
              <w:adjustRightInd w:val="0"/>
              <w:snapToGrid w:val="0"/>
              <w:spacing w:line="360" w:lineRule="auto"/>
              <w:ind w:firstLine="42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综上，本项目采用排污系数法及类比分析法进行</w:t>
            </w:r>
            <w:r>
              <w:rPr>
                <w:rFonts w:hint="eastAsia" w:ascii="Times New Roman" w:hAnsi="Times New Roman" w:eastAsia="宋体" w:cs="Times New Roman"/>
                <w:color w:val="auto"/>
                <w:sz w:val="24"/>
                <w:highlight w:val="none"/>
                <w:lang w:val="en-US" w:eastAsia="zh-CN"/>
              </w:rPr>
              <w:t>氮氧化物的</w:t>
            </w:r>
            <w:r>
              <w:rPr>
                <w:rFonts w:hint="default" w:ascii="Times New Roman" w:hAnsi="Times New Roman" w:eastAsia="宋体" w:cs="Times New Roman"/>
                <w:color w:val="auto"/>
                <w:sz w:val="24"/>
                <w:highlight w:val="none"/>
                <w:lang w:val="en-US" w:eastAsia="zh-CN"/>
              </w:rPr>
              <w:t>排放量核算，经比较结果相近。考虑到不同</w:t>
            </w:r>
            <w:r>
              <w:rPr>
                <w:rFonts w:hint="eastAsia" w:cs="Times New Roman"/>
                <w:color w:val="auto"/>
                <w:sz w:val="24"/>
                <w:highlight w:val="none"/>
                <w:lang w:val="en-US" w:eastAsia="zh-CN"/>
              </w:rPr>
              <w:t>情况</w:t>
            </w:r>
            <w:r>
              <w:rPr>
                <w:rFonts w:hint="default" w:ascii="Times New Roman" w:hAnsi="Times New Roman" w:eastAsia="宋体" w:cs="Times New Roman"/>
                <w:color w:val="auto"/>
                <w:sz w:val="24"/>
                <w:highlight w:val="none"/>
                <w:lang w:val="en-US" w:eastAsia="zh-CN"/>
              </w:rPr>
              <w:t>实际运行过程中存在差异，类比数据存在一定的误差，本次环评采用排污系数法的核算结果作为申请排污总量的依据。因此，本项目</w:t>
            </w:r>
            <w:r>
              <w:rPr>
                <w:rFonts w:hint="eastAsia" w:ascii="Times New Roman" w:hAnsi="Times New Roman" w:eastAsia="宋体" w:cs="Times New Roman"/>
                <w:color w:val="auto"/>
                <w:sz w:val="24"/>
                <w:highlight w:val="none"/>
                <w:lang w:val="en-US" w:eastAsia="zh-CN"/>
              </w:rPr>
              <w:t>氮氧化物</w:t>
            </w:r>
            <w:r>
              <w:rPr>
                <w:rFonts w:hint="default" w:ascii="Times New Roman" w:hAnsi="Times New Roman" w:eastAsia="宋体" w:cs="Times New Roman"/>
                <w:color w:val="auto"/>
                <w:sz w:val="24"/>
                <w:highlight w:val="none"/>
                <w:lang w:val="en-US" w:eastAsia="zh-CN"/>
              </w:rPr>
              <w:t>排放量为：</w:t>
            </w:r>
            <w:r>
              <w:rPr>
                <w:rFonts w:hint="eastAsia" w:ascii="Times New Roman" w:hAnsi="Times New Roman" w:eastAsia="宋体" w:cs="Times New Roman"/>
                <w:color w:val="auto"/>
                <w:sz w:val="24"/>
                <w:highlight w:val="none"/>
                <w:lang w:val="en-US" w:eastAsia="zh-CN"/>
              </w:rPr>
              <w:t>0.000</w:t>
            </w:r>
            <w:r>
              <w:rPr>
                <w:rFonts w:hint="eastAsia" w:cs="Times New Roman"/>
                <w:color w:val="auto"/>
                <w:sz w:val="24"/>
                <w:highlight w:val="none"/>
                <w:lang w:val="en-US" w:eastAsia="zh-CN"/>
              </w:rPr>
              <w:t>25</w:t>
            </w:r>
            <w:r>
              <w:rPr>
                <w:rFonts w:hint="default" w:ascii="Times New Roman" w:hAnsi="Times New Roman" w:eastAsia="宋体" w:cs="Times New Roman"/>
                <w:color w:val="auto"/>
                <w:sz w:val="24"/>
                <w:highlight w:val="none"/>
                <w:lang w:val="en-US" w:eastAsia="zh-CN"/>
              </w:rPr>
              <w:t>t/a。</w:t>
            </w:r>
          </w:p>
          <w:p w14:paraId="4A3E67B9">
            <w:pPr>
              <w:numPr>
                <w:ilvl w:val="0"/>
                <w:numId w:val="33"/>
              </w:numPr>
              <w:adjustRightInd w:val="0"/>
              <w:snapToGrid w:val="0"/>
              <w:spacing w:line="360" w:lineRule="auto"/>
              <w:ind w:left="0" w:firstLine="482" w:firstLineChars="200"/>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水污染物总量核算</w:t>
            </w:r>
          </w:p>
          <w:p w14:paraId="618C58D5">
            <w:pPr>
              <w:pStyle w:val="6"/>
              <w:numPr>
                <w:ilvl w:val="0"/>
                <w:numId w:val="36"/>
              </w:num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排污系数法</w:t>
            </w:r>
          </w:p>
          <w:p w14:paraId="7A303A48">
            <w:pPr>
              <w:adjustRightInd w:val="0"/>
              <w:snapToGrid w:val="0"/>
              <w:spacing w:line="360" w:lineRule="auto"/>
              <w:ind w:firstLine="42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根据本报告</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四、主要环境影响和保护措施</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章节中废水源强核算结果，本项目新增COD</w:t>
            </w:r>
            <w:r>
              <w:rPr>
                <w:rFonts w:hint="default" w:ascii="Times New Roman" w:hAnsi="Times New Roman" w:eastAsia="宋体" w:cs="Times New Roman"/>
                <w:color w:val="auto"/>
                <w:sz w:val="24"/>
                <w:highlight w:val="none"/>
                <w:vertAlign w:val="subscript"/>
                <w:lang w:val="en-US" w:eastAsia="zh-CN"/>
              </w:rPr>
              <w:t>Cr</w:t>
            </w:r>
            <w:r>
              <w:rPr>
                <w:rFonts w:hint="default" w:ascii="Times New Roman" w:hAnsi="Times New Roman" w:eastAsia="宋体" w:cs="Times New Roman"/>
                <w:color w:val="auto"/>
                <w:sz w:val="24"/>
                <w:highlight w:val="none"/>
                <w:lang w:val="en-US" w:eastAsia="zh-CN"/>
              </w:rPr>
              <w:t>排放量为</w:t>
            </w:r>
            <w:r>
              <w:rPr>
                <w:rFonts w:hint="eastAsia" w:cs="Times New Roman"/>
                <w:color w:val="auto"/>
                <w:sz w:val="24"/>
                <w:highlight w:val="none"/>
                <w:lang w:val="en-US" w:eastAsia="zh-CN"/>
              </w:rPr>
              <w:t>0.1257</w:t>
            </w:r>
            <w:r>
              <w:rPr>
                <w:rFonts w:hint="default" w:ascii="Times New Roman" w:hAnsi="Times New Roman" w:eastAsia="宋体" w:cs="Times New Roman"/>
                <w:color w:val="auto"/>
                <w:sz w:val="24"/>
                <w:highlight w:val="none"/>
                <w:lang w:val="en-US" w:eastAsia="zh-CN"/>
              </w:rPr>
              <w:t>t/a，氨氮排放量为0.</w:t>
            </w:r>
            <w:r>
              <w:rPr>
                <w:rFonts w:hint="eastAsia" w:cs="Times New Roman"/>
                <w:color w:val="auto"/>
                <w:sz w:val="24"/>
                <w:highlight w:val="none"/>
                <w:lang w:val="en-US" w:eastAsia="zh-CN"/>
              </w:rPr>
              <w:t>0128</w:t>
            </w:r>
            <w:r>
              <w:rPr>
                <w:rFonts w:hint="default" w:ascii="Times New Roman" w:hAnsi="Times New Roman" w:eastAsia="宋体" w:cs="Times New Roman"/>
                <w:color w:val="auto"/>
                <w:sz w:val="24"/>
                <w:highlight w:val="none"/>
                <w:lang w:val="en-US" w:eastAsia="zh-CN"/>
              </w:rPr>
              <w:t>t/a。</w:t>
            </w:r>
          </w:p>
          <w:p w14:paraId="6989F43A">
            <w:pPr>
              <w:adjustRightInd w:val="0"/>
              <w:spacing w:line="360" w:lineRule="auto"/>
              <w:ind w:firstLine="480" w:firstLineChars="200"/>
              <w:textAlignment w:val="baseline"/>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（2）类比分析法</w:t>
            </w:r>
          </w:p>
          <w:p w14:paraId="4BF15397">
            <w:pPr>
              <w:snapToGrid w:val="0"/>
              <w:spacing w:line="360" w:lineRule="auto"/>
              <w:ind w:firstLine="480" w:firstLineChars="200"/>
              <w:jc w:val="left"/>
              <w:rPr>
                <w:bCs/>
                <w:color w:val="auto"/>
                <w:sz w:val="24"/>
              </w:rPr>
            </w:pPr>
            <w:r>
              <w:rPr>
                <w:rFonts w:hint="default" w:ascii="Times New Roman" w:hAnsi="Times New Roman" w:eastAsia="宋体" w:cs="Times New Roman"/>
                <w:color w:val="auto"/>
                <w:sz w:val="24"/>
                <w:highlight w:val="none"/>
                <w:lang w:val="en-US" w:eastAsia="zh-CN"/>
              </w:rPr>
              <w:t>本项目废水类比《联合智业组装环境检测设备及检测实验室项目竣工环境保护验收监测报告》中相关数据，该项目于2021年4月完成自主验收。该项目外排废水为员工生活污水、仪器器皿二三遍清洗废水以及制备纯水产生的浓缩水，产生的废水全部排入园区内公共化粪池预处理，然后排入市政污水管网，最终进入金桥污水处理厂进行处理，该项目与本项目具有可类比性，</w:t>
            </w:r>
            <w:r>
              <w:rPr>
                <w:rFonts w:hint="eastAsia"/>
                <w:color w:val="auto"/>
                <w:sz w:val="24"/>
              </w:rPr>
              <w:t>类比对象与本项目的情况对比见下表。</w:t>
            </w:r>
          </w:p>
          <w:p w14:paraId="11FC66D6">
            <w:pPr>
              <w:numPr>
                <w:ilvl w:val="0"/>
                <w:numId w:val="31"/>
              </w:numPr>
              <w:spacing w:line="360" w:lineRule="auto"/>
              <w:jc w:val="center"/>
              <w:rPr>
                <w:b/>
                <w:bCs/>
                <w:color w:val="auto"/>
                <w:sz w:val="24"/>
              </w:rPr>
            </w:pPr>
            <w:r>
              <w:rPr>
                <w:b/>
                <w:bCs/>
                <w:color w:val="auto"/>
                <w:sz w:val="24"/>
              </w:rPr>
              <w:t>类比项目与本项目对比一览表（废水）</w:t>
            </w:r>
          </w:p>
          <w:tbl>
            <w:tblPr>
              <w:tblStyle w:val="24"/>
              <w:tblW w:w="79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2727"/>
              <w:gridCol w:w="2913"/>
              <w:gridCol w:w="1154"/>
            </w:tblGrid>
            <w:tr w14:paraId="4CFCC0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84" w:type="dxa"/>
                  <w:tcBorders>
                    <w:tl2br w:val="nil"/>
                    <w:tr2bl w:val="nil"/>
                  </w:tcBorders>
                  <w:vAlign w:val="center"/>
                </w:tcPr>
                <w:p w14:paraId="4C3F1001">
                  <w:pPr>
                    <w:adjustRightInd w:val="0"/>
                    <w:snapToGrid w:val="0"/>
                    <w:jc w:val="center"/>
                    <w:rPr>
                      <w:rFonts w:hint="eastAsia" w:eastAsia="宋体"/>
                      <w:b/>
                      <w:bCs/>
                      <w:color w:val="auto"/>
                      <w:kern w:val="0"/>
                      <w:szCs w:val="21"/>
                      <w:lang w:val="en-US" w:eastAsia="zh-CN"/>
                    </w:rPr>
                  </w:pPr>
                  <w:r>
                    <w:rPr>
                      <w:rFonts w:hint="eastAsia"/>
                      <w:b/>
                      <w:bCs/>
                      <w:color w:val="auto"/>
                      <w:kern w:val="0"/>
                      <w:szCs w:val="21"/>
                      <w:lang w:val="en-US" w:eastAsia="zh-CN"/>
                    </w:rPr>
                    <w:t>名称</w:t>
                  </w:r>
                </w:p>
              </w:tc>
              <w:tc>
                <w:tcPr>
                  <w:tcW w:w="2727" w:type="dxa"/>
                  <w:tcBorders>
                    <w:tl2br w:val="nil"/>
                    <w:tr2bl w:val="nil"/>
                  </w:tcBorders>
                  <w:vAlign w:val="center"/>
                </w:tcPr>
                <w:p w14:paraId="0587ECE4">
                  <w:pPr>
                    <w:adjustRightInd w:val="0"/>
                    <w:snapToGrid w:val="0"/>
                    <w:jc w:val="center"/>
                    <w:rPr>
                      <w:b/>
                      <w:bCs/>
                      <w:color w:val="auto"/>
                      <w:kern w:val="0"/>
                      <w:szCs w:val="21"/>
                    </w:rPr>
                  </w:pPr>
                  <w:r>
                    <w:rPr>
                      <w:b/>
                      <w:bCs/>
                      <w:color w:val="auto"/>
                      <w:kern w:val="0"/>
                      <w:szCs w:val="21"/>
                    </w:rPr>
                    <w:t>类比项目</w:t>
                  </w:r>
                </w:p>
              </w:tc>
              <w:tc>
                <w:tcPr>
                  <w:tcW w:w="2913" w:type="dxa"/>
                  <w:tcBorders>
                    <w:tl2br w:val="nil"/>
                    <w:tr2bl w:val="nil"/>
                  </w:tcBorders>
                  <w:vAlign w:val="center"/>
                </w:tcPr>
                <w:p w14:paraId="0A583B43">
                  <w:pPr>
                    <w:adjustRightInd w:val="0"/>
                    <w:snapToGrid w:val="0"/>
                    <w:jc w:val="center"/>
                    <w:rPr>
                      <w:b/>
                      <w:bCs/>
                      <w:color w:val="auto"/>
                      <w:kern w:val="0"/>
                      <w:szCs w:val="21"/>
                    </w:rPr>
                  </w:pPr>
                  <w:r>
                    <w:rPr>
                      <w:b/>
                      <w:bCs/>
                      <w:color w:val="auto"/>
                      <w:kern w:val="0"/>
                      <w:szCs w:val="21"/>
                    </w:rPr>
                    <w:t>本项目</w:t>
                  </w:r>
                </w:p>
              </w:tc>
              <w:tc>
                <w:tcPr>
                  <w:tcW w:w="1154" w:type="dxa"/>
                  <w:tcBorders>
                    <w:tl2br w:val="nil"/>
                    <w:tr2bl w:val="nil"/>
                  </w:tcBorders>
                  <w:vAlign w:val="center"/>
                </w:tcPr>
                <w:p w14:paraId="017A7EA5">
                  <w:pPr>
                    <w:adjustRightInd w:val="0"/>
                    <w:snapToGrid w:val="0"/>
                    <w:jc w:val="center"/>
                    <w:rPr>
                      <w:rFonts w:hint="default" w:eastAsia="宋体"/>
                      <w:b/>
                      <w:bCs/>
                      <w:color w:val="auto"/>
                      <w:kern w:val="0"/>
                      <w:szCs w:val="21"/>
                      <w:lang w:val="en-US" w:eastAsia="zh-CN"/>
                    </w:rPr>
                  </w:pPr>
                  <w:r>
                    <w:rPr>
                      <w:rFonts w:hint="eastAsia"/>
                      <w:b/>
                      <w:bCs/>
                      <w:color w:val="auto"/>
                      <w:kern w:val="0"/>
                      <w:szCs w:val="21"/>
                      <w:lang w:val="en-US" w:eastAsia="zh-CN"/>
                    </w:rPr>
                    <w:t>可类比性</w:t>
                  </w:r>
                </w:p>
              </w:tc>
            </w:tr>
            <w:tr w14:paraId="3A4FA2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84" w:type="dxa"/>
                  <w:tcBorders>
                    <w:tl2br w:val="nil"/>
                    <w:tr2bl w:val="nil"/>
                  </w:tcBorders>
                  <w:vAlign w:val="center"/>
                </w:tcPr>
                <w:p w14:paraId="5977DA20">
                  <w:pPr>
                    <w:adjustRightInd w:val="0"/>
                    <w:snapToGrid w:val="0"/>
                    <w:jc w:val="center"/>
                    <w:rPr>
                      <w:rFonts w:hint="eastAsia" w:eastAsia="宋体"/>
                      <w:color w:val="auto"/>
                      <w:kern w:val="0"/>
                      <w:szCs w:val="21"/>
                      <w:lang w:eastAsia="zh-CN"/>
                    </w:rPr>
                  </w:pPr>
                  <w:r>
                    <w:rPr>
                      <w:color w:val="auto"/>
                      <w:kern w:val="0"/>
                      <w:szCs w:val="21"/>
                    </w:rPr>
                    <w:t>项目</w:t>
                  </w:r>
                  <w:r>
                    <w:rPr>
                      <w:rFonts w:hint="eastAsia"/>
                      <w:color w:val="auto"/>
                      <w:kern w:val="0"/>
                      <w:szCs w:val="21"/>
                      <w:lang w:val="en-US" w:eastAsia="zh-CN"/>
                    </w:rPr>
                    <w:t>性质</w:t>
                  </w:r>
                </w:p>
              </w:tc>
              <w:tc>
                <w:tcPr>
                  <w:tcW w:w="2727" w:type="dxa"/>
                  <w:tcBorders>
                    <w:tl2br w:val="nil"/>
                    <w:tr2bl w:val="nil"/>
                  </w:tcBorders>
                  <w:vAlign w:val="center"/>
                </w:tcPr>
                <w:p w14:paraId="6C6A45AF">
                  <w:pPr>
                    <w:adjustRightInd w:val="0"/>
                    <w:snapToGrid w:val="0"/>
                    <w:jc w:val="center"/>
                    <w:rPr>
                      <w:color w:val="auto"/>
                      <w:kern w:val="0"/>
                      <w:szCs w:val="21"/>
                    </w:rPr>
                  </w:pPr>
                  <w:r>
                    <w:rPr>
                      <w:rFonts w:hint="eastAsia" w:ascii="Times New Roman" w:hAnsi="Times New Roman" w:cs="Times New Roman"/>
                      <w:color w:val="auto"/>
                      <w:kern w:val="0"/>
                      <w:szCs w:val="21"/>
                      <w:lang w:val="en-US" w:eastAsia="zh-CN"/>
                    </w:rPr>
                    <w:t>新建</w:t>
                  </w:r>
                </w:p>
              </w:tc>
              <w:tc>
                <w:tcPr>
                  <w:tcW w:w="2913" w:type="dxa"/>
                  <w:tcBorders>
                    <w:tl2br w:val="nil"/>
                    <w:tr2bl w:val="nil"/>
                  </w:tcBorders>
                  <w:vAlign w:val="center"/>
                </w:tcPr>
                <w:p w14:paraId="57DBC2E6">
                  <w:pPr>
                    <w:adjustRightInd w:val="0"/>
                    <w:snapToGrid w:val="0"/>
                    <w:jc w:val="center"/>
                    <w:rPr>
                      <w:rFonts w:hint="eastAsia" w:eastAsia="宋体"/>
                      <w:color w:val="auto"/>
                      <w:kern w:val="0"/>
                      <w:szCs w:val="21"/>
                      <w:lang w:eastAsia="zh-CN"/>
                    </w:rPr>
                  </w:pPr>
                  <w:r>
                    <w:rPr>
                      <w:rFonts w:hint="eastAsia"/>
                      <w:color w:val="auto"/>
                      <w:kern w:val="0"/>
                      <w:szCs w:val="21"/>
                      <w:lang w:val="en-US" w:eastAsia="zh-CN"/>
                    </w:rPr>
                    <w:t>新建</w:t>
                  </w:r>
                </w:p>
              </w:tc>
              <w:tc>
                <w:tcPr>
                  <w:tcW w:w="1154" w:type="dxa"/>
                  <w:tcBorders>
                    <w:tl2br w:val="nil"/>
                    <w:tr2bl w:val="nil"/>
                  </w:tcBorders>
                  <w:vAlign w:val="center"/>
                </w:tcPr>
                <w:p w14:paraId="534B9FE4">
                  <w:pPr>
                    <w:adjustRightInd w:val="0"/>
                    <w:snapToGrid w:val="0"/>
                    <w:jc w:val="center"/>
                    <w:rPr>
                      <w:rFonts w:hint="eastAsia"/>
                      <w:color w:val="auto"/>
                      <w:kern w:val="0"/>
                      <w:szCs w:val="21"/>
                      <w:lang w:val="en-US" w:eastAsia="zh-CN"/>
                    </w:rPr>
                  </w:pPr>
                  <w:r>
                    <w:rPr>
                      <w:rFonts w:hint="default" w:ascii="Times New Roman" w:hAnsi="Times New Roman" w:eastAsia="宋体" w:cs="Times New Roman"/>
                      <w:color w:val="auto"/>
                      <w:highlight w:val="none"/>
                      <w:lang w:val="en-US" w:eastAsia="zh-CN"/>
                    </w:rPr>
                    <w:t>可类比</w:t>
                  </w:r>
                </w:p>
              </w:tc>
            </w:tr>
            <w:tr w14:paraId="5F2B7D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84" w:type="dxa"/>
                  <w:tcBorders>
                    <w:tl2br w:val="nil"/>
                    <w:tr2bl w:val="nil"/>
                  </w:tcBorders>
                  <w:vAlign w:val="center"/>
                </w:tcPr>
                <w:p w14:paraId="567FFBFB">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项目内容</w:t>
                  </w:r>
                </w:p>
              </w:tc>
              <w:tc>
                <w:tcPr>
                  <w:tcW w:w="2727" w:type="dxa"/>
                  <w:tcBorders>
                    <w:tl2br w:val="nil"/>
                    <w:tr2bl w:val="nil"/>
                  </w:tcBorders>
                  <w:shd w:val="clear" w:color="auto" w:fill="auto"/>
                  <w:vAlign w:val="center"/>
                </w:tcPr>
                <w:p w14:paraId="14F96FE9">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检测实验</w:t>
                  </w:r>
                </w:p>
              </w:tc>
              <w:tc>
                <w:tcPr>
                  <w:tcW w:w="2913" w:type="dxa"/>
                  <w:tcBorders>
                    <w:tl2br w:val="nil"/>
                    <w:tr2bl w:val="nil"/>
                  </w:tcBorders>
                  <w:vAlign w:val="center"/>
                </w:tcPr>
                <w:p w14:paraId="48546CC0">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检测实验</w:t>
                  </w:r>
                </w:p>
              </w:tc>
              <w:tc>
                <w:tcPr>
                  <w:tcW w:w="1154" w:type="dxa"/>
                  <w:tcBorders>
                    <w:tl2br w:val="nil"/>
                    <w:tr2bl w:val="nil"/>
                  </w:tcBorders>
                  <w:vAlign w:val="center"/>
                </w:tcPr>
                <w:p w14:paraId="7C6C977B">
                  <w:pPr>
                    <w:adjustRightInd w:val="0"/>
                    <w:snapToGrid w:val="0"/>
                    <w:jc w:val="center"/>
                    <w:rPr>
                      <w:rFonts w:hint="eastAsia"/>
                      <w:color w:val="auto"/>
                      <w:kern w:val="0"/>
                      <w:szCs w:val="21"/>
                      <w:lang w:val="en-US" w:eastAsia="zh-CN"/>
                    </w:rPr>
                  </w:pPr>
                  <w:r>
                    <w:rPr>
                      <w:rFonts w:hint="default" w:ascii="Times New Roman" w:hAnsi="Times New Roman" w:eastAsia="宋体" w:cs="Times New Roman"/>
                      <w:color w:val="auto"/>
                      <w:highlight w:val="none"/>
                      <w:lang w:val="en-US" w:eastAsia="zh-CN"/>
                    </w:rPr>
                    <w:t>可类比</w:t>
                  </w:r>
                </w:p>
              </w:tc>
            </w:tr>
            <w:tr w14:paraId="6802B6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1184" w:type="dxa"/>
                  <w:tcBorders>
                    <w:tl2br w:val="nil"/>
                    <w:tr2bl w:val="nil"/>
                  </w:tcBorders>
                  <w:vAlign w:val="center"/>
                </w:tcPr>
                <w:p w14:paraId="18E6522E">
                  <w:pPr>
                    <w:adjustRightInd w:val="0"/>
                    <w:snapToGrid w:val="0"/>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废水类别</w:t>
                  </w:r>
                </w:p>
              </w:tc>
              <w:tc>
                <w:tcPr>
                  <w:tcW w:w="2727" w:type="dxa"/>
                  <w:tcBorders>
                    <w:tl2br w:val="nil"/>
                    <w:tr2bl w:val="nil"/>
                  </w:tcBorders>
                  <w:shd w:val="clear" w:color="auto" w:fill="auto"/>
                  <w:vAlign w:val="center"/>
                </w:tcPr>
                <w:p w14:paraId="51740B96">
                  <w:pPr>
                    <w:adjustRightInd w:val="0"/>
                    <w:snapToGrid w:val="0"/>
                    <w:jc w:val="center"/>
                    <w:rPr>
                      <w:rFonts w:hint="eastAsia"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员工生活污水、仪器器皿二三遍清洗废水</w:t>
                  </w:r>
                  <w:r>
                    <w:rPr>
                      <w:rFonts w:hint="eastAsia" w:ascii="Times New Roman" w:hAnsi="Times New Roman" w:cs="Times New Roman"/>
                      <w:color w:val="auto"/>
                      <w:kern w:val="0"/>
                      <w:szCs w:val="21"/>
                      <w:lang w:val="en-US" w:eastAsia="zh-CN"/>
                    </w:rPr>
                    <w:t>、</w:t>
                  </w:r>
                  <w:r>
                    <w:rPr>
                      <w:rFonts w:hint="default" w:ascii="Times New Roman" w:hAnsi="Times New Roman" w:cs="Times New Roman"/>
                      <w:color w:val="auto"/>
                      <w:kern w:val="0"/>
                      <w:szCs w:val="21"/>
                      <w:lang w:val="en-US" w:eastAsia="zh-CN"/>
                    </w:rPr>
                    <w:t>制备纯水产生的浓缩水</w:t>
                  </w:r>
                  <w:r>
                    <w:rPr>
                      <w:rFonts w:hint="eastAsia" w:cs="Times New Roman"/>
                      <w:color w:val="auto"/>
                      <w:kern w:val="0"/>
                      <w:szCs w:val="21"/>
                      <w:lang w:val="en-US" w:eastAsia="zh-CN"/>
                    </w:rPr>
                    <w:t>。</w:t>
                  </w:r>
                </w:p>
              </w:tc>
              <w:tc>
                <w:tcPr>
                  <w:tcW w:w="2913" w:type="dxa"/>
                  <w:tcBorders>
                    <w:tl2br w:val="nil"/>
                    <w:tr2bl w:val="nil"/>
                  </w:tcBorders>
                  <w:vAlign w:val="center"/>
                </w:tcPr>
                <w:p w14:paraId="4C3B95E5">
                  <w:pPr>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员工生活污水、</w:t>
                  </w:r>
                  <w:r>
                    <w:rPr>
                      <w:rFonts w:hint="eastAsia" w:cs="Times New Roman"/>
                      <w:color w:val="auto"/>
                      <w:kern w:val="0"/>
                      <w:szCs w:val="21"/>
                      <w:lang w:val="en-US" w:eastAsia="zh-CN"/>
                    </w:rPr>
                    <w:t>容器</w:t>
                  </w:r>
                  <w:r>
                    <w:rPr>
                      <w:rFonts w:hint="eastAsia" w:ascii="Times New Roman" w:hAnsi="Times New Roman" w:cs="Times New Roman"/>
                      <w:color w:val="auto"/>
                      <w:kern w:val="0"/>
                      <w:szCs w:val="21"/>
                      <w:lang w:val="en-US" w:eastAsia="zh-CN"/>
                    </w:rPr>
                    <w:t>第</w:t>
                  </w:r>
                  <w:r>
                    <w:rPr>
                      <w:rFonts w:hint="default" w:ascii="Times New Roman" w:hAnsi="Times New Roman" w:cs="Times New Roman"/>
                      <w:color w:val="auto"/>
                      <w:kern w:val="0"/>
                      <w:szCs w:val="21"/>
                      <w:lang w:val="en-US" w:eastAsia="zh-CN"/>
                    </w:rPr>
                    <w:t>三遍</w:t>
                  </w:r>
                  <w:r>
                    <w:rPr>
                      <w:rFonts w:hint="eastAsia" w:cs="Times New Roman"/>
                      <w:color w:val="auto"/>
                      <w:kern w:val="0"/>
                      <w:szCs w:val="21"/>
                      <w:lang w:val="en-US" w:eastAsia="zh-CN"/>
                    </w:rPr>
                    <w:t>及以后</w:t>
                  </w:r>
                  <w:r>
                    <w:rPr>
                      <w:rFonts w:hint="default" w:ascii="Times New Roman" w:hAnsi="Times New Roman" w:cs="Times New Roman"/>
                      <w:color w:val="auto"/>
                      <w:kern w:val="0"/>
                      <w:szCs w:val="21"/>
                      <w:lang w:val="en-US" w:eastAsia="zh-CN"/>
                    </w:rPr>
                    <w:t>清洗废水</w:t>
                  </w:r>
                  <w:r>
                    <w:rPr>
                      <w:rFonts w:hint="eastAsia" w:ascii="Times New Roman" w:hAnsi="Times New Roman" w:cs="Times New Roman"/>
                      <w:color w:val="auto"/>
                      <w:kern w:val="0"/>
                      <w:szCs w:val="21"/>
                      <w:lang w:val="en-US" w:eastAsia="zh-CN"/>
                    </w:rPr>
                    <w:t>、</w:t>
                  </w:r>
                  <w:r>
                    <w:rPr>
                      <w:rFonts w:hint="default" w:ascii="Times New Roman" w:hAnsi="Times New Roman" w:cs="Times New Roman"/>
                      <w:color w:val="auto"/>
                      <w:kern w:val="0"/>
                      <w:szCs w:val="21"/>
                      <w:lang w:val="en-US" w:eastAsia="zh-CN"/>
                    </w:rPr>
                    <w:t>制备纯水产生的</w:t>
                  </w:r>
                  <w:r>
                    <w:rPr>
                      <w:rFonts w:hint="eastAsia" w:ascii="Times New Roman" w:hAnsi="Times New Roman" w:cs="Times New Roman"/>
                      <w:color w:val="auto"/>
                      <w:kern w:val="0"/>
                      <w:szCs w:val="21"/>
                      <w:lang w:val="en-US" w:eastAsia="zh-CN"/>
                    </w:rPr>
                    <w:t>废水</w:t>
                  </w:r>
                  <w:r>
                    <w:rPr>
                      <w:rFonts w:hint="eastAsia" w:cs="Times New Roman"/>
                      <w:color w:val="auto"/>
                      <w:kern w:val="0"/>
                      <w:szCs w:val="21"/>
                      <w:lang w:val="en-US" w:eastAsia="zh-CN"/>
                    </w:rPr>
                    <w:t>、高压灭菌蒸汽冷凝废水、地面清洗废水。</w:t>
                  </w:r>
                </w:p>
              </w:tc>
              <w:tc>
                <w:tcPr>
                  <w:tcW w:w="1154" w:type="dxa"/>
                  <w:tcBorders>
                    <w:tl2br w:val="nil"/>
                    <w:tr2bl w:val="nil"/>
                  </w:tcBorders>
                  <w:vAlign w:val="center"/>
                </w:tcPr>
                <w:p w14:paraId="4BF0059A">
                  <w:pPr>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highlight w:val="none"/>
                      <w:lang w:val="en-US" w:eastAsia="zh-CN"/>
                    </w:rPr>
                    <w:t>可类比</w:t>
                  </w:r>
                </w:p>
              </w:tc>
            </w:tr>
            <w:tr w14:paraId="5BECDF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1184" w:type="dxa"/>
                  <w:tcBorders>
                    <w:tl2br w:val="nil"/>
                    <w:tr2bl w:val="nil"/>
                  </w:tcBorders>
                  <w:vAlign w:val="center"/>
                </w:tcPr>
                <w:p w14:paraId="1ECE35B0">
                  <w:pPr>
                    <w:adjustRightInd w:val="0"/>
                    <w:snapToGrid w:val="0"/>
                    <w:jc w:val="center"/>
                    <w:rPr>
                      <w:rFonts w:hint="eastAsia"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废水处理措施及排放方式</w:t>
                  </w:r>
                </w:p>
              </w:tc>
              <w:tc>
                <w:tcPr>
                  <w:tcW w:w="2727" w:type="dxa"/>
                  <w:tcBorders>
                    <w:tl2br w:val="nil"/>
                    <w:tr2bl w:val="nil"/>
                  </w:tcBorders>
                  <w:vAlign w:val="center"/>
                </w:tcPr>
                <w:p w14:paraId="55FF0110">
                  <w:pPr>
                    <w:adjustRightInd w:val="0"/>
                    <w:snapToGrid w:val="0"/>
                    <w:jc w:val="center"/>
                    <w:rPr>
                      <w:rFonts w:hint="eastAsia"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化粪池预处理，然后排入市政污水管网</w:t>
                  </w:r>
                  <w:r>
                    <w:rPr>
                      <w:rFonts w:hint="eastAsia" w:cs="Times New Roman"/>
                      <w:color w:val="auto"/>
                      <w:kern w:val="0"/>
                      <w:szCs w:val="21"/>
                      <w:lang w:val="en-US" w:eastAsia="zh-CN"/>
                    </w:rPr>
                    <w:t>。</w:t>
                  </w:r>
                </w:p>
              </w:tc>
              <w:tc>
                <w:tcPr>
                  <w:tcW w:w="2913" w:type="dxa"/>
                  <w:tcBorders>
                    <w:tl2br w:val="nil"/>
                    <w:tr2bl w:val="nil"/>
                  </w:tcBorders>
                  <w:vAlign w:val="center"/>
                </w:tcPr>
                <w:p w14:paraId="11465A06">
                  <w:pPr>
                    <w:adjustRightInd w:val="0"/>
                    <w:snapToGrid w:val="0"/>
                    <w:jc w:val="center"/>
                    <w:rPr>
                      <w:rFonts w:hint="eastAsia"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化粪池预处理，然后排入市政污水管网</w:t>
                  </w:r>
                  <w:r>
                    <w:rPr>
                      <w:rFonts w:hint="eastAsia" w:cs="Times New Roman"/>
                      <w:color w:val="auto"/>
                      <w:kern w:val="0"/>
                      <w:szCs w:val="21"/>
                      <w:lang w:val="en-US" w:eastAsia="zh-CN"/>
                    </w:rPr>
                    <w:t>。</w:t>
                  </w:r>
                </w:p>
              </w:tc>
              <w:tc>
                <w:tcPr>
                  <w:tcW w:w="1154" w:type="dxa"/>
                  <w:tcBorders>
                    <w:tl2br w:val="nil"/>
                    <w:tr2bl w:val="nil"/>
                  </w:tcBorders>
                  <w:vAlign w:val="center"/>
                </w:tcPr>
                <w:p w14:paraId="590737CC">
                  <w:pPr>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highlight w:val="none"/>
                      <w:lang w:val="en-US" w:eastAsia="zh-CN"/>
                    </w:rPr>
                    <w:t>可类比</w:t>
                  </w:r>
                </w:p>
              </w:tc>
            </w:tr>
          </w:tbl>
          <w:p w14:paraId="4F12BE3E">
            <w:pPr>
              <w:snapToGrid w:val="0"/>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类比项目检测报告中废水污染物最高排放浓度为COD</w:t>
            </w:r>
            <w:r>
              <w:rPr>
                <w:rFonts w:hint="default" w:ascii="Times New Roman" w:hAnsi="Times New Roman" w:eastAsia="宋体" w:cs="Times New Roman"/>
                <w:color w:val="auto"/>
                <w:sz w:val="24"/>
                <w:highlight w:val="none"/>
                <w:vertAlign w:val="subscript"/>
                <w:lang w:val="en-US" w:eastAsia="zh-CN"/>
              </w:rPr>
              <w:t>Cr</w:t>
            </w:r>
            <w:r>
              <w:rPr>
                <w:rFonts w:hint="eastAsia" w:cs="Times New Roman"/>
                <w:color w:val="auto"/>
                <w:sz w:val="24"/>
                <w:highlight w:val="none"/>
                <w:vertAlign w:val="subscript"/>
                <w:lang w:val="en-US" w:eastAsia="zh-CN"/>
              </w:rPr>
              <w:t xml:space="preserve"> </w:t>
            </w:r>
            <w:r>
              <w:rPr>
                <w:rFonts w:hint="default" w:ascii="Times New Roman" w:hAnsi="Times New Roman" w:eastAsia="宋体" w:cs="Times New Roman"/>
                <w:color w:val="auto"/>
                <w:sz w:val="24"/>
                <w:highlight w:val="none"/>
                <w:lang w:val="en-US" w:eastAsia="zh-CN"/>
              </w:rPr>
              <w:t>47mg/L，氨氮0.501mg/L，则本项目COD</w:t>
            </w:r>
            <w:r>
              <w:rPr>
                <w:rFonts w:hint="default" w:ascii="Times New Roman" w:hAnsi="Times New Roman" w:eastAsia="宋体" w:cs="Times New Roman"/>
                <w:color w:val="auto"/>
                <w:sz w:val="24"/>
                <w:highlight w:val="none"/>
                <w:vertAlign w:val="subscript"/>
                <w:lang w:val="en-US" w:eastAsia="zh-CN"/>
              </w:rPr>
              <w:t>Cr</w:t>
            </w:r>
            <w:r>
              <w:rPr>
                <w:rFonts w:hint="default" w:ascii="Times New Roman" w:hAnsi="Times New Roman" w:eastAsia="宋体" w:cs="Times New Roman"/>
                <w:color w:val="auto"/>
                <w:sz w:val="24"/>
                <w:highlight w:val="none"/>
                <w:lang w:val="en-US" w:eastAsia="zh-CN"/>
              </w:rPr>
              <w:t>、氨氮排放量如下：</w:t>
            </w:r>
          </w:p>
          <w:p w14:paraId="2EC2F627">
            <w:pPr>
              <w:snapToGrid w:val="0"/>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COD</w:t>
            </w:r>
            <w:r>
              <w:rPr>
                <w:rFonts w:hint="default" w:ascii="Times New Roman" w:hAnsi="Times New Roman" w:eastAsia="宋体" w:cs="Times New Roman"/>
                <w:color w:val="auto"/>
                <w:sz w:val="24"/>
                <w:highlight w:val="none"/>
                <w:vertAlign w:val="subscript"/>
                <w:lang w:val="en-US" w:eastAsia="zh-CN"/>
              </w:rPr>
              <w:t>Cr</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331.89</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/a×47mg/L×10</w:t>
            </w:r>
            <w:r>
              <w:rPr>
                <w:rFonts w:hint="default" w:ascii="Times New Roman" w:hAnsi="Times New Roman" w:eastAsia="宋体" w:cs="Times New Roman"/>
                <w:color w:val="auto"/>
                <w:sz w:val="24"/>
                <w:highlight w:val="none"/>
                <w:vertAlign w:val="superscript"/>
                <w:lang w:val="en-US" w:eastAsia="zh-CN"/>
              </w:rPr>
              <w:t>-6</w:t>
            </w:r>
            <w:r>
              <w:rPr>
                <w:rFonts w:hint="default" w:ascii="Times New Roman" w:hAnsi="Times New Roman" w:eastAsia="宋体" w:cs="Times New Roman"/>
                <w:color w:val="auto"/>
                <w:sz w:val="24"/>
                <w:highlight w:val="none"/>
                <w:lang w:val="en-US" w:eastAsia="zh-CN"/>
              </w:rPr>
              <w:t>=0.0</w:t>
            </w:r>
            <w:r>
              <w:rPr>
                <w:rFonts w:hint="eastAsia" w:cs="Times New Roman"/>
                <w:color w:val="auto"/>
                <w:sz w:val="24"/>
                <w:highlight w:val="none"/>
                <w:lang w:val="en-US" w:eastAsia="zh-CN"/>
              </w:rPr>
              <w:t>16</w:t>
            </w:r>
            <w:r>
              <w:rPr>
                <w:rFonts w:hint="default" w:ascii="Times New Roman" w:hAnsi="Times New Roman" w:eastAsia="宋体" w:cs="Times New Roman"/>
                <w:color w:val="auto"/>
                <w:sz w:val="24"/>
                <w:highlight w:val="none"/>
                <w:lang w:val="en-US" w:eastAsia="zh-CN"/>
              </w:rPr>
              <w:t xml:space="preserve"> t/a</w:t>
            </w:r>
          </w:p>
          <w:p w14:paraId="6F583F81">
            <w:pPr>
              <w:snapToGrid w:val="0"/>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氨氮=</w:t>
            </w:r>
            <w:r>
              <w:rPr>
                <w:rFonts w:hint="eastAsia" w:cs="Times New Roman"/>
                <w:color w:val="auto"/>
                <w:sz w:val="24"/>
                <w:highlight w:val="none"/>
                <w:lang w:val="en-US" w:eastAsia="zh-CN"/>
              </w:rPr>
              <w:t>331.89</w:t>
            </w:r>
            <w:r>
              <w:rPr>
                <w:rFonts w:hint="default" w:ascii="Times New Roman" w:hAnsi="Times New Roman" w:eastAsia="宋体" w:cs="Times New Roman"/>
                <w:color w:val="auto"/>
                <w:sz w:val="24"/>
                <w:highlight w:val="none"/>
                <w:lang w:val="en-US" w:eastAsia="zh-CN"/>
              </w:rPr>
              <w:t xml:space="preserve"> 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/a×0.501mg/L×10</w:t>
            </w:r>
            <w:r>
              <w:rPr>
                <w:rFonts w:hint="default" w:ascii="Times New Roman" w:hAnsi="Times New Roman" w:eastAsia="宋体" w:cs="Times New Roman"/>
                <w:color w:val="auto"/>
                <w:sz w:val="24"/>
                <w:highlight w:val="none"/>
                <w:vertAlign w:val="superscript"/>
                <w:lang w:val="en-US" w:eastAsia="zh-CN"/>
              </w:rPr>
              <w:t>-6</w:t>
            </w:r>
            <w:r>
              <w:rPr>
                <w:rFonts w:hint="default" w:ascii="Times New Roman" w:hAnsi="Times New Roman" w:eastAsia="宋体" w:cs="Times New Roman"/>
                <w:color w:val="auto"/>
                <w:sz w:val="24"/>
                <w:highlight w:val="none"/>
                <w:lang w:val="en-US" w:eastAsia="zh-CN"/>
              </w:rPr>
              <w:t>=0.000</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 xml:space="preserve"> t/a</w:t>
            </w:r>
          </w:p>
          <w:p w14:paraId="266B44CC">
            <w:pPr>
              <w:snapToGrid w:val="0"/>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综上，据上述两种源强核算方法分析，考虑到不同企业实际运行过程中存在差异，类比数据存在一定的误差。因此，本项目选用排污系数法进行总量核算</w:t>
            </w:r>
            <w:r>
              <w:rPr>
                <w:rFonts w:hint="eastAsia" w:cs="Times New Roman"/>
                <w:color w:val="auto"/>
                <w:sz w:val="24"/>
                <w:highlight w:val="none"/>
                <w:lang w:val="en-US" w:eastAsia="zh-CN"/>
              </w:rPr>
              <w:t>排放量</w:t>
            </w:r>
            <w:r>
              <w:rPr>
                <w:rFonts w:hint="default" w:ascii="Times New Roman" w:hAnsi="Times New Roman" w:eastAsia="宋体" w:cs="Times New Roman"/>
                <w:color w:val="auto"/>
                <w:sz w:val="24"/>
                <w:highlight w:val="none"/>
                <w:lang w:val="en-US" w:eastAsia="zh-CN"/>
              </w:rPr>
              <w:t>，即COD</w:t>
            </w:r>
            <w:r>
              <w:rPr>
                <w:rFonts w:hint="default" w:ascii="Times New Roman" w:hAnsi="Times New Roman" w:eastAsia="宋体" w:cs="Times New Roman"/>
                <w:color w:val="auto"/>
                <w:sz w:val="24"/>
                <w:highlight w:val="none"/>
                <w:vertAlign w:val="subscript"/>
                <w:lang w:val="en-US" w:eastAsia="zh-CN"/>
              </w:rPr>
              <w:t>Cr</w:t>
            </w:r>
            <w:r>
              <w:rPr>
                <w:rFonts w:hint="eastAsia" w:eastAsia="宋体" w:cs="Times New Roman"/>
                <w:color w:val="auto"/>
                <w:sz w:val="24"/>
                <w:highlight w:val="none"/>
                <w:vertAlign w:val="subscript"/>
                <w:lang w:val="en-US" w:eastAsia="zh-CN"/>
              </w:rPr>
              <w:t xml:space="preserve"> </w:t>
            </w:r>
            <w:r>
              <w:rPr>
                <w:rFonts w:hint="eastAsia" w:cs="Times New Roman"/>
                <w:color w:val="auto"/>
                <w:sz w:val="24"/>
                <w:highlight w:val="none"/>
                <w:lang w:val="en-US" w:eastAsia="zh-CN"/>
              </w:rPr>
              <w:t>0.0807</w:t>
            </w:r>
            <w:r>
              <w:rPr>
                <w:rFonts w:hint="default" w:ascii="Times New Roman" w:hAnsi="Times New Roman" w:eastAsia="宋体" w:cs="Times New Roman"/>
                <w:color w:val="auto"/>
                <w:sz w:val="24"/>
                <w:highlight w:val="none"/>
                <w:lang w:val="en-US" w:eastAsia="zh-CN"/>
              </w:rPr>
              <w:t>t/a，氨氮为0.0</w:t>
            </w:r>
            <w:r>
              <w:rPr>
                <w:rFonts w:hint="eastAsia" w:cs="Times New Roman"/>
                <w:color w:val="auto"/>
                <w:sz w:val="24"/>
                <w:highlight w:val="none"/>
                <w:lang w:val="en-US" w:eastAsia="zh-CN"/>
              </w:rPr>
              <w:t>0818</w:t>
            </w:r>
            <w:r>
              <w:rPr>
                <w:rFonts w:hint="default" w:ascii="Times New Roman" w:hAnsi="Times New Roman" w:eastAsia="宋体" w:cs="Times New Roman"/>
                <w:color w:val="auto"/>
                <w:sz w:val="24"/>
                <w:highlight w:val="none"/>
                <w:lang w:val="en-US" w:eastAsia="zh-CN"/>
              </w:rPr>
              <w:t>t/a。</w:t>
            </w:r>
          </w:p>
          <w:p w14:paraId="52ACD64A">
            <w:pPr>
              <w:pStyle w:val="6"/>
              <w:adjustRightInd w:val="0"/>
              <w:spacing w:line="360" w:lineRule="auto"/>
              <w:ind w:firstLine="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 xml:space="preserve">三、减排潜力分析 </w:t>
            </w:r>
          </w:p>
          <w:p w14:paraId="3EE3C210">
            <w:pPr>
              <w:adjustRightInd w:val="0"/>
              <w:spacing w:line="360" w:lineRule="auto"/>
              <w:ind w:firstLine="480" w:firstLineChars="200"/>
              <w:textAlignment w:val="baseline"/>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w:t>
            </w:r>
            <w:r>
              <w:rPr>
                <w:rFonts w:hint="default" w:ascii="Times New Roman" w:hAnsi="Times New Roman" w:eastAsia="宋体" w:cs="Times New Roman"/>
                <w:bCs/>
                <w:color w:val="auto"/>
                <w:sz w:val="24"/>
                <w:highlight w:val="none"/>
                <w:lang w:val="en-US" w:eastAsia="zh-CN"/>
              </w:rPr>
              <w:t>为</w:t>
            </w:r>
            <w:r>
              <w:rPr>
                <w:rFonts w:hint="eastAsia" w:cs="Times New Roman"/>
                <w:bCs/>
                <w:color w:val="auto"/>
                <w:sz w:val="24"/>
                <w:highlight w:val="none"/>
                <w:lang w:val="en-US" w:eastAsia="zh-CN"/>
              </w:rPr>
              <w:t>新</w:t>
            </w:r>
            <w:r>
              <w:rPr>
                <w:rFonts w:hint="default" w:ascii="Times New Roman" w:hAnsi="Times New Roman" w:eastAsia="宋体" w:cs="Times New Roman"/>
                <w:bCs/>
                <w:color w:val="auto"/>
                <w:sz w:val="24"/>
                <w:highlight w:val="none"/>
                <w:lang w:val="en-US" w:eastAsia="zh-CN"/>
              </w:rPr>
              <w:t>建项目，</w:t>
            </w:r>
            <w:r>
              <w:rPr>
                <w:rFonts w:hint="eastAsia" w:cs="Times New Roman"/>
                <w:bCs/>
                <w:color w:val="auto"/>
                <w:sz w:val="24"/>
                <w:highlight w:val="none"/>
                <w:lang w:val="en-US" w:eastAsia="zh-CN"/>
              </w:rPr>
              <w:t>在本区内没有其他建设项目，</w:t>
            </w:r>
            <w:r>
              <w:rPr>
                <w:rFonts w:hint="default" w:ascii="Times New Roman" w:hAnsi="Times New Roman" w:eastAsia="宋体" w:cs="Times New Roman"/>
                <w:bCs/>
                <w:color w:val="auto"/>
                <w:sz w:val="24"/>
                <w:highlight w:val="none"/>
              </w:rPr>
              <w:t>没有进一步减排空间。因此本项目不具备废气、废水污染物总量指标</w:t>
            </w:r>
            <w:r>
              <w:rPr>
                <w:rFonts w:hint="eastAsia" w:ascii="Times New Roman" w:hAnsi="Times New Roman" w:eastAsia="宋体" w:cs="Times New Roman"/>
                <w:bCs/>
                <w:color w:val="auto"/>
                <w:sz w:val="24"/>
                <w:highlight w:val="none"/>
                <w:lang w:val="en-US" w:eastAsia="zh-CN"/>
              </w:rPr>
              <w:t>削</w:t>
            </w:r>
            <w:r>
              <w:rPr>
                <w:rFonts w:hint="default" w:ascii="Times New Roman" w:hAnsi="Times New Roman" w:eastAsia="宋体" w:cs="Times New Roman"/>
                <w:bCs/>
                <w:color w:val="auto"/>
                <w:sz w:val="24"/>
                <w:highlight w:val="none"/>
              </w:rPr>
              <w:t>减能力，需重新申请。</w:t>
            </w:r>
          </w:p>
          <w:p w14:paraId="06ADB6EA">
            <w:pPr>
              <w:pStyle w:val="6"/>
              <w:adjustRightInd w:val="0"/>
              <w:spacing w:line="360" w:lineRule="auto"/>
              <w:ind w:firstLine="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四、总量来源</w:t>
            </w:r>
          </w:p>
          <w:p w14:paraId="16D2726A">
            <w:pPr>
              <w:adjustRightIn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根据北京市环境保护局关于《转发环境保护部&lt;建设项目主要污染物排放总量指标审核及管理暂行办法&gt;的通知（京环发[2015]19号，2015年7月15日起执行）中的相关规定：</w:t>
            </w:r>
            <w:r>
              <w:rPr>
                <w:rFonts w:hint="eastAsia" w:cs="Times New Roman"/>
                <w:bCs/>
                <w:color w:val="auto"/>
                <w:sz w:val="24"/>
                <w:highlight w:val="none"/>
                <w:lang w:eastAsia="zh-CN"/>
              </w:rPr>
              <w:t>“</w:t>
            </w:r>
            <w:r>
              <w:rPr>
                <w:rFonts w:hint="default" w:ascii="Times New Roman" w:hAnsi="Times New Roman" w:eastAsia="宋体" w:cs="Times New Roman"/>
                <w:bCs/>
                <w:color w:val="auto"/>
                <w:sz w:val="24"/>
                <w:highlight w:val="none"/>
              </w:rPr>
              <w:t>该办法适用于各级环境保护主管部门对建设项目（不含城镇生活污水处理厂、垃圾处理场、危险废物和医疗废物处置场）主要污染排放总量指标的审核与管理。上一年度环境空气质量平均浓度不达标的城市、水环境质量未到要求的市县，相关污染物应按照建设项目所需替代的主要排放总量指标2倍进行削减替代。</w:t>
            </w:r>
            <w:r>
              <w:rPr>
                <w:rFonts w:hint="eastAsia" w:cs="Times New Roman"/>
                <w:bCs/>
                <w:color w:val="auto"/>
                <w:sz w:val="24"/>
                <w:highlight w:val="none"/>
                <w:lang w:eastAsia="zh-CN"/>
              </w:rPr>
              <w:t>”</w:t>
            </w:r>
          </w:p>
          <w:p w14:paraId="2D4C7EA1">
            <w:pPr>
              <w:tabs>
                <w:tab w:val="left" w:pos="1484"/>
              </w:tabs>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rPr>
              <w:t>《北京市人民政府办公厅关于印发《推进美丽北京建设持续深入打好污染防治攻坚战 2025 年行动计划》的通知》（京政办发〔2025〕3 号）中蓝天保卫战 2025 年行动计划，北京市2025年大气污染总量减排目标的工作措施为</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各区完成</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十四五</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挥发性有机物(VOCs)、氮氧化物(NOx)减排目标任务。新增涉气建设项目严格执行 VOCs、NOx 等主要污染物排放总量控制，实施</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减二增一</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削减量替代审批制度。本项目挥发性有机物</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氮氧化物</w:t>
            </w:r>
            <w:r>
              <w:rPr>
                <w:rFonts w:hint="default" w:ascii="Times New Roman" w:hAnsi="Times New Roman" w:eastAsia="宋体" w:cs="Times New Roman"/>
                <w:color w:val="auto"/>
                <w:sz w:val="24"/>
                <w:highlight w:val="none"/>
                <w:lang w:val="en-US"/>
              </w:rPr>
              <w:t>进行2倍削减替代，本项目运营期排放总量控制指标因子排放量见下表。</w:t>
            </w:r>
          </w:p>
          <w:p w14:paraId="0C8D1235">
            <w:pPr>
              <w:numPr>
                <w:ilvl w:val="0"/>
                <w:numId w:val="31"/>
              </w:numPr>
              <w:spacing w:line="360" w:lineRule="auto"/>
              <w:jc w:val="center"/>
              <w:rPr>
                <w:rFonts w:hint="default" w:ascii="Times New Roman" w:hAnsi="Times New Roman" w:eastAsia="宋体" w:cs="Times New Roman"/>
                <w:b/>
                <w:color w:val="auto"/>
                <w:sz w:val="24"/>
                <w:highlight w:val="none"/>
                <w:lang w:val="zh-CN"/>
              </w:rPr>
            </w:pPr>
            <w:r>
              <w:rPr>
                <w:rFonts w:hint="default" w:ascii="Times New Roman" w:hAnsi="Times New Roman" w:eastAsia="宋体" w:cs="Times New Roman"/>
                <w:b/>
                <w:color w:val="auto"/>
                <w:sz w:val="24"/>
                <w:highlight w:val="none"/>
              </w:rPr>
              <w:t>总量控制指标</w:t>
            </w:r>
          </w:p>
          <w:tbl>
            <w:tblPr>
              <w:tblStyle w:val="24"/>
              <w:tblW w:w="793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1586"/>
              <w:gridCol w:w="1586"/>
              <w:gridCol w:w="1586"/>
              <w:gridCol w:w="1587"/>
            </w:tblGrid>
            <w:tr w14:paraId="4448FF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6" w:type="dxa"/>
                  <w:tcBorders>
                    <w:tl2br w:val="nil"/>
                    <w:tr2bl w:val="nil"/>
                  </w:tcBorders>
                  <w:vAlign w:val="center"/>
                </w:tcPr>
                <w:p w14:paraId="3D5526DC">
                  <w:pPr>
                    <w:adjustRightInd w:val="0"/>
                    <w:snapToGrid w:val="0"/>
                    <w:jc w:val="center"/>
                    <w:rPr>
                      <w:rFonts w:hint="default" w:ascii="Times New Roman" w:hAnsi="Times New Roman" w:eastAsia="宋体" w:cs="Times New Roman"/>
                      <w:b/>
                      <w:bCs/>
                      <w:color w:val="auto"/>
                      <w:szCs w:val="21"/>
                      <w:highlight w:val="none"/>
                      <w:lang w:val="zh-CN"/>
                    </w:rPr>
                  </w:pPr>
                  <w:r>
                    <w:rPr>
                      <w:rFonts w:hint="default" w:ascii="Times New Roman" w:hAnsi="Times New Roman" w:eastAsia="宋体" w:cs="Times New Roman"/>
                      <w:b/>
                      <w:bCs/>
                      <w:color w:val="auto"/>
                      <w:szCs w:val="21"/>
                      <w:highlight w:val="none"/>
                      <w:lang w:val="zh-CN"/>
                    </w:rPr>
                    <w:t>类别</w:t>
                  </w:r>
                </w:p>
              </w:tc>
              <w:tc>
                <w:tcPr>
                  <w:tcW w:w="1586" w:type="dxa"/>
                  <w:tcBorders>
                    <w:tl2br w:val="nil"/>
                    <w:tr2bl w:val="nil"/>
                  </w:tcBorders>
                  <w:vAlign w:val="center"/>
                </w:tcPr>
                <w:p w14:paraId="07E35F9F">
                  <w:pPr>
                    <w:adjustRightInd w:val="0"/>
                    <w:snapToGrid w:val="0"/>
                    <w:jc w:val="center"/>
                    <w:rPr>
                      <w:rFonts w:hint="default" w:ascii="Times New Roman" w:hAnsi="Times New Roman" w:eastAsia="宋体" w:cs="Times New Roman"/>
                      <w:b/>
                      <w:bCs/>
                      <w:color w:val="auto"/>
                      <w:szCs w:val="21"/>
                      <w:highlight w:val="none"/>
                      <w:lang w:val="zh-CN"/>
                    </w:rPr>
                  </w:pPr>
                  <w:r>
                    <w:rPr>
                      <w:rFonts w:hint="default" w:ascii="Times New Roman" w:hAnsi="Times New Roman" w:eastAsia="宋体" w:cs="Times New Roman"/>
                      <w:b/>
                      <w:bCs/>
                      <w:color w:val="auto"/>
                      <w:szCs w:val="21"/>
                      <w:highlight w:val="none"/>
                      <w:lang w:val="zh-CN"/>
                    </w:rPr>
                    <w:t>污染物污染物</w:t>
                  </w:r>
                </w:p>
              </w:tc>
              <w:tc>
                <w:tcPr>
                  <w:tcW w:w="1586" w:type="dxa"/>
                  <w:tcBorders>
                    <w:tl2br w:val="nil"/>
                    <w:tr2bl w:val="nil"/>
                  </w:tcBorders>
                  <w:vAlign w:val="center"/>
                </w:tcPr>
                <w:p w14:paraId="7AE5FAB3">
                  <w:pPr>
                    <w:adjustRightInd w:val="0"/>
                    <w:snapToGrid w:val="0"/>
                    <w:jc w:val="center"/>
                    <w:rPr>
                      <w:rFonts w:hint="default" w:ascii="Times New Roman" w:hAnsi="Times New Roman" w:eastAsia="宋体" w:cs="Times New Roman"/>
                      <w:b/>
                      <w:bCs/>
                      <w:color w:val="auto"/>
                      <w:szCs w:val="21"/>
                      <w:highlight w:val="none"/>
                      <w:lang w:val="zh-CN"/>
                    </w:rPr>
                  </w:pPr>
                  <w:r>
                    <w:rPr>
                      <w:rFonts w:hint="default" w:ascii="Times New Roman" w:hAnsi="Times New Roman" w:eastAsia="宋体" w:cs="Times New Roman"/>
                      <w:b/>
                      <w:bCs/>
                      <w:color w:val="auto"/>
                      <w:szCs w:val="21"/>
                      <w:highlight w:val="none"/>
                      <w:lang w:val="zh-CN"/>
                    </w:rPr>
                    <w:t>排放量（t/a）</w:t>
                  </w:r>
                </w:p>
              </w:tc>
              <w:tc>
                <w:tcPr>
                  <w:tcW w:w="1586" w:type="dxa"/>
                  <w:tcBorders>
                    <w:tl2br w:val="nil"/>
                    <w:tr2bl w:val="nil"/>
                  </w:tcBorders>
                  <w:vAlign w:val="center"/>
                </w:tcPr>
                <w:p w14:paraId="646E4DCC">
                  <w:pPr>
                    <w:adjustRightInd w:val="0"/>
                    <w:snapToGrid w:val="0"/>
                    <w:jc w:val="center"/>
                    <w:rPr>
                      <w:rFonts w:hint="default" w:ascii="Times New Roman" w:hAnsi="Times New Roman" w:eastAsia="宋体" w:cs="Times New Roman"/>
                      <w:b/>
                      <w:bCs/>
                      <w:color w:val="auto"/>
                      <w:szCs w:val="21"/>
                      <w:highlight w:val="none"/>
                      <w:lang w:val="zh-CN"/>
                    </w:rPr>
                  </w:pPr>
                  <w:r>
                    <w:rPr>
                      <w:rFonts w:hint="default" w:ascii="Times New Roman" w:hAnsi="Times New Roman" w:eastAsia="宋体" w:cs="Times New Roman"/>
                      <w:b/>
                      <w:bCs/>
                      <w:color w:val="auto"/>
                      <w:szCs w:val="21"/>
                      <w:highlight w:val="none"/>
                      <w:lang w:val="zh-CN"/>
                    </w:rPr>
                    <w:t>1 倍削减量（t/a）</w:t>
                  </w:r>
                </w:p>
              </w:tc>
              <w:tc>
                <w:tcPr>
                  <w:tcW w:w="1587" w:type="dxa"/>
                  <w:tcBorders>
                    <w:tl2br w:val="nil"/>
                    <w:tr2bl w:val="nil"/>
                  </w:tcBorders>
                  <w:vAlign w:val="center"/>
                </w:tcPr>
                <w:p w14:paraId="5F49494F">
                  <w:pPr>
                    <w:adjustRightInd w:val="0"/>
                    <w:snapToGrid w:val="0"/>
                    <w:jc w:val="center"/>
                    <w:rPr>
                      <w:rFonts w:hint="default" w:ascii="Times New Roman" w:hAnsi="Times New Roman" w:eastAsia="宋体" w:cs="Times New Roman"/>
                      <w:b/>
                      <w:bCs/>
                      <w:color w:val="auto"/>
                      <w:szCs w:val="21"/>
                      <w:highlight w:val="none"/>
                      <w:lang w:val="zh-CN"/>
                    </w:rPr>
                  </w:pPr>
                  <w:r>
                    <w:rPr>
                      <w:rFonts w:hint="default" w:ascii="Times New Roman" w:hAnsi="Times New Roman" w:eastAsia="宋体" w:cs="Times New Roman"/>
                      <w:b/>
                      <w:bCs/>
                      <w:color w:val="auto"/>
                      <w:szCs w:val="21"/>
                      <w:highlight w:val="none"/>
                      <w:lang w:val="zh-CN"/>
                    </w:rPr>
                    <w:t>2 倍削减量（t/a）</w:t>
                  </w:r>
                </w:p>
              </w:tc>
            </w:tr>
            <w:tr w14:paraId="356AAD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6" w:type="dxa"/>
                  <w:vMerge w:val="restart"/>
                  <w:tcBorders>
                    <w:tl2br w:val="nil"/>
                    <w:tr2bl w:val="nil"/>
                  </w:tcBorders>
                  <w:vAlign w:val="center"/>
                </w:tcPr>
                <w:p w14:paraId="528B7563">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废气</w:t>
                  </w:r>
                </w:p>
              </w:tc>
              <w:tc>
                <w:tcPr>
                  <w:tcW w:w="1586" w:type="dxa"/>
                  <w:tcBorders>
                    <w:tl2br w:val="nil"/>
                    <w:tr2bl w:val="nil"/>
                  </w:tcBorders>
                  <w:vAlign w:val="center"/>
                </w:tcPr>
                <w:p w14:paraId="068A3AE2">
                  <w:pPr>
                    <w:adjustRightInd w:val="0"/>
                    <w:snapToGrid w:val="0"/>
                    <w:jc w:val="center"/>
                    <w:rPr>
                      <w:rFonts w:hint="default" w:ascii="Times New Roman" w:hAnsi="Times New Roman" w:eastAsia="宋体" w:cs="Times New Roman"/>
                      <w:bCs/>
                      <w:color w:val="auto"/>
                      <w:szCs w:val="21"/>
                      <w:highlight w:val="none"/>
                      <w:lang w:val="zh-CN" w:eastAsia="zh-CN"/>
                    </w:rPr>
                  </w:pPr>
                  <w:r>
                    <w:rPr>
                      <w:rFonts w:hint="default" w:ascii="Times New Roman" w:hAnsi="Times New Roman" w:eastAsia="宋体" w:cs="Times New Roman"/>
                      <w:bCs/>
                      <w:color w:val="auto"/>
                      <w:szCs w:val="21"/>
                      <w:highlight w:val="none"/>
                      <w:lang w:val="en-US" w:eastAsia="zh-CN"/>
                    </w:rPr>
                    <w:t>挥发性有机物</w:t>
                  </w:r>
                </w:p>
              </w:tc>
              <w:tc>
                <w:tcPr>
                  <w:tcW w:w="1586" w:type="dxa"/>
                  <w:tcBorders>
                    <w:tl2br w:val="nil"/>
                    <w:tr2bl w:val="nil"/>
                  </w:tcBorders>
                  <w:shd w:val="clear" w:color="auto" w:fill="auto"/>
                  <w:vAlign w:val="center"/>
                </w:tcPr>
                <w:p w14:paraId="387705A2">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0.00</w:t>
                  </w:r>
                  <w:r>
                    <w:rPr>
                      <w:rFonts w:hint="eastAsia" w:cs="Times New Roman"/>
                      <w:bCs/>
                      <w:color w:val="auto"/>
                      <w:szCs w:val="21"/>
                      <w:highlight w:val="none"/>
                      <w:lang w:val="en-US" w:eastAsia="zh-CN"/>
                    </w:rPr>
                    <w:t>43</w:t>
                  </w:r>
                </w:p>
              </w:tc>
              <w:tc>
                <w:tcPr>
                  <w:tcW w:w="1586" w:type="dxa"/>
                  <w:tcBorders>
                    <w:tl2br w:val="nil"/>
                    <w:tr2bl w:val="nil"/>
                  </w:tcBorders>
                  <w:vAlign w:val="center"/>
                </w:tcPr>
                <w:p w14:paraId="0BB21D4B">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w:t>
                  </w:r>
                </w:p>
              </w:tc>
              <w:tc>
                <w:tcPr>
                  <w:tcW w:w="1587" w:type="dxa"/>
                  <w:tcBorders>
                    <w:tl2br w:val="nil"/>
                    <w:tr2bl w:val="nil"/>
                  </w:tcBorders>
                  <w:vAlign w:val="center"/>
                </w:tcPr>
                <w:p w14:paraId="0B748032">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0.0</w:t>
                  </w:r>
                  <w:r>
                    <w:rPr>
                      <w:rFonts w:hint="eastAsia" w:cs="Times New Roman"/>
                      <w:bCs/>
                      <w:color w:val="auto"/>
                      <w:szCs w:val="21"/>
                      <w:highlight w:val="none"/>
                      <w:lang w:val="en-US" w:eastAsia="zh-CN"/>
                    </w:rPr>
                    <w:t>086</w:t>
                  </w:r>
                </w:p>
              </w:tc>
            </w:tr>
            <w:tr w14:paraId="433467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6" w:type="dxa"/>
                  <w:vMerge w:val="continue"/>
                  <w:tcBorders>
                    <w:tl2br w:val="nil"/>
                    <w:tr2bl w:val="nil"/>
                  </w:tcBorders>
                  <w:vAlign w:val="center"/>
                </w:tcPr>
                <w:p w14:paraId="7AB6BC86">
                  <w:pPr>
                    <w:adjustRightInd w:val="0"/>
                    <w:snapToGrid w:val="0"/>
                    <w:jc w:val="center"/>
                    <w:rPr>
                      <w:rFonts w:hint="default" w:ascii="Times New Roman" w:hAnsi="Times New Roman" w:eastAsia="宋体" w:cs="Times New Roman"/>
                      <w:bCs/>
                      <w:color w:val="auto"/>
                      <w:szCs w:val="21"/>
                      <w:highlight w:val="none"/>
                      <w:lang w:val="en-US" w:eastAsia="zh-CN"/>
                    </w:rPr>
                  </w:pPr>
                </w:p>
              </w:tc>
              <w:tc>
                <w:tcPr>
                  <w:tcW w:w="1586" w:type="dxa"/>
                  <w:tcBorders>
                    <w:tl2br w:val="nil"/>
                    <w:tr2bl w:val="nil"/>
                  </w:tcBorders>
                  <w:vAlign w:val="center"/>
                </w:tcPr>
                <w:p w14:paraId="2AB60C5E">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氮氧化物</w:t>
                  </w:r>
                </w:p>
              </w:tc>
              <w:tc>
                <w:tcPr>
                  <w:tcW w:w="1586" w:type="dxa"/>
                  <w:tcBorders>
                    <w:tl2br w:val="nil"/>
                    <w:tr2bl w:val="nil"/>
                  </w:tcBorders>
                  <w:shd w:val="clear" w:color="auto" w:fill="auto"/>
                  <w:vAlign w:val="center"/>
                </w:tcPr>
                <w:p w14:paraId="506853CB">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0.00025</w:t>
                  </w:r>
                </w:p>
              </w:tc>
              <w:tc>
                <w:tcPr>
                  <w:tcW w:w="1586" w:type="dxa"/>
                  <w:tcBorders>
                    <w:tl2br w:val="nil"/>
                    <w:tr2bl w:val="nil"/>
                  </w:tcBorders>
                  <w:vAlign w:val="center"/>
                </w:tcPr>
                <w:p w14:paraId="159180F4">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w:t>
                  </w:r>
                </w:p>
              </w:tc>
              <w:tc>
                <w:tcPr>
                  <w:tcW w:w="1587" w:type="dxa"/>
                  <w:tcBorders>
                    <w:tl2br w:val="nil"/>
                    <w:tr2bl w:val="nil"/>
                  </w:tcBorders>
                  <w:vAlign w:val="center"/>
                </w:tcPr>
                <w:p w14:paraId="7CF1EB8B">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0.0005</w:t>
                  </w:r>
                </w:p>
              </w:tc>
            </w:tr>
            <w:tr w14:paraId="734BAD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6" w:type="dxa"/>
                  <w:vMerge w:val="restart"/>
                  <w:tcBorders>
                    <w:tl2br w:val="nil"/>
                    <w:tr2bl w:val="nil"/>
                  </w:tcBorders>
                  <w:vAlign w:val="center"/>
                </w:tcPr>
                <w:p w14:paraId="412D6D65">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废水</w:t>
                  </w:r>
                </w:p>
              </w:tc>
              <w:tc>
                <w:tcPr>
                  <w:tcW w:w="1586" w:type="dxa"/>
                  <w:tcBorders>
                    <w:tl2br w:val="nil"/>
                    <w:tr2bl w:val="nil"/>
                  </w:tcBorders>
                  <w:shd w:val="clear" w:color="auto" w:fill="auto"/>
                  <w:vAlign w:val="center"/>
                </w:tcPr>
                <w:p w14:paraId="413A98C4">
                  <w:pPr>
                    <w:adjustRightInd w:val="0"/>
                    <w:snapToGrid w:val="0"/>
                    <w:jc w:val="center"/>
                    <w:rPr>
                      <w:rFonts w:hint="default" w:ascii="Times New Roman" w:hAnsi="Times New Roman" w:eastAsia="宋体" w:cs="Times New Roman"/>
                      <w:bCs/>
                      <w:color w:val="auto"/>
                      <w:szCs w:val="21"/>
                      <w:highlight w:val="none"/>
                      <w:lang w:val="zh-CN" w:eastAsia="zh-CN"/>
                    </w:rPr>
                  </w:pPr>
                  <w:r>
                    <w:rPr>
                      <w:rFonts w:hint="default" w:ascii="Times New Roman" w:hAnsi="Times New Roman" w:eastAsia="宋体" w:cs="Times New Roman"/>
                      <w:bCs/>
                      <w:color w:val="auto"/>
                      <w:szCs w:val="21"/>
                      <w:highlight w:val="none"/>
                    </w:rPr>
                    <w:t>COD</w:t>
                  </w:r>
                  <w:r>
                    <w:rPr>
                      <w:rFonts w:hint="default" w:ascii="Times New Roman" w:hAnsi="Times New Roman" w:eastAsia="宋体" w:cs="Times New Roman"/>
                      <w:bCs/>
                      <w:color w:val="auto"/>
                      <w:szCs w:val="21"/>
                      <w:highlight w:val="none"/>
                      <w:vertAlign w:val="subscript"/>
                    </w:rPr>
                    <w:t>Cr</w:t>
                  </w:r>
                </w:p>
              </w:tc>
              <w:tc>
                <w:tcPr>
                  <w:tcW w:w="1586" w:type="dxa"/>
                  <w:tcBorders>
                    <w:tl2br w:val="nil"/>
                    <w:tr2bl w:val="nil"/>
                  </w:tcBorders>
                  <w:shd w:val="clear" w:color="auto" w:fill="auto"/>
                  <w:vAlign w:val="center"/>
                </w:tcPr>
                <w:p w14:paraId="458B1B31">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0.1257</w:t>
                  </w:r>
                </w:p>
              </w:tc>
              <w:tc>
                <w:tcPr>
                  <w:tcW w:w="1586" w:type="dxa"/>
                  <w:tcBorders>
                    <w:tl2br w:val="nil"/>
                    <w:tr2bl w:val="nil"/>
                  </w:tcBorders>
                  <w:shd w:val="clear" w:color="auto" w:fill="auto"/>
                  <w:vAlign w:val="center"/>
                </w:tcPr>
                <w:p w14:paraId="7DD535D1">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0.1257</w:t>
                  </w:r>
                </w:p>
              </w:tc>
              <w:tc>
                <w:tcPr>
                  <w:tcW w:w="1587" w:type="dxa"/>
                  <w:tcBorders>
                    <w:tl2br w:val="nil"/>
                    <w:tr2bl w:val="nil"/>
                  </w:tcBorders>
                  <w:vAlign w:val="center"/>
                </w:tcPr>
                <w:p w14:paraId="4CA91B2C">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w:t>
                  </w:r>
                </w:p>
              </w:tc>
            </w:tr>
            <w:tr w14:paraId="0790BA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6" w:type="dxa"/>
                  <w:vMerge w:val="continue"/>
                  <w:tcBorders>
                    <w:tl2br w:val="nil"/>
                    <w:tr2bl w:val="nil"/>
                  </w:tcBorders>
                  <w:vAlign w:val="center"/>
                </w:tcPr>
                <w:p w14:paraId="4E52BC72">
                  <w:pPr>
                    <w:adjustRightInd w:val="0"/>
                    <w:snapToGrid w:val="0"/>
                    <w:jc w:val="center"/>
                    <w:rPr>
                      <w:rFonts w:hint="default" w:ascii="Times New Roman" w:hAnsi="Times New Roman" w:eastAsia="宋体" w:cs="Times New Roman"/>
                      <w:bCs/>
                      <w:color w:val="auto"/>
                      <w:szCs w:val="21"/>
                      <w:highlight w:val="none"/>
                      <w:lang w:val="zh-CN"/>
                    </w:rPr>
                  </w:pPr>
                </w:p>
              </w:tc>
              <w:tc>
                <w:tcPr>
                  <w:tcW w:w="1586" w:type="dxa"/>
                  <w:tcBorders>
                    <w:tl2br w:val="nil"/>
                    <w:tr2bl w:val="nil"/>
                  </w:tcBorders>
                  <w:shd w:val="clear" w:color="auto" w:fill="auto"/>
                  <w:vAlign w:val="center"/>
                </w:tcPr>
                <w:p w14:paraId="08491448">
                  <w:pPr>
                    <w:adjustRightInd w:val="0"/>
                    <w:snapToGrid w:val="0"/>
                    <w:jc w:val="center"/>
                    <w:rPr>
                      <w:rFonts w:hint="default" w:ascii="Times New Roman" w:hAnsi="Times New Roman" w:eastAsia="宋体" w:cs="Times New Roman"/>
                      <w:bCs/>
                      <w:color w:val="auto"/>
                      <w:szCs w:val="21"/>
                      <w:highlight w:val="none"/>
                      <w:lang w:val="zh-CN" w:eastAsia="zh-CN"/>
                    </w:rPr>
                  </w:pPr>
                  <w:r>
                    <w:rPr>
                      <w:rFonts w:hint="default" w:ascii="Times New Roman" w:hAnsi="Times New Roman" w:eastAsia="宋体" w:cs="Times New Roman"/>
                      <w:bCs/>
                      <w:color w:val="auto"/>
                      <w:szCs w:val="21"/>
                      <w:highlight w:val="none"/>
                    </w:rPr>
                    <w:t>NH</w:t>
                  </w:r>
                  <w:r>
                    <w:rPr>
                      <w:rFonts w:hint="default" w:ascii="Times New Roman" w:hAnsi="Times New Roman" w:eastAsia="宋体" w:cs="Times New Roman"/>
                      <w:bCs/>
                      <w:color w:val="auto"/>
                      <w:szCs w:val="21"/>
                      <w:highlight w:val="none"/>
                      <w:vertAlign w:val="subscript"/>
                    </w:rPr>
                    <w:t>3</w:t>
                  </w:r>
                  <w:r>
                    <w:rPr>
                      <w:rFonts w:hint="default" w:ascii="Times New Roman" w:hAnsi="Times New Roman" w:eastAsia="宋体" w:cs="Times New Roman"/>
                      <w:bCs/>
                      <w:color w:val="auto"/>
                      <w:szCs w:val="21"/>
                      <w:highlight w:val="none"/>
                    </w:rPr>
                    <w:t>-N</w:t>
                  </w:r>
                </w:p>
              </w:tc>
              <w:tc>
                <w:tcPr>
                  <w:tcW w:w="1586" w:type="dxa"/>
                  <w:tcBorders>
                    <w:tl2br w:val="nil"/>
                    <w:tr2bl w:val="nil"/>
                  </w:tcBorders>
                  <w:shd w:val="clear" w:color="auto" w:fill="auto"/>
                  <w:vAlign w:val="center"/>
                </w:tcPr>
                <w:p w14:paraId="0F7FC21B">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0.0128</w:t>
                  </w:r>
                </w:p>
              </w:tc>
              <w:tc>
                <w:tcPr>
                  <w:tcW w:w="1586" w:type="dxa"/>
                  <w:tcBorders>
                    <w:tl2br w:val="nil"/>
                    <w:tr2bl w:val="nil"/>
                  </w:tcBorders>
                  <w:shd w:val="clear" w:color="auto" w:fill="auto"/>
                  <w:vAlign w:val="center"/>
                </w:tcPr>
                <w:p w14:paraId="0A1D553C">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0.0128</w:t>
                  </w:r>
                </w:p>
              </w:tc>
              <w:tc>
                <w:tcPr>
                  <w:tcW w:w="1587" w:type="dxa"/>
                  <w:tcBorders>
                    <w:tl2br w:val="nil"/>
                    <w:tr2bl w:val="nil"/>
                  </w:tcBorders>
                  <w:vAlign w:val="center"/>
                </w:tcPr>
                <w:p w14:paraId="6C8C4D95">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w:t>
                  </w:r>
                </w:p>
              </w:tc>
            </w:tr>
          </w:tbl>
          <w:p w14:paraId="39F77801">
            <w:pPr>
              <w:adjustRightInd w:val="0"/>
              <w:spacing w:line="360" w:lineRule="auto"/>
              <w:rPr>
                <w:rFonts w:hint="default" w:ascii="Times New Roman" w:hAnsi="Times New Roman" w:eastAsia="宋体" w:cs="Times New Roman"/>
                <w:bCs/>
                <w:color w:val="auto"/>
                <w:sz w:val="24"/>
                <w:highlight w:val="none"/>
              </w:rPr>
            </w:pPr>
          </w:p>
        </w:tc>
      </w:tr>
    </w:tbl>
    <w:p w14:paraId="051E42BE">
      <w:pPr>
        <w:widowControl/>
        <w:jc w:val="left"/>
        <w:rPr>
          <w:rFonts w:hint="default" w:ascii="Times New Roman" w:hAnsi="Times New Roman" w:eastAsia="宋体" w:cs="Times New Roman"/>
          <w:color w:val="auto"/>
          <w:sz w:val="24"/>
          <w:szCs w:val="32"/>
          <w:highlight w:val="none"/>
        </w:rPr>
      </w:pPr>
    </w:p>
    <w:p w14:paraId="155EF4A4">
      <w:pPr>
        <w:widowControl/>
        <w:jc w:val="left"/>
        <w:rPr>
          <w:rFonts w:hint="default" w:ascii="Times New Roman" w:hAnsi="Times New Roman" w:eastAsia="宋体" w:cs="Times New Roman"/>
          <w:color w:val="auto"/>
          <w:sz w:val="24"/>
          <w:szCs w:val="32"/>
          <w:highlight w:val="none"/>
        </w:rPr>
      </w:pPr>
    </w:p>
    <w:p w14:paraId="7AFB9AC4">
      <w:pPr>
        <w:widowControl/>
        <w:jc w:val="left"/>
        <w:rPr>
          <w:rFonts w:hint="default" w:ascii="Times New Roman" w:hAnsi="Times New Roman" w:eastAsia="宋体" w:cs="Times New Roman"/>
          <w:color w:val="auto"/>
          <w:sz w:val="24"/>
          <w:szCs w:val="32"/>
          <w:highlight w:val="none"/>
        </w:rPr>
      </w:pPr>
    </w:p>
    <w:p w14:paraId="46111887">
      <w:pPr>
        <w:widowControl/>
        <w:jc w:val="left"/>
        <w:rPr>
          <w:rFonts w:hint="default" w:ascii="Times New Roman" w:hAnsi="Times New Roman" w:eastAsia="宋体" w:cs="Times New Roman"/>
          <w:color w:val="auto"/>
          <w:sz w:val="24"/>
          <w:szCs w:val="32"/>
          <w:highlight w:val="none"/>
        </w:rPr>
      </w:pPr>
    </w:p>
    <w:p w14:paraId="6D9A0337">
      <w:pPr>
        <w:widowControl/>
        <w:jc w:val="left"/>
        <w:rPr>
          <w:rFonts w:hint="default" w:ascii="Times New Roman" w:hAnsi="Times New Roman" w:eastAsia="宋体" w:cs="Times New Roman"/>
          <w:color w:val="auto"/>
          <w:sz w:val="24"/>
          <w:szCs w:val="32"/>
          <w:highlight w:val="none"/>
        </w:rPr>
      </w:pPr>
    </w:p>
    <w:p w14:paraId="597D330B">
      <w:pPr>
        <w:widowControl/>
        <w:jc w:val="left"/>
        <w:rPr>
          <w:rFonts w:hint="default" w:ascii="Times New Roman" w:hAnsi="Times New Roman" w:eastAsia="宋体" w:cs="Times New Roman"/>
          <w:color w:val="auto"/>
          <w:sz w:val="24"/>
          <w:szCs w:val="32"/>
          <w:highlight w:val="none"/>
        </w:rPr>
      </w:pPr>
    </w:p>
    <w:p w14:paraId="0CC0A741">
      <w:pPr>
        <w:widowControl/>
        <w:jc w:val="left"/>
        <w:rPr>
          <w:rFonts w:hint="default" w:ascii="Times New Roman" w:hAnsi="Times New Roman" w:eastAsia="宋体" w:cs="Times New Roman"/>
          <w:color w:val="auto"/>
          <w:sz w:val="24"/>
          <w:szCs w:val="32"/>
          <w:highlight w:val="none"/>
        </w:rPr>
      </w:pPr>
    </w:p>
    <w:p w14:paraId="547C08FC">
      <w:pPr>
        <w:widowControl/>
        <w:jc w:val="left"/>
        <w:rPr>
          <w:rFonts w:hint="default" w:ascii="Times New Roman" w:hAnsi="Times New Roman" w:eastAsia="宋体" w:cs="Times New Roman"/>
          <w:color w:val="auto"/>
          <w:sz w:val="24"/>
          <w:szCs w:val="32"/>
          <w:highlight w:val="none"/>
        </w:rPr>
      </w:pPr>
    </w:p>
    <w:p w14:paraId="67AD1E13">
      <w:pPr>
        <w:widowControl/>
        <w:jc w:val="left"/>
        <w:rPr>
          <w:rFonts w:hint="default" w:ascii="Times New Roman" w:hAnsi="Times New Roman" w:eastAsia="宋体" w:cs="Times New Roman"/>
          <w:color w:val="auto"/>
          <w:sz w:val="24"/>
          <w:szCs w:val="32"/>
          <w:highlight w:val="none"/>
        </w:rPr>
      </w:pPr>
    </w:p>
    <w:p w14:paraId="03A7E1A3">
      <w:pPr>
        <w:widowControl/>
        <w:jc w:val="left"/>
        <w:rPr>
          <w:rFonts w:hint="default" w:ascii="Times New Roman" w:hAnsi="Times New Roman" w:eastAsia="宋体" w:cs="Times New Roman"/>
          <w:color w:val="auto"/>
          <w:sz w:val="24"/>
          <w:szCs w:val="32"/>
          <w:highlight w:val="none"/>
        </w:rPr>
      </w:pPr>
    </w:p>
    <w:p w14:paraId="37DBCE69">
      <w:pPr>
        <w:widowControl/>
        <w:jc w:val="left"/>
        <w:rPr>
          <w:rFonts w:hint="default" w:ascii="Times New Roman" w:hAnsi="Times New Roman" w:eastAsia="宋体" w:cs="Times New Roman"/>
          <w:color w:val="auto"/>
          <w:sz w:val="24"/>
          <w:szCs w:val="32"/>
          <w:highlight w:val="none"/>
        </w:rPr>
      </w:pPr>
    </w:p>
    <w:p w14:paraId="5390E09F">
      <w:pPr>
        <w:widowControl/>
        <w:jc w:val="left"/>
        <w:rPr>
          <w:rFonts w:hint="default" w:ascii="Times New Roman" w:hAnsi="Times New Roman" w:eastAsia="宋体" w:cs="Times New Roman"/>
          <w:color w:val="auto"/>
          <w:sz w:val="24"/>
          <w:szCs w:val="32"/>
          <w:highlight w:val="none"/>
        </w:rPr>
      </w:pPr>
    </w:p>
    <w:p w14:paraId="05ADF59A">
      <w:pPr>
        <w:widowControl/>
        <w:jc w:val="left"/>
        <w:rPr>
          <w:rFonts w:hint="default" w:ascii="Times New Roman" w:hAnsi="Times New Roman" w:eastAsia="宋体" w:cs="Times New Roman"/>
          <w:color w:val="auto"/>
          <w:sz w:val="24"/>
          <w:szCs w:val="32"/>
          <w:highlight w:val="none"/>
        </w:rPr>
      </w:pPr>
    </w:p>
    <w:p w14:paraId="5CF7040A">
      <w:pPr>
        <w:widowControl/>
        <w:jc w:val="left"/>
        <w:rPr>
          <w:rFonts w:hint="default" w:ascii="Times New Roman" w:hAnsi="Times New Roman" w:eastAsia="宋体" w:cs="Times New Roman"/>
          <w:color w:val="auto"/>
          <w:sz w:val="24"/>
          <w:szCs w:val="32"/>
          <w:highlight w:val="none"/>
        </w:rPr>
      </w:pPr>
    </w:p>
    <w:p w14:paraId="176FE58E">
      <w:pPr>
        <w:widowControl/>
        <w:jc w:val="left"/>
        <w:rPr>
          <w:rFonts w:hint="default" w:ascii="Times New Roman" w:hAnsi="Times New Roman" w:eastAsia="宋体" w:cs="Times New Roman"/>
          <w:color w:val="auto"/>
          <w:sz w:val="24"/>
          <w:szCs w:val="32"/>
          <w:highlight w:val="none"/>
        </w:rPr>
      </w:pPr>
    </w:p>
    <w:p w14:paraId="4F308EE3">
      <w:pPr>
        <w:widowControl/>
        <w:jc w:val="left"/>
        <w:rPr>
          <w:rFonts w:hint="default" w:ascii="Times New Roman" w:hAnsi="Times New Roman" w:eastAsia="宋体" w:cs="Times New Roman"/>
          <w:color w:val="auto"/>
          <w:sz w:val="24"/>
          <w:szCs w:val="32"/>
          <w:highlight w:val="none"/>
        </w:rPr>
      </w:pPr>
    </w:p>
    <w:p w14:paraId="1B334AAE">
      <w:pPr>
        <w:widowControl/>
        <w:jc w:val="left"/>
        <w:rPr>
          <w:rFonts w:hint="default" w:ascii="Times New Roman" w:hAnsi="Times New Roman" w:eastAsia="宋体" w:cs="Times New Roman"/>
          <w:color w:val="auto"/>
          <w:sz w:val="24"/>
          <w:szCs w:val="32"/>
          <w:highlight w:val="none"/>
        </w:rPr>
      </w:pPr>
    </w:p>
    <w:p w14:paraId="41AAE258">
      <w:pPr>
        <w:widowControl/>
        <w:jc w:val="left"/>
        <w:rPr>
          <w:rFonts w:hint="default" w:ascii="Times New Roman" w:hAnsi="Times New Roman" w:eastAsia="宋体" w:cs="Times New Roman"/>
          <w:color w:val="auto"/>
          <w:sz w:val="24"/>
          <w:szCs w:val="32"/>
          <w:highlight w:val="none"/>
        </w:rPr>
      </w:pPr>
    </w:p>
    <w:p w14:paraId="4E1D17E2">
      <w:pPr>
        <w:widowControl/>
        <w:jc w:val="left"/>
        <w:rPr>
          <w:rFonts w:hint="default" w:ascii="Times New Roman" w:hAnsi="Times New Roman" w:eastAsia="宋体" w:cs="Times New Roman"/>
          <w:color w:val="auto"/>
          <w:sz w:val="24"/>
          <w:szCs w:val="32"/>
          <w:highlight w:val="none"/>
        </w:rPr>
      </w:pPr>
    </w:p>
    <w:p w14:paraId="7D27A406">
      <w:pPr>
        <w:widowControl/>
        <w:jc w:val="left"/>
        <w:rPr>
          <w:rFonts w:hint="default" w:ascii="Times New Roman" w:hAnsi="Times New Roman" w:eastAsia="宋体" w:cs="Times New Roman"/>
          <w:color w:val="auto"/>
          <w:sz w:val="24"/>
          <w:szCs w:val="32"/>
          <w:highlight w:val="none"/>
        </w:rPr>
      </w:pPr>
    </w:p>
    <w:p w14:paraId="12286EB7">
      <w:pPr>
        <w:widowControl/>
        <w:jc w:val="left"/>
        <w:rPr>
          <w:rFonts w:hint="default" w:ascii="Times New Roman" w:hAnsi="Times New Roman" w:eastAsia="宋体" w:cs="Times New Roman"/>
          <w:color w:val="auto"/>
          <w:sz w:val="24"/>
          <w:szCs w:val="32"/>
          <w:highlight w:val="none"/>
        </w:rPr>
      </w:pPr>
    </w:p>
    <w:p w14:paraId="1E67A897">
      <w:pPr>
        <w:widowControl/>
        <w:jc w:val="left"/>
        <w:rPr>
          <w:rFonts w:hint="default" w:ascii="Times New Roman" w:hAnsi="Times New Roman" w:eastAsia="宋体" w:cs="Times New Roman"/>
          <w:color w:val="auto"/>
          <w:sz w:val="24"/>
          <w:szCs w:val="32"/>
          <w:highlight w:val="none"/>
        </w:rPr>
      </w:pPr>
    </w:p>
    <w:p w14:paraId="3EEA1B78">
      <w:pPr>
        <w:widowControl/>
        <w:jc w:val="left"/>
        <w:rPr>
          <w:rFonts w:hint="default" w:ascii="Times New Roman" w:hAnsi="Times New Roman" w:eastAsia="宋体" w:cs="Times New Roman"/>
          <w:color w:val="auto"/>
          <w:sz w:val="24"/>
          <w:szCs w:val="32"/>
          <w:highlight w:val="none"/>
        </w:rPr>
      </w:pPr>
    </w:p>
    <w:p w14:paraId="04693ABF">
      <w:pPr>
        <w:widowControl/>
        <w:jc w:val="left"/>
        <w:rPr>
          <w:rFonts w:hint="default" w:ascii="Times New Roman" w:hAnsi="Times New Roman" w:eastAsia="宋体" w:cs="Times New Roman"/>
          <w:color w:val="auto"/>
          <w:sz w:val="24"/>
          <w:szCs w:val="32"/>
          <w:highlight w:val="none"/>
        </w:rPr>
      </w:pPr>
    </w:p>
    <w:p w14:paraId="0058229D">
      <w:pPr>
        <w:widowControl/>
        <w:jc w:val="left"/>
        <w:rPr>
          <w:rFonts w:hint="default" w:ascii="Times New Roman" w:hAnsi="Times New Roman" w:eastAsia="宋体" w:cs="Times New Roman"/>
          <w:color w:val="auto"/>
          <w:sz w:val="24"/>
          <w:szCs w:val="32"/>
          <w:highlight w:val="none"/>
        </w:rPr>
      </w:pPr>
    </w:p>
    <w:p w14:paraId="5A46FD6A">
      <w:pPr>
        <w:widowControl/>
        <w:jc w:val="left"/>
        <w:rPr>
          <w:rFonts w:hint="default" w:ascii="Times New Roman" w:hAnsi="Times New Roman" w:eastAsia="宋体" w:cs="Times New Roman"/>
          <w:color w:val="auto"/>
          <w:sz w:val="24"/>
          <w:szCs w:val="32"/>
          <w:highlight w:val="none"/>
        </w:rPr>
      </w:pPr>
    </w:p>
    <w:p w14:paraId="74F31CFB">
      <w:pPr>
        <w:pStyle w:val="2"/>
        <w:jc w:val="center"/>
        <w:rPr>
          <w:rFonts w:hint="default" w:ascii="Times New Roman" w:hAnsi="Times New Roman" w:eastAsia="宋体" w:cs="Times New Roman"/>
          <w:b w:val="0"/>
          <w:bCs w:val="0"/>
          <w:color w:val="auto"/>
          <w:sz w:val="36"/>
          <w:szCs w:val="36"/>
          <w:highlight w:val="none"/>
        </w:rPr>
      </w:pPr>
      <w:r>
        <w:rPr>
          <w:rFonts w:hint="default" w:ascii="Times New Roman" w:hAnsi="Times New Roman" w:eastAsia="宋体" w:cs="Times New Roman"/>
          <w:b w:val="0"/>
          <w:bCs w:val="0"/>
          <w:color w:val="auto"/>
          <w:sz w:val="36"/>
          <w:szCs w:val="36"/>
          <w:highlight w:val="none"/>
        </w:rPr>
        <w:t>四、主要环境影响和保护措施</w:t>
      </w:r>
    </w:p>
    <w:tbl>
      <w:tblPr>
        <w:tblStyle w:val="23"/>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7784"/>
      </w:tblGrid>
      <w:tr w14:paraId="46634F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tcMar>
              <w:left w:w="28" w:type="dxa"/>
              <w:right w:w="28" w:type="dxa"/>
            </w:tcMar>
            <w:vAlign w:val="center"/>
          </w:tcPr>
          <w:p w14:paraId="2DABBE99">
            <w:pPr>
              <w:widowControl/>
              <w:adjustRightInd w:val="0"/>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highlight w:val="none"/>
              </w:rPr>
              <w:t>施工期环境保护措施</w:t>
            </w:r>
          </w:p>
        </w:tc>
        <w:tc>
          <w:tcPr>
            <w:tcW w:w="7784" w:type="dxa"/>
            <w:vAlign w:val="center"/>
          </w:tcPr>
          <w:p w14:paraId="30BBBF56">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本项目</w:t>
            </w:r>
            <w:r>
              <w:rPr>
                <w:rFonts w:hint="eastAsia" w:cs="Times New Roman"/>
                <w:color w:val="auto"/>
                <w:kern w:val="0"/>
                <w:sz w:val="24"/>
                <w:highlight w:val="none"/>
                <w:lang w:val="en-US" w:eastAsia="zh-CN"/>
              </w:rPr>
              <w:t>为新建项目，新租用园区闲置的现有建筑进行装修建设，</w:t>
            </w:r>
            <w:r>
              <w:rPr>
                <w:rFonts w:hint="default" w:cs="Times New Roman"/>
                <w:color w:val="auto"/>
                <w:kern w:val="0"/>
                <w:sz w:val="24"/>
                <w:highlight w:val="none"/>
                <w:lang w:val="en-US" w:eastAsia="zh-CN"/>
              </w:rPr>
              <w:t>施工期无土石方施工，仅室内装修</w:t>
            </w:r>
            <w:r>
              <w:rPr>
                <w:rFonts w:hint="eastAsia" w:cs="Times New Roman"/>
                <w:color w:val="auto"/>
                <w:kern w:val="0"/>
                <w:sz w:val="24"/>
                <w:highlight w:val="none"/>
                <w:lang w:val="en-US" w:eastAsia="zh-CN"/>
              </w:rPr>
              <w:t>(</w:t>
            </w:r>
            <w:r>
              <w:rPr>
                <w:rFonts w:hint="default" w:cs="Times New Roman"/>
                <w:color w:val="auto"/>
                <w:kern w:val="0"/>
                <w:sz w:val="24"/>
                <w:highlight w:val="none"/>
                <w:lang w:val="en-US" w:eastAsia="zh-CN"/>
              </w:rPr>
              <w:t>如内墙表面粉刷、设备安装</w:t>
            </w:r>
            <w:r>
              <w:rPr>
                <w:rFonts w:hint="default" w:ascii="Times New Roman" w:hAnsi="Times New Roman" w:eastAsia="宋体" w:cs="Times New Roman"/>
                <w:color w:val="auto"/>
                <w:kern w:val="0"/>
                <w:sz w:val="24"/>
                <w:highlight w:val="none"/>
              </w:rPr>
              <w:t>等</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rPr>
              <w:t>。主要污染物为施工扬尘，施工人员生活污水，施工噪声，施工固体废物</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装修垃圾、生活垃圾等</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w:t>
            </w:r>
          </w:p>
          <w:p w14:paraId="2DA81239">
            <w:pPr>
              <w:numPr>
                <w:ilvl w:val="0"/>
                <w:numId w:val="37"/>
              </w:num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废气：扬尘主要产生在装修施工期间的各种作业，其产生量与天气、温度、施工队文明程度和管理水平等因素有关，其排放量较难定量估算。但鉴于装修施工主要在室内，因此施工时只要加强管理，采取一些必要措施，如采取及时清除建筑装修垃圾、做好洒水抑尘、关闭门窗施工等办法可有效降低扬尘浓度。油漆粉刷时产生的少量挥发性有机气体，影响范围局限在室内，对外环境影响较小。通过加强通风、选用优质的低污染油漆和涂料等措施可有效减小施工废气对周围环境的影响。</w:t>
            </w:r>
          </w:p>
          <w:p w14:paraId="23CFCF3A">
            <w:pPr>
              <w:numPr>
                <w:ilvl w:val="0"/>
                <w:numId w:val="37"/>
              </w:num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废水：本项目施工期不设施工营地，食宿自行解决，故施工期产生的废水主要为生活污水，生活污水主要依托园区的化粪池进行处理。故施工期产生的废水不会对周围环境的影响。</w:t>
            </w:r>
          </w:p>
          <w:p w14:paraId="764DB896">
            <w:pPr>
              <w:numPr>
                <w:ilvl w:val="0"/>
                <w:numId w:val="37"/>
              </w:num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噪声：施工期间噪声主要来自项目内部装修和设备安装过程中使用的电钻、木工设备和空气压缩机等设备。施工阶段应采取如下措施：按规定操作机械设备，遵守作业规定，减少人为机械碰撞噪声；规划施工方案，尽量避免高噪声机械设备同时使用；施工时间应安排在白天，禁止夜间装修扰民；建设单位及装修施工单位应配备必要的专职或兼职环保监管人员，负责监督装修施工过程中噪声防治措施的落实情况。采取上述措施后，施工期噪声对区域声环境影响较小。</w:t>
            </w:r>
          </w:p>
          <w:p w14:paraId="1EAF4E80">
            <w:pPr>
              <w:numPr>
                <w:ilvl w:val="0"/>
                <w:numId w:val="37"/>
              </w:num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rPr>
              <w:t>固体废物：施工期固体废物主要为施工人员生活垃圾、施工渣土及损坏或浪费的各种建筑装修材料。该项目施工期产生的固体废物将会对其周边环境产生一定的影响，因此，对于施工中固体废物应集中堆放、及时清运，外运到环卫部门指定地点，防止露天长期堆放可能产生的二次污染；对于可回收废料应尽量由施工单位回收利用。综上所述，本项目施工期工程量不大，时间较短，施工完成后对周边环境的影响即可消除。建设单位在施工过程中必须严格按照《北京市建设工程施工现场环境保护标准》(京建施[2003]3 号)和《北京市建设工程施工现场管理办法》(2013 年市政府令第 247 号)对施工现场进行管理，以尽量降低施工过程对周围环境的影响。</w:t>
            </w:r>
          </w:p>
        </w:tc>
      </w:tr>
      <w:tr w14:paraId="64965E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6" w:hRule="atLeast"/>
          <w:jc w:val="center"/>
        </w:trPr>
        <w:tc>
          <w:tcPr>
            <w:tcW w:w="1197" w:type="dxa"/>
            <w:tcMar>
              <w:left w:w="28" w:type="dxa"/>
              <w:right w:w="28" w:type="dxa"/>
            </w:tcMar>
            <w:vAlign w:val="center"/>
          </w:tcPr>
          <w:p w14:paraId="6AF39A9F">
            <w:pPr>
              <w:adjustRightInd w:val="0"/>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运营期环境影响和保护措施</w:t>
            </w:r>
          </w:p>
        </w:tc>
        <w:tc>
          <w:tcPr>
            <w:tcW w:w="7784" w:type="dxa"/>
            <w:shd w:val="clear" w:color="auto" w:fill="auto"/>
            <w:vAlign w:val="center"/>
          </w:tcPr>
          <w:p w14:paraId="1E7FC79D">
            <w:pPr>
              <w:numPr>
                <w:ilvl w:val="0"/>
                <w:numId w:val="38"/>
              </w:numPr>
              <w:adjustRightInd w:val="0"/>
              <w:snapToGrid w:val="0"/>
              <w:spacing w:line="360" w:lineRule="auto"/>
              <w:jc w:val="both"/>
              <w:rPr>
                <w:rFonts w:hint="default" w:ascii="Times New Roman" w:hAnsi="Times New Roman" w:eastAsia="宋体" w:cs="Times New Roman"/>
                <w:b/>
                <w:bCs/>
                <w:color w:val="auto"/>
                <w:spacing w:val="-10"/>
                <w:sz w:val="24"/>
                <w:highlight w:val="none"/>
              </w:rPr>
            </w:pPr>
            <w:r>
              <w:rPr>
                <w:rFonts w:hint="default" w:ascii="Times New Roman" w:hAnsi="Times New Roman" w:eastAsia="宋体" w:cs="Times New Roman"/>
                <w:b/>
                <w:bCs/>
                <w:color w:val="auto"/>
                <w:spacing w:val="-10"/>
                <w:sz w:val="24"/>
                <w:highlight w:val="none"/>
              </w:rPr>
              <w:t>废气</w:t>
            </w:r>
          </w:p>
          <w:p w14:paraId="30CF9909">
            <w:pPr>
              <w:adjustRightInd w:val="0"/>
              <w:snapToGrid w:val="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1、源强核算</w:t>
            </w:r>
          </w:p>
          <w:p w14:paraId="38DE5753">
            <w:pPr>
              <w:numPr>
                <w:ilvl w:val="0"/>
                <w:numId w:val="0"/>
              </w:num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eastAsia" w:cs="Times New Roman"/>
                <w:color w:val="auto"/>
                <w:kern w:val="0"/>
                <w:sz w:val="24"/>
                <w:highlight w:val="none"/>
                <w:lang w:val="en-US" w:eastAsia="zh-CN"/>
              </w:rPr>
              <w:t>本项目</w:t>
            </w:r>
            <w:r>
              <w:rPr>
                <w:rFonts w:hint="eastAsia" w:ascii="Times New Roman" w:hAnsi="Times New Roman" w:eastAsia="宋体" w:cs="Times New Roman"/>
                <w:color w:val="auto"/>
                <w:kern w:val="0"/>
                <w:sz w:val="24"/>
                <w:highlight w:val="none"/>
                <w:lang w:val="en-US" w:eastAsia="zh-CN"/>
              </w:rPr>
              <w:t>废气主要</w:t>
            </w:r>
            <w:r>
              <w:rPr>
                <w:rFonts w:hint="eastAsia" w:cs="Times New Roman"/>
                <w:color w:val="auto"/>
                <w:kern w:val="0"/>
                <w:sz w:val="24"/>
                <w:highlight w:val="none"/>
                <w:lang w:val="en-US" w:eastAsia="zh-CN"/>
              </w:rPr>
              <w:t>为试剂配制、样品前处理、实验检测过程产生的实验</w:t>
            </w:r>
            <w:r>
              <w:rPr>
                <w:rFonts w:hint="eastAsia" w:ascii="Times New Roman" w:hAnsi="Times New Roman" w:eastAsia="宋体" w:cs="Times New Roman"/>
                <w:color w:val="auto"/>
                <w:kern w:val="0"/>
                <w:sz w:val="24"/>
                <w:highlight w:val="none"/>
                <w:lang w:val="en-US" w:eastAsia="zh-CN"/>
              </w:rPr>
              <w:t>无机废气</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挥发性有机废气，</w:t>
            </w:r>
            <w:r>
              <w:rPr>
                <w:rFonts w:hint="eastAsia" w:cs="Times New Roman"/>
                <w:color w:val="auto"/>
                <w:kern w:val="0"/>
                <w:sz w:val="24"/>
                <w:highlight w:val="none"/>
                <w:lang w:val="en-US" w:eastAsia="zh-CN"/>
              </w:rPr>
              <w:t>实验</w:t>
            </w:r>
            <w:r>
              <w:rPr>
                <w:rFonts w:hint="eastAsia" w:ascii="Times New Roman" w:hAnsi="Times New Roman" w:eastAsia="宋体" w:cs="Times New Roman"/>
                <w:color w:val="auto"/>
                <w:kern w:val="0"/>
                <w:sz w:val="24"/>
                <w:highlight w:val="none"/>
                <w:lang w:val="en-US" w:eastAsia="zh-CN"/>
              </w:rPr>
              <w:t>废气</w:t>
            </w:r>
            <w:r>
              <w:rPr>
                <w:rFonts w:hint="eastAsia" w:cs="Times New Roman"/>
                <w:color w:val="auto"/>
                <w:kern w:val="0"/>
                <w:sz w:val="24"/>
                <w:highlight w:val="none"/>
                <w:lang w:val="en-US" w:eastAsia="zh-CN"/>
              </w:rPr>
              <w:t>分别经通风橱、万向罩收集，</w:t>
            </w:r>
            <w:r>
              <w:rPr>
                <w:rFonts w:hint="eastAsia" w:ascii="Times New Roman" w:hAnsi="Times New Roman" w:eastAsia="宋体" w:cs="Times New Roman"/>
                <w:color w:val="auto"/>
                <w:kern w:val="0"/>
                <w:sz w:val="24"/>
                <w:highlight w:val="none"/>
                <w:lang w:val="en-US" w:eastAsia="zh-CN"/>
              </w:rPr>
              <w:t>依托现有</w:t>
            </w:r>
            <w:r>
              <w:rPr>
                <w:rFonts w:hint="eastAsia" w:cs="Times New Roman"/>
                <w:color w:val="auto"/>
                <w:kern w:val="0"/>
                <w:sz w:val="24"/>
                <w:highlight w:val="none"/>
                <w:lang w:val="en-US" w:eastAsia="zh-CN"/>
              </w:rPr>
              <w:t>的</w:t>
            </w:r>
            <w:r>
              <w:rPr>
                <w:rFonts w:hint="default" w:ascii="Times New Roman" w:hAnsi="Times New Roman" w:eastAsia="宋体" w:cs="Times New Roman"/>
                <w:color w:val="auto"/>
                <w:kern w:val="0"/>
                <w:sz w:val="24"/>
                <w:highlight w:val="none"/>
                <w:lang w:val="en-US" w:eastAsia="zh-CN"/>
              </w:rPr>
              <w:t>DA001</w:t>
            </w:r>
            <w:r>
              <w:rPr>
                <w:rFonts w:hint="eastAsia" w:ascii="Times New Roman" w:hAnsi="Times New Roman" w:eastAsia="宋体" w:cs="Times New Roman"/>
                <w:color w:val="auto"/>
                <w:kern w:val="0"/>
                <w:sz w:val="24"/>
                <w:highlight w:val="none"/>
                <w:lang w:val="en-US" w:eastAsia="zh-CN"/>
              </w:rPr>
              <w:t>排气筒排放。</w:t>
            </w:r>
          </w:p>
          <w:p w14:paraId="532FE2D5">
            <w:pPr>
              <w:numPr>
                <w:ilvl w:val="0"/>
                <w:numId w:val="39"/>
              </w:numPr>
              <w:adjustRightInd w:val="0"/>
              <w:snapToGrid w:val="0"/>
              <w:spacing w:line="360" w:lineRule="auto"/>
              <w:ind w:firstLine="482" w:firstLineChars="200"/>
              <w:rPr>
                <w:rFonts w:hint="eastAsia"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 xml:space="preserve">废气产生量 </w:t>
            </w:r>
          </w:p>
          <w:p w14:paraId="0CA65E4B">
            <w:pPr>
              <w:numPr>
                <w:ilvl w:val="0"/>
                <w:numId w:val="0"/>
              </w:numPr>
              <w:adjustRightInd w:val="0"/>
              <w:snapToGrid w:val="0"/>
              <w:spacing w:line="360" w:lineRule="auto"/>
              <w:ind w:firstLine="480" w:firstLineChars="200"/>
              <w:rPr>
                <w:rFonts w:hint="eastAsia" w:cs="Times New Roman"/>
                <w:color w:val="auto"/>
                <w:kern w:val="0"/>
                <w:sz w:val="24"/>
                <w:highlight w:val="none"/>
                <w:lang w:val="en-US" w:eastAsia="zh-CN"/>
              </w:rPr>
            </w:pPr>
            <w:r>
              <w:rPr>
                <w:rFonts w:hint="eastAsia" w:cs="Times New Roman"/>
                <w:color w:val="auto"/>
                <w:kern w:val="0"/>
                <w:sz w:val="24"/>
                <w:highlight w:val="none"/>
                <w:lang w:val="en-US" w:eastAsia="zh-CN"/>
              </w:rPr>
              <w:t>本项目挥发性试剂的使用量统计见下表。</w:t>
            </w:r>
          </w:p>
          <w:p w14:paraId="5AEF0D8E">
            <w:pPr>
              <w:keepNext w:val="0"/>
              <w:keepLines w:val="0"/>
              <w:widowControl/>
              <w:numPr>
                <w:ilvl w:val="0"/>
                <w:numId w:val="40"/>
              </w:numPr>
              <w:suppressLineNumbers w:val="0"/>
              <w:ind w:left="425" w:leftChars="0" w:hanging="425" w:firstLineChars="0"/>
              <w:jc w:val="center"/>
              <w:rPr>
                <w:rFonts w:hint="eastAsia" w:ascii="Times New Roman" w:hAnsi="Times New Roman" w:eastAsia="宋体" w:cs="Times New Roman"/>
                <w:b/>
                <w:bCs/>
                <w:color w:val="auto"/>
                <w:kern w:val="0"/>
                <w:sz w:val="24"/>
                <w:szCs w:val="24"/>
                <w:highlight w:val="none"/>
                <w:lang w:val="en-US" w:eastAsia="zh-CN"/>
              </w:rPr>
            </w:pPr>
            <w:r>
              <w:rPr>
                <w:rFonts w:hint="eastAsia" w:ascii="宋体" w:hAnsi="宋体" w:cs="宋体"/>
                <w:b/>
                <w:bCs/>
                <w:color w:val="auto"/>
                <w:kern w:val="0"/>
                <w:sz w:val="24"/>
                <w:szCs w:val="24"/>
                <w:lang w:val="en-US" w:eastAsia="zh-CN" w:bidi="ar"/>
              </w:rPr>
              <w:t>本</w:t>
            </w:r>
            <w:r>
              <w:rPr>
                <w:rFonts w:hint="eastAsia" w:ascii="宋体" w:hAnsi="宋体" w:eastAsia="宋体" w:cs="宋体"/>
                <w:b/>
                <w:bCs/>
                <w:color w:val="auto"/>
                <w:kern w:val="0"/>
                <w:sz w:val="24"/>
                <w:szCs w:val="24"/>
                <w:lang w:val="en-US" w:eastAsia="zh-CN" w:bidi="ar"/>
              </w:rPr>
              <w:t>项目挥发性有机试剂用量</w:t>
            </w:r>
            <w:r>
              <w:rPr>
                <w:rFonts w:hint="eastAsia" w:ascii="宋体" w:hAnsi="宋体" w:cs="宋体"/>
                <w:b/>
                <w:bCs/>
                <w:color w:val="auto"/>
                <w:kern w:val="0"/>
                <w:sz w:val="24"/>
                <w:szCs w:val="24"/>
                <w:lang w:val="en-US" w:eastAsia="zh-CN" w:bidi="ar"/>
              </w:rPr>
              <w:t>统计</w:t>
            </w:r>
            <w:r>
              <w:rPr>
                <w:rFonts w:hint="eastAsia" w:ascii="宋体" w:hAnsi="宋体" w:eastAsia="宋体" w:cs="宋体"/>
                <w:b/>
                <w:bCs/>
                <w:color w:val="auto"/>
                <w:kern w:val="0"/>
                <w:sz w:val="24"/>
                <w:szCs w:val="24"/>
                <w:lang w:val="en-US" w:eastAsia="zh-CN" w:bidi="ar"/>
              </w:rPr>
              <w:t>表</w:t>
            </w:r>
          </w:p>
          <w:tbl>
            <w:tblPr>
              <w:tblStyle w:val="24"/>
              <w:tblW w:w="49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736"/>
              <w:gridCol w:w="1215"/>
              <w:gridCol w:w="1363"/>
              <w:gridCol w:w="1227"/>
              <w:gridCol w:w="1227"/>
            </w:tblGrid>
            <w:tr w14:paraId="1E11D7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9" w:type="dxa"/>
                  <w:tcBorders>
                    <w:tl2br w:val="nil"/>
                    <w:tr2bl w:val="nil"/>
                  </w:tcBorders>
                  <w:vAlign w:val="center"/>
                </w:tcPr>
                <w:p w14:paraId="30C86A33">
                  <w:pPr>
                    <w:numPr>
                      <w:ilvl w:val="0"/>
                      <w:numId w:val="0"/>
                    </w:numPr>
                    <w:spacing w:line="240" w:lineRule="auto"/>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序号</w:t>
                  </w:r>
                </w:p>
              </w:tc>
              <w:tc>
                <w:tcPr>
                  <w:tcW w:w="1736" w:type="dxa"/>
                  <w:tcBorders>
                    <w:tl2br w:val="nil"/>
                    <w:tr2bl w:val="nil"/>
                  </w:tcBorders>
                  <w:vAlign w:val="center"/>
                </w:tcPr>
                <w:p w14:paraId="173C1809">
                  <w:pPr>
                    <w:numPr>
                      <w:ilvl w:val="0"/>
                      <w:numId w:val="0"/>
                    </w:num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名称</w:t>
                  </w:r>
                </w:p>
              </w:tc>
              <w:tc>
                <w:tcPr>
                  <w:tcW w:w="1215" w:type="dxa"/>
                  <w:tcBorders>
                    <w:tl2br w:val="nil"/>
                    <w:tr2bl w:val="nil"/>
                  </w:tcBorders>
                  <w:vAlign w:val="center"/>
                </w:tcPr>
                <w:p w14:paraId="0065D646">
                  <w:pPr>
                    <w:numPr>
                      <w:ilvl w:val="0"/>
                      <w:numId w:val="0"/>
                    </w:num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规格</w:t>
                  </w:r>
                </w:p>
              </w:tc>
              <w:tc>
                <w:tcPr>
                  <w:tcW w:w="1363" w:type="dxa"/>
                  <w:tcBorders>
                    <w:tl2br w:val="nil"/>
                    <w:tr2bl w:val="nil"/>
                  </w:tcBorders>
                  <w:shd w:val="clear" w:color="auto" w:fill="auto"/>
                  <w:vAlign w:val="center"/>
                </w:tcPr>
                <w:p w14:paraId="3B9E3109">
                  <w:pPr>
                    <w:numPr>
                      <w:ilvl w:val="0"/>
                      <w:numId w:val="0"/>
                    </w:numPr>
                    <w:spacing w:line="240" w:lineRule="auto"/>
                    <w:ind w:left="0" w:leftChars="0" w:firstLine="0" w:firstLineChars="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sz w:val="21"/>
                      <w:szCs w:val="21"/>
                      <w:highlight w:val="none"/>
                      <w:vertAlign w:val="baseline"/>
                      <w:lang w:val="en-US" w:eastAsia="zh-CN"/>
                    </w:rPr>
                    <w:t>年使用量，瓶</w:t>
                  </w:r>
                </w:p>
              </w:tc>
              <w:tc>
                <w:tcPr>
                  <w:tcW w:w="1227" w:type="dxa"/>
                  <w:tcBorders>
                    <w:tl2br w:val="nil"/>
                    <w:tr2bl w:val="nil"/>
                  </w:tcBorders>
                  <w:vAlign w:val="center"/>
                </w:tcPr>
                <w:p w14:paraId="68CB1F4E">
                  <w:pPr>
                    <w:numPr>
                      <w:ilvl w:val="0"/>
                      <w:numId w:val="0"/>
                    </w:numPr>
                    <w:spacing w:line="240" w:lineRule="auto"/>
                    <w:ind w:left="0" w:leftChars="0" w:firstLine="0" w:firstLineChars="0"/>
                    <w:jc w:val="center"/>
                    <w:rPr>
                      <w:rFonts w:hint="eastAsia"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密度</w:t>
                  </w:r>
                </w:p>
                <w:p w14:paraId="6476489E">
                  <w:pPr>
                    <w:numPr>
                      <w:ilvl w:val="0"/>
                      <w:numId w:val="0"/>
                    </w:numPr>
                    <w:spacing w:line="240" w:lineRule="auto"/>
                    <w:ind w:left="0" w:leftChars="0" w:firstLine="0" w:firstLineChars="0"/>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g/cm³</w:t>
                  </w:r>
                </w:p>
              </w:tc>
              <w:tc>
                <w:tcPr>
                  <w:tcW w:w="1227" w:type="dxa"/>
                  <w:tcBorders>
                    <w:tl2br w:val="nil"/>
                    <w:tr2bl w:val="nil"/>
                  </w:tcBorders>
                  <w:vAlign w:val="center"/>
                </w:tcPr>
                <w:p w14:paraId="4B62B42F">
                  <w:pPr>
                    <w:numPr>
                      <w:ilvl w:val="0"/>
                      <w:numId w:val="0"/>
                    </w:numPr>
                    <w:spacing w:line="240" w:lineRule="auto"/>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年使用量，kg</w:t>
                  </w:r>
                </w:p>
              </w:tc>
            </w:tr>
            <w:tr w14:paraId="2581A3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9" w:type="dxa"/>
                  <w:tcBorders>
                    <w:tl2br w:val="nil"/>
                    <w:tr2bl w:val="nil"/>
                  </w:tcBorders>
                  <w:vAlign w:val="center"/>
                </w:tcPr>
                <w:p w14:paraId="32B5DAF6">
                  <w:pPr>
                    <w:numPr>
                      <w:ilvl w:val="0"/>
                      <w:numId w:val="41"/>
                    </w:numPr>
                    <w:spacing w:line="240" w:lineRule="auto"/>
                    <w:ind w:left="425" w:leftChars="0" w:hanging="425" w:firstLineChars="0"/>
                    <w:jc w:val="both"/>
                    <w:rPr>
                      <w:rFonts w:hint="default" w:ascii="Times New Roman" w:hAnsi="Times New Roman" w:eastAsia="宋体" w:cs="Times New Roman"/>
                      <w:b w:val="0"/>
                      <w:bCs w:val="0"/>
                      <w:color w:val="auto"/>
                      <w:sz w:val="21"/>
                      <w:szCs w:val="21"/>
                      <w:highlight w:val="none"/>
                      <w:vertAlign w:val="baseline"/>
                      <w:lang w:val="en-US"/>
                    </w:rPr>
                  </w:pPr>
                </w:p>
              </w:tc>
              <w:tc>
                <w:tcPr>
                  <w:tcW w:w="1736" w:type="dxa"/>
                  <w:tcBorders>
                    <w:tl2br w:val="nil"/>
                    <w:tr2bl w:val="nil"/>
                  </w:tcBorders>
                  <w:shd w:val="clear" w:color="auto" w:fill="auto"/>
                  <w:vAlign w:val="center"/>
                </w:tcPr>
                <w:p w14:paraId="6BE7A7D6">
                  <w:pPr>
                    <w:spacing w:before="52" w:line="22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盐酸</w:t>
                  </w:r>
                </w:p>
              </w:tc>
              <w:tc>
                <w:tcPr>
                  <w:tcW w:w="1215" w:type="dxa"/>
                  <w:tcBorders>
                    <w:tl2br w:val="nil"/>
                    <w:tr2bl w:val="nil"/>
                  </w:tcBorders>
                  <w:shd w:val="clear" w:color="auto" w:fill="auto"/>
                  <w:vAlign w:val="center"/>
                </w:tcPr>
                <w:p w14:paraId="729A9356">
                  <w:pPr>
                    <w:spacing w:before="87" w:line="195" w:lineRule="auto"/>
                    <w:jc w:val="center"/>
                    <w:rPr>
                      <w:rFonts w:hint="default" w:eastAsia="宋体"/>
                      <w:color w:val="auto"/>
                      <w:spacing w:val="-4"/>
                      <w:szCs w:val="21"/>
                      <w:highlight w:val="none"/>
                      <w:lang w:val="en-US" w:eastAsia="zh-CN"/>
                    </w:rPr>
                  </w:pPr>
                  <w:r>
                    <w:rPr>
                      <w:rFonts w:hint="eastAsia" w:eastAsia="宋体"/>
                      <w:color w:val="auto"/>
                      <w:spacing w:val="-4"/>
                      <w:szCs w:val="21"/>
                      <w:highlight w:val="none"/>
                      <w:lang w:val="en-US" w:eastAsia="zh-CN"/>
                    </w:rPr>
                    <w:t>500ml/瓶</w:t>
                  </w:r>
                </w:p>
              </w:tc>
              <w:tc>
                <w:tcPr>
                  <w:tcW w:w="1363" w:type="dxa"/>
                  <w:tcBorders>
                    <w:tl2br w:val="nil"/>
                    <w:tr2bl w:val="nil"/>
                  </w:tcBorders>
                  <w:shd w:val="clear" w:color="auto" w:fill="auto"/>
                  <w:vAlign w:val="center"/>
                </w:tcPr>
                <w:p w14:paraId="35437F8F">
                  <w:pPr>
                    <w:spacing w:before="87" w:line="195"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1227" w:type="dxa"/>
                  <w:tcBorders>
                    <w:tl2br w:val="nil"/>
                    <w:tr2bl w:val="nil"/>
                  </w:tcBorders>
                  <w:shd w:val="clear" w:color="auto" w:fill="auto"/>
                  <w:vAlign w:val="center"/>
                </w:tcPr>
                <w:p w14:paraId="44ECA79C">
                  <w:pPr>
                    <w:spacing w:before="88"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1.098</w:t>
                  </w:r>
                </w:p>
              </w:tc>
              <w:tc>
                <w:tcPr>
                  <w:tcW w:w="1227" w:type="dxa"/>
                  <w:tcBorders>
                    <w:tl2br w:val="nil"/>
                    <w:tr2bl w:val="nil"/>
                  </w:tcBorders>
                  <w:shd w:val="clear" w:color="auto" w:fill="auto"/>
                  <w:vAlign w:val="center"/>
                </w:tcPr>
                <w:p w14:paraId="11DEDAF5">
                  <w:pPr>
                    <w:spacing w:before="88"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54.9</w:t>
                  </w:r>
                </w:p>
              </w:tc>
            </w:tr>
            <w:tr w14:paraId="63B4CB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9" w:type="dxa"/>
                  <w:tcBorders>
                    <w:tl2br w:val="nil"/>
                    <w:tr2bl w:val="nil"/>
                  </w:tcBorders>
                  <w:vAlign w:val="center"/>
                </w:tcPr>
                <w:p w14:paraId="531C9C65">
                  <w:pPr>
                    <w:numPr>
                      <w:ilvl w:val="0"/>
                      <w:numId w:val="41"/>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736" w:type="dxa"/>
                  <w:tcBorders>
                    <w:tl2br w:val="nil"/>
                    <w:tr2bl w:val="nil"/>
                  </w:tcBorders>
                  <w:shd w:val="clear" w:color="auto" w:fill="auto"/>
                  <w:vAlign w:val="center"/>
                </w:tcPr>
                <w:p w14:paraId="07FE4F70">
                  <w:pPr>
                    <w:spacing w:before="52" w:line="229"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硝酸</w:t>
                  </w:r>
                </w:p>
              </w:tc>
              <w:tc>
                <w:tcPr>
                  <w:tcW w:w="1215" w:type="dxa"/>
                  <w:tcBorders>
                    <w:tl2br w:val="nil"/>
                    <w:tr2bl w:val="nil"/>
                  </w:tcBorders>
                  <w:shd w:val="clear" w:color="auto" w:fill="auto"/>
                  <w:vAlign w:val="center"/>
                </w:tcPr>
                <w:p w14:paraId="2A8F2072">
                  <w:pPr>
                    <w:spacing w:before="87" w:line="195" w:lineRule="auto"/>
                    <w:jc w:val="center"/>
                    <w:rPr>
                      <w:rFonts w:hint="default" w:eastAsia="宋体"/>
                      <w:color w:val="auto"/>
                      <w:spacing w:val="-4"/>
                      <w:szCs w:val="21"/>
                      <w:highlight w:val="none"/>
                      <w:lang w:val="en-US" w:eastAsia="zh-CN"/>
                    </w:rPr>
                  </w:pPr>
                  <w:r>
                    <w:rPr>
                      <w:rFonts w:hint="eastAsia" w:eastAsia="宋体"/>
                      <w:color w:val="auto"/>
                      <w:spacing w:val="-4"/>
                      <w:szCs w:val="21"/>
                      <w:highlight w:val="none"/>
                      <w:lang w:val="en-US" w:eastAsia="zh-CN"/>
                    </w:rPr>
                    <w:t>500ml/瓶</w:t>
                  </w:r>
                </w:p>
              </w:tc>
              <w:tc>
                <w:tcPr>
                  <w:tcW w:w="1363" w:type="dxa"/>
                  <w:tcBorders>
                    <w:tl2br w:val="nil"/>
                    <w:tr2bl w:val="nil"/>
                  </w:tcBorders>
                  <w:shd w:val="clear" w:color="auto" w:fill="auto"/>
                  <w:vAlign w:val="center"/>
                </w:tcPr>
                <w:p w14:paraId="7CAF5BF7">
                  <w:pPr>
                    <w:spacing w:before="88" w:line="195"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60</w:t>
                  </w:r>
                </w:p>
              </w:tc>
              <w:tc>
                <w:tcPr>
                  <w:tcW w:w="1227" w:type="dxa"/>
                  <w:tcBorders>
                    <w:tl2br w:val="nil"/>
                    <w:tr2bl w:val="nil"/>
                  </w:tcBorders>
                  <w:shd w:val="clear" w:color="auto" w:fill="auto"/>
                  <w:vAlign w:val="center"/>
                </w:tcPr>
                <w:p w14:paraId="2DDD65A7">
                  <w:pPr>
                    <w:spacing w:before="87"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1.391</w:t>
                  </w:r>
                </w:p>
              </w:tc>
              <w:tc>
                <w:tcPr>
                  <w:tcW w:w="1227" w:type="dxa"/>
                  <w:tcBorders>
                    <w:tl2br w:val="nil"/>
                    <w:tr2bl w:val="nil"/>
                  </w:tcBorders>
                  <w:shd w:val="clear" w:color="auto" w:fill="auto"/>
                  <w:vAlign w:val="center"/>
                </w:tcPr>
                <w:p w14:paraId="50EC05E8">
                  <w:pPr>
                    <w:spacing w:before="87"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41.73</w:t>
                  </w:r>
                </w:p>
              </w:tc>
            </w:tr>
            <w:tr w14:paraId="06725F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9" w:type="dxa"/>
                  <w:tcBorders>
                    <w:tl2br w:val="nil"/>
                    <w:tr2bl w:val="nil"/>
                  </w:tcBorders>
                  <w:vAlign w:val="center"/>
                </w:tcPr>
                <w:p w14:paraId="503EA3CC">
                  <w:pPr>
                    <w:numPr>
                      <w:ilvl w:val="0"/>
                      <w:numId w:val="41"/>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736" w:type="dxa"/>
                  <w:tcBorders>
                    <w:tl2br w:val="nil"/>
                    <w:tr2bl w:val="nil"/>
                  </w:tcBorders>
                  <w:shd w:val="clear" w:color="auto" w:fill="auto"/>
                  <w:vAlign w:val="center"/>
                </w:tcPr>
                <w:p w14:paraId="2E451900">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硫酸</w:t>
                  </w:r>
                </w:p>
              </w:tc>
              <w:tc>
                <w:tcPr>
                  <w:tcW w:w="1215" w:type="dxa"/>
                  <w:tcBorders>
                    <w:tl2br w:val="nil"/>
                    <w:tr2bl w:val="nil"/>
                  </w:tcBorders>
                  <w:shd w:val="clear" w:color="auto" w:fill="auto"/>
                  <w:vAlign w:val="center"/>
                </w:tcPr>
                <w:p w14:paraId="5F743132">
                  <w:pPr>
                    <w:spacing w:before="53" w:line="228" w:lineRule="auto"/>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hint="eastAsia" w:eastAsia="宋体"/>
                      <w:color w:val="auto"/>
                      <w:spacing w:val="-4"/>
                      <w:szCs w:val="21"/>
                      <w:highlight w:val="none"/>
                      <w:lang w:val="en-US" w:eastAsia="zh-CN"/>
                    </w:rPr>
                    <w:t>500ml/瓶</w:t>
                  </w:r>
                </w:p>
              </w:tc>
              <w:tc>
                <w:tcPr>
                  <w:tcW w:w="1363" w:type="dxa"/>
                  <w:tcBorders>
                    <w:tl2br w:val="nil"/>
                    <w:tr2bl w:val="nil"/>
                  </w:tcBorders>
                  <w:shd w:val="clear" w:color="auto" w:fill="auto"/>
                  <w:vAlign w:val="center"/>
                </w:tcPr>
                <w:p w14:paraId="62C7C1A8">
                  <w:pPr>
                    <w:spacing w:before="53" w:line="228" w:lineRule="auto"/>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300</w:t>
                  </w:r>
                </w:p>
              </w:tc>
              <w:tc>
                <w:tcPr>
                  <w:tcW w:w="1227" w:type="dxa"/>
                  <w:tcBorders>
                    <w:tl2br w:val="nil"/>
                    <w:tr2bl w:val="nil"/>
                  </w:tcBorders>
                  <w:shd w:val="clear" w:color="auto" w:fill="auto"/>
                  <w:vAlign w:val="center"/>
                </w:tcPr>
                <w:p w14:paraId="3E38546D">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1.84</w:t>
                  </w:r>
                </w:p>
              </w:tc>
              <w:tc>
                <w:tcPr>
                  <w:tcW w:w="1227" w:type="dxa"/>
                  <w:tcBorders>
                    <w:tl2br w:val="nil"/>
                    <w:tr2bl w:val="nil"/>
                  </w:tcBorders>
                  <w:shd w:val="clear" w:color="auto" w:fill="auto"/>
                  <w:vAlign w:val="center"/>
                </w:tcPr>
                <w:p w14:paraId="4F1A67B9">
                  <w:pPr>
                    <w:numPr>
                      <w:ilvl w:val="0"/>
                      <w:numId w:val="0"/>
                    </w:numPr>
                    <w:spacing w:line="240" w:lineRule="auto"/>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297</w:t>
                  </w:r>
                </w:p>
              </w:tc>
            </w:tr>
            <w:tr w14:paraId="08A027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9" w:type="dxa"/>
                  <w:tcBorders>
                    <w:tl2br w:val="nil"/>
                    <w:tr2bl w:val="nil"/>
                  </w:tcBorders>
                  <w:vAlign w:val="center"/>
                </w:tcPr>
                <w:p w14:paraId="5820EB5D">
                  <w:pPr>
                    <w:numPr>
                      <w:ilvl w:val="0"/>
                      <w:numId w:val="41"/>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736" w:type="dxa"/>
                  <w:tcBorders>
                    <w:tl2br w:val="nil"/>
                    <w:tr2bl w:val="nil"/>
                  </w:tcBorders>
                  <w:shd w:val="clear" w:color="auto" w:fill="auto"/>
                  <w:vAlign w:val="center"/>
                </w:tcPr>
                <w:p w14:paraId="214FFD84">
                  <w:pPr>
                    <w:spacing w:before="52" w:line="229"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氨水</w:t>
                  </w:r>
                </w:p>
              </w:tc>
              <w:tc>
                <w:tcPr>
                  <w:tcW w:w="1215" w:type="dxa"/>
                  <w:tcBorders>
                    <w:tl2br w:val="nil"/>
                    <w:tr2bl w:val="nil"/>
                  </w:tcBorders>
                  <w:shd w:val="clear" w:color="auto" w:fill="auto"/>
                  <w:vAlign w:val="center"/>
                </w:tcPr>
                <w:p w14:paraId="766619E9">
                  <w:pPr>
                    <w:spacing w:before="53" w:line="228" w:lineRule="auto"/>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hint="eastAsia" w:eastAsia="宋体"/>
                      <w:color w:val="auto"/>
                      <w:spacing w:val="-4"/>
                      <w:szCs w:val="21"/>
                      <w:highlight w:val="none"/>
                      <w:lang w:val="en-US" w:eastAsia="zh-CN"/>
                    </w:rPr>
                    <w:t>500ml/瓶</w:t>
                  </w:r>
                </w:p>
              </w:tc>
              <w:tc>
                <w:tcPr>
                  <w:tcW w:w="1363" w:type="dxa"/>
                  <w:tcBorders>
                    <w:tl2br w:val="nil"/>
                    <w:tr2bl w:val="nil"/>
                  </w:tcBorders>
                  <w:shd w:val="clear" w:color="auto" w:fill="auto"/>
                  <w:vAlign w:val="center"/>
                </w:tcPr>
                <w:p w14:paraId="79FD3DBB">
                  <w:pPr>
                    <w:spacing w:before="53" w:line="228" w:lineRule="auto"/>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10</w:t>
                  </w:r>
                </w:p>
              </w:tc>
              <w:tc>
                <w:tcPr>
                  <w:tcW w:w="1227" w:type="dxa"/>
                  <w:tcBorders>
                    <w:tl2br w:val="nil"/>
                    <w:tr2bl w:val="nil"/>
                  </w:tcBorders>
                  <w:shd w:val="clear" w:color="auto" w:fill="auto"/>
                  <w:vAlign w:val="center"/>
                </w:tcPr>
                <w:p w14:paraId="749CCE36">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0.929</w:t>
                  </w:r>
                </w:p>
              </w:tc>
              <w:tc>
                <w:tcPr>
                  <w:tcW w:w="1227" w:type="dxa"/>
                  <w:tcBorders>
                    <w:tl2br w:val="nil"/>
                    <w:tr2bl w:val="nil"/>
                  </w:tcBorders>
                  <w:shd w:val="clear" w:color="auto" w:fill="auto"/>
                  <w:vAlign w:val="center"/>
                </w:tcPr>
                <w:p w14:paraId="5FF9DCBA">
                  <w:pPr>
                    <w:numPr>
                      <w:ilvl w:val="0"/>
                      <w:numId w:val="0"/>
                    </w:numPr>
                    <w:spacing w:line="240" w:lineRule="auto"/>
                    <w:ind w:left="0" w:leftChars="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0.929</w:t>
                  </w:r>
                </w:p>
              </w:tc>
            </w:tr>
            <w:tr w14:paraId="777B1C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9" w:type="dxa"/>
                  <w:tcBorders>
                    <w:tl2br w:val="nil"/>
                    <w:tr2bl w:val="nil"/>
                  </w:tcBorders>
                  <w:vAlign w:val="center"/>
                </w:tcPr>
                <w:p w14:paraId="378EA063">
                  <w:pPr>
                    <w:numPr>
                      <w:ilvl w:val="0"/>
                      <w:numId w:val="41"/>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736" w:type="dxa"/>
                  <w:tcBorders>
                    <w:tl2br w:val="nil"/>
                    <w:tr2bl w:val="nil"/>
                  </w:tcBorders>
                  <w:shd w:val="clear" w:color="auto" w:fill="auto"/>
                  <w:vAlign w:val="center"/>
                </w:tcPr>
                <w:p w14:paraId="32594F48">
                  <w:pPr>
                    <w:spacing w:before="51" w:line="227"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甲醇</w:t>
                  </w:r>
                </w:p>
              </w:tc>
              <w:tc>
                <w:tcPr>
                  <w:tcW w:w="1215" w:type="dxa"/>
                  <w:tcBorders>
                    <w:tl2br w:val="nil"/>
                    <w:tr2bl w:val="nil"/>
                  </w:tcBorders>
                  <w:shd w:val="clear" w:color="auto" w:fill="auto"/>
                  <w:vAlign w:val="center"/>
                </w:tcPr>
                <w:p w14:paraId="5F05AAAC">
                  <w:pPr>
                    <w:spacing w:before="87" w:line="195" w:lineRule="auto"/>
                    <w:jc w:val="center"/>
                    <w:rPr>
                      <w:rFonts w:hint="default" w:eastAsia="宋体"/>
                      <w:color w:val="auto"/>
                      <w:spacing w:val="-4"/>
                      <w:szCs w:val="21"/>
                      <w:highlight w:val="none"/>
                      <w:lang w:val="en-US" w:eastAsia="zh-CN"/>
                    </w:rPr>
                  </w:pPr>
                  <w:r>
                    <w:rPr>
                      <w:rFonts w:hint="eastAsia" w:eastAsia="宋体"/>
                      <w:color w:val="auto"/>
                      <w:spacing w:val="-4"/>
                      <w:szCs w:val="21"/>
                      <w:highlight w:val="none"/>
                      <w:lang w:val="en-US" w:eastAsia="zh-CN"/>
                    </w:rPr>
                    <w:t>500ml/瓶</w:t>
                  </w:r>
                </w:p>
              </w:tc>
              <w:tc>
                <w:tcPr>
                  <w:tcW w:w="1363" w:type="dxa"/>
                  <w:tcBorders>
                    <w:tl2br w:val="nil"/>
                    <w:tr2bl w:val="nil"/>
                  </w:tcBorders>
                  <w:shd w:val="clear" w:color="auto" w:fill="auto"/>
                  <w:vAlign w:val="center"/>
                </w:tcPr>
                <w:p w14:paraId="63A98174">
                  <w:pPr>
                    <w:spacing w:before="87" w:line="195"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p>
              </w:tc>
              <w:tc>
                <w:tcPr>
                  <w:tcW w:w="1227" w:type="dxa"/>
                  <w:tcBorders>
                    <w:tl2br w:val="nil"/>
                    <w:tr2bl w:val="nil"/>
                  </w:tcBorders>
                  <w:shd w:val="clear" w:color="auto" w:fill="auto"/>
                  <w:vAlign w:val="center"/>
                </w:tcPr>
                <w:p w14:paraId="06C61DBD">
                  <w:pPr>
                    <w:spacing w:before="87"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0.792</w:t>
                  </w:r>
                </w:p>
              </w:tc>
              <w:tc>
                <w:tcPr>
                  <w:tcW w:w="1227" w:type="dxa"/>
                  <w:tcBorders>
                    <w:tl2br w:val="nil"/>
                    <w:tr2bl w:val="nil"/>
                  </w:tcBorders>
                  <w:shd w:val="clear" w:color="auto" w:fill="auto"/>
                  <w:vAlign w:val="center"/>
                </w:tcPr>
                <w:p w14:paraId="7298F0CC">
                  <w:pPr>
                    <w:spacing w:before="88" w:line="240" w:lineRule="auto"/>
                    <w:jc w:val="center"/>
                    <w:rPr>
                      <w:rFonts w:hint="default"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 xml:space="preserve">3.96 </w:t>
                  </w:r>
                </w:p>
              </w:tc>
            </w:tr>
            <w:tr w14:paraId="2F8CE4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9" w:type="dxa"/>
                  <w:tcBorders>
                    <w:tl2br w:val="nil"/>
                    <w:tr2bl w:val="nil"/>
                  </w:tcBorders>
                  <w:vAlign w:val="center"/>
                </w:tcPr>
                <w:p w14:paraId="224DB3D4">
                  <w:pPr>
                    <w:numPr>
                      <w:ilvl w:val="0"/>
                      <w:numId w:val="41"/>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736" w:type="dxa"/>
                  <w:tcBorders>
                    <w:tl2br w:val="nil"/>
                    <w:tr2bl w:val="nil"/>
                  </w:tcBorders>
                  <w:shd w:val="clear" w:color="auto" w:fill="auto"/>
                  <w:vAlign w:val="center"/>
                </w:tcPr>
                <w:p w14:paraId="180DA6F5">
                  <w:pPr>
                    <w:spacing w:before="51" w:line="232"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乙醇</w:t>
                  </w:r>
                </w:p>
              </w:tc>
              <w:tc>
                <w:tcPr>
                  <w:tcW w:w="1215" w:type="dxa"/>
                  <w:tcBorders>
                    <w:tl2br w:val="nil"/>
                    <w:tr2bl w:val="nil"/>
                  </w:tcBorders>
                  <w:shd w:val="clear" w:color="auto" w:fill="auto"/>
                  <w:vAlign w:val="center"/>
                </w:tcPr>
                <w:p w14:paraId="230A25F5">
                  <w:pPr>
                    <w:spacing w:before="87" w:line="195" w:lineRule="auto"/>
                    <w:jc w:val="center"/>
                    <w:rPr>
                      <w:rFonts w:hint="default" w:eastAsia="宋体"/>
                      <w:color w:val="auto"/>
                      <w:spacing w:val="-4"/>
                      <w:szCs w:val="21"/>
                      <w:highlight w:val="none"/>
                      <w:lang w:val="en-US" w:eastAsia="zh-CN"/>
                    </w:rPr>
                  </w:pPr>
                  <w:r>
                    <w:rPr>
                      <w:rFonts w:hint="eastAsia" w:eastAsia="宋体"/>
                      <w:color w:val="auto"/>
                      <w:spacing w:val="-4"/>
                      <w:szCs w:val="21"/>
                      <w:highlight w:val="none"/>
                      <w:lang w:val="en-US" w:eastAsia="zh-CN"/>
                    </w:rPr>
                    <w:t>500ml/瓶</w:t>
                  </w:r>
                </w:p>
              </w:tc>
              <w:tc>
                <w:tcPr>
                  <w:tcW w:w="1363" w:type="dxa"/>
                  <w:tcBorders>
                    <w:tl2br w:val="nil"/>
                    <w:tr2bl w:val="nil"/>
                  </w:tcBorders>
                  <w:shd w:val="clear" w:color="auto" w:fill="auto"/>
                  <w:vAlign w:val="center"/>
                </w:tcPr>
                <w:p w14:paraId="6CDCB308">
                  <w:pPr>
                    <w:spacing w:before="87" w:line="195"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w:t>
                  </w:r>
                </w:p>
              </w:tc>
              <w:tc>
                <w:tcPr>
                  <w:tcW w:w="1227" w:type="dxa"/>
                  <w:tcBorders>
                    <w:tl2br w:val="nil"/>
                    <w:tr2bl w:val="nil"/>
                  </w:tcBorders>
                  <w:shd w:val="clear" w:color="auto" w:fill="auto"/>
                  <w:vAlign w:val="center"/>
                </w:tcPr>
                <w:p w14:paraId="6CF4BF7D">
                  <w:pPr>
                    <w:spacing w:before="89"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0.789</w:t>
                  </w:r>
                </w:p>
              </w:tc>
              <w:tc>
                <w:tcPr>
                  <w:tcW w:w="1227" w:type="dxa"/>
                  <w:tcBorders>
                    <w:tl2br w:val="nil"/>
                    <w:tr2bl w:val="nil"/>
                  </w:tcBorders>
                  <w:shd w:val="clear" w:color="auto" w:fill="auto"/>
                  <w:vAlign w:val="center"/>
                </w:tcPr>
                <w:p w14:paraId="1EB60270">
                  <w:pPr>
                    <w:spacing w:before="88" w:line="240" w:lineRule="auto"/>
                    <w:jc w:val="center"/>
                    <w:rPr>
                      <w:rFonts w:hint="default"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 xml:space="preserve">15.78 </w:t>
                  </w:r>
                </w:p>
              </w:tc>
            </w:tr>
            <w:tr w14:paraId="0A8010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9" w:type="dxa"/>
                  <w:tcBorders>
                    <w:tl2br w:val="nil"/>
                    <w:tr2bl w:val="nil"/>
                  </w:tcBorders>
                  <w:vAlign w:val="center"/>
                </w:tcPr>
                <w:p w14:paraId="5A1067BF">
                  <w:pPr>
                    <w:numPr>
                      <w:ilvl w:val="0"/>
                      <w:numId w:val="41"/>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736" w:type="dxa"/>
                  <w:tcBorders>
                    <w:tl2br w:val="nil"/>
                    <w:tr2bl w:val="nil"/>
                  </w:tcBorders>
                  <w:shd w:val="clear" w:color="auto" w:fill="auto"/>
                  <w:vAlign w:val="center"/>
                </w:tcPr>
                <w:p w14:paraId="1A084A8C">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乙酸</w:t>
                  </w:r>
                </w:p>
              </w:tc>
              <w:tc>
                <w:tcPr>
                  <w:tcW w:w="1215" w:type="dxa"/>
                  <w:tcBorders>
                    <w:tl2br w:val="nil"/>
                    <w:tr2bl w:val="nil"/>
                  </w:tcBorders>
                  <w:shd w:val="clear" w:color="auto" w:fill="auto"/>
                  <w:vAlign w:val="center"/>
                </w:tcPr>
                <w:p w14:paraId="5A8E91F4">
                  <w:pPr>
                    <w:spacing w:before="53" w:line="228" w:lineRule="auto"/>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hint="eastAsia" w:eastAsia="宋体"/>
                      <w:color w:val="auto"/>
                      <w:spacing w:val="-4"/>
                      <w:szCs w:val="21"/>
                      <w:highlight w:val="none"/>
                      <w:lang w:val="en-US" w:eastAsia="zh-CN"/>
                    </w:rPr>
                    <w:t>500ml/瓶</w:t>
                  </w:r>
                </w:p>
              </w:tc>
              <w:tc>
                <w:tcPr>
                  <w:tcW w:w="1363" w:type="dxa"/>
                  <w:tcBorders>
                    <w:tl2br w:val="nil"/>
                    <w:tr2bl w:val="nil"/>
                  </w:tcBorders>
                  <w:shd w:val="clear" w:color="auto" w:fill="auto"/>
                  <w:vAlign w:val="center"/>
                </w:tcPr>
                <w:p w14:paraId="1FD8D531">
                  <w:pPr>
                    <w:spacing w:before="53" w:line="228" w:lineRule="auto"/>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10</w:t>
                  </w:r>
                </w:p>
              </w:tc>
              <w:tc>
                <w:tcPr>
                  <w:tcW w:w="1227" w:type="dxa"/>
                  <w:tcBorders>
                    <w:tl2br w:val="nil"/>
                    <w:tr2bl w:val="nil"/>
                  </w:tcBorders>
                  <w:shd w:val="clear" w:color="auto" w:fill="auto"/>
                  <w:vAlign w:val="center"/>
                </w:tcPr>
                <w:p w14:paraId="38DD51A5">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1.049</w:t>
                  </w:r>
                </w:p>
              </w:tc>
              <w:tc>
                <w:tcPr>
                  <w:tcW w:w="1227" w:type="dxa"/>
                  <w:tcBorders>
                    <w:tl2br w:val="nil"/>
                    <w:tr2bl w:val="nil"/>
                  </w:tcBorders>
                  <w:shd w:val="clear" w:color="auto" w:fill="auto"/>
                  <w:vAlign w:val="center"/>
                </w:tcPr>
                <w:p w14:paraId="2C88A7B9">
                  <w:pPr>
                    <w:spacing w:before="88" w:line="240" w:lineRule="auto"/>
                    <w:jc w:val="center"/>
                    <w:rPr>
                      <w:rFonts w:hint="default"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 xml:space="preserve">5.25 </w:t>
                  </w:r>
                </w:p>
              </w:tc>
            </w:tr>
            <w:tr w14:paraId="78687F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9" w:type="dxa"/>
                  <w:tcBorders>
                    <w:tl2br w:val="nil"/>
                    <w:tr2bl w:val="nil"/>
                  </w:tcBorders>
                  <w:vAlign w:val="center"/>
                </w:tcPr>
                <w:p w14:paraId="7B798681">
                  <w:pPr>
                    <w:numPr>
                      <w:ilvl w:val="0"/>
                      <w:numId w:val="41"/>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736" w:type="dxa"/>
                  <w:tcBorders>
                    <w:tl2br w:val="nil"/>
                    <w:tr2bl w:val="nil"/>
                  </w:tcBorders>
                  <w:shd w:val="clear" w:color="auto" w:fill="auto"/>
                  <w:vAlign w:val="center"/>
                </w:tcPr>
                <w:p w14:paraId="6CCD5589">
                  <w:pPr>
                    <w:spacing w:before="53" w:line="240" w:lineRule="auto"/>
                    <w:jc w:val="center"/>
                    <w:rPr>
                      <w:rFonts w:hint="default" w:ascii="Times New Roman" w:hAnsi="Times New Roman" w:eastAsia="宋体" w:cs="Times New Roman"/>
                      <w:color w:val="auto"/>
                      <w:spacing w:val="6"/>
                      <w:kern w:val="2"/>
                      <w:sz w:val="21"/>
                      <w:szCs w:val="21"/>
                      <w:highlight w:val="none"/>
                      <w:lang w:val="en-US" w:eastAsia="zh-CN" w:bidi="ar-SA"/>
                    </w:rPr>
                  </w:pPr>
                  <w:r>
                    <w:rPr>
                      <w:rFonts w:hint="default"/>
                      <w:color w:val="auto"/>
                      <w:spacing w:val="6"/>
                      <w:szCs w:val="21"/>
                      <w:highlight w:val="none"/>
                    </w:rPr>
                    <w:t>乙酸乙酯</w:t>
                  </w:r>
                </w:p>
              </w:tc>
              <w:tc>
                <w:tcPr>
                  <w:tcW w:w="1215" w:type="dxa"/>
                  <w:tcBorders>
                    <w:tl2br w:val="nil"/>
                    <w:tr2bl w:val="nil"/>
                  </w:tcBorders>
                  <w:shd w:val="clear" w:color="auto" w:fill="auto"/>
                  <w:vAlign w:val="center"/>
                </w:tcPr>
                <w:p w14:paraId="5A150CA8">
                  <w:pPr>
                    <w:spacing w:before="53" w:line="228" w:lineRule="auto"/>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hint="eastAsia" w:eastAsia="宋体"/>
                      <w:color w:val="auto"/>
                      <w:spacing w:val="-4"/>
                      <w:szCs w:val="21"/>
                      <w:highlight w:val="none"/>
                      <w:lang w:val="en-US" w:eastAsia="zh-CN"/>
                    </w:rPr>
                    <w:t>500ml/瓶</w:t>
                  </w:r>
                </w:p>
              </w:tc>
              <w:tc>
                <w:tcPr>
                  <w:tcW w:w="1363" w:type="dxa"/>
                  <w:tcBorders>
                    <w:tl2br w:val="nil"/>
                    <w:tr2bl w:val="nil"/>
                  </w:tcBorders>
                  <w:shd w:val="clear" w:color="auto" w:fill="auto"/>
                  <w:vAlign w:val="center"/>
                </w:tcPr>
                <w:p w14:paraId="11B86BF6">
                  <w:pPr>
                    <w:spacing w:before="53" w:line="228" w:lineRule="auto"/>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15</w:t>
                  </w:r>
                </w:p>
              </w:tc>
              <w:tc>
                <w:tcPr>
                  <w:tcW w:w="1227" w:type="dxa"/>
                  <w:tcBorders>
                    <w:tl2br w:val="nil"/>
                    <w:tr2bl w:val="nil"/>
                  </w:tcBorders>
                  <w:shd w:val="clear" w:color="auto" w:fill="auto"/>
                  <w:vAlign w:val="center"/>
                </w:tcPr>
                <w:p w14:paraId="45DC5048">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0.9003</w:t>
                  </w:r>
                </w:p>
              </w:tc>
              <w:tc>
                <w:tcPr>
                  <w:tcW w:w="1227" w:type="dxa"/>
                  <w:tcBorders>
                    <w:tl2br w:val="nil"/>
                    <w:tr2bl w:val="nil"/>
                  </w:tcBorders>
                  <w:shd w:val="clear" w:color="auto" w:fill="auto"/>
                  <w:vAlign w:val="center"/>
                </w:tcPr>
                <w:p w14:paraId="19DE56D8">
                  <w:pPr>
                    <w:spacing w:before="88" w:line="240" w:lineRule="auto"/>
                    <w:jc w:val="center"/>
                    <w:rPr>
                      <w:rFonts w:hint="default"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 xml:space="preserve">6.75 </w:t>
                  </w:r>
                </w:p>
              </w:tc>
            </w:tr>
            <w:tr w14:paraId="770E7F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9" w:type="dxa"/>
                  <w:tcBorders>
                    <w:tl2br w:val="nil"/>
                    <w:tr2bl w:val="nil"/>
                  </w:tcBorders>
                  <w:vAlign w:val="center"/>
                </w:tcPr>
                <w:p w14:paraId="37AD4F44">
                  <w:pPr>
                    <w:numPr>
                      <w:ilvl w:val="0"/>
                      <w:numId w:val="41"/>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736" w:type="dxa"/>
                  <w:tcBorders>
                    <w:tl2br w:val="nil"/>
                    <w:tr2bl w:val="nil"/>
                  </w:tcBorders>
                  <w:shd w:val="clear" w:color="auto" w:fill="auto"/>
                  <w:vAlign w:val="center"/>
                </w:tcPr>
                <w:p w14:paraId="6BDFCF4E">
                  <w:pPr>
                    <w:spacing w:before="51" w:line="240" w:lineRule="auto"/>
                    <w:jc w:val="center"/>
                    <w:rPr>
                      <w:rFonts w:hint="default" w:ascii="Times New Roman" w:hAnsi="Times New Roman" w:eastAsia="宋体" w:cs="Times New Roman"/>
                      <w:color w:val="auto"/>
                      <w:kern w:val="2"/>
                      <w:sz w:val="21"/>
                      <w:szCs w:val="21"/>
                      <w:highlight w:val="none"/>
                      <w:lang w:val="en-US" w:eastAsia="zh-CN" w:bidi="ar-SA"/>
                    </w:rPr>
                  </w:pPr>
                  <w:r>
                    <w:rPr>
                      <w:color w:val="auto"/>
                      <w:spacing w:val="-6"/>
                      <w:szCs w:val="21"/>
                      <w:highlight w:val="none"/>
                    </w:rPr>
                    <w:t>乙</w:t>
                  </w:r>
                  <w:r>
                    <w:rPr>
                      <w:color w:val="auto"/>
                      <w:spacing w:val="-5"/>
                      <w:szCs w:val="21"/>
                      <w:highlight w:val="none"/>
                    </w:rPr>
                    <w:t>醚</w:t>
                  </w:r>
                </w:p>
              </w:tc>
              <w:tc>
                <w:tcPr>
                  <w:tcW w:w="1215" w:type="dxa"/>
                  <w:tcBorders>
                    <w:tl2br w:val="nil"/>
                    <w:tr2bl w:val="nil"/>
                  </w:tcBorders>
                  <w:shd w:val="clear" w:color="auto" w:fill="auto"/>
                  <w:vAlign w:val="center"/>
                </w:tcPr>
                <w:p w14:paraId="5E68A5A6">
                  <w:pPr>
                    <w:spacing w:before="53" w:line="228" w:lineRule="auto"/>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hint="eastAsia" w:eastAsia="宋体"/>
                      <w:color w:val="auto"/>
                      <w:spacing w:val="-4"/>
                      <w:szCs w:val="21"/>
                      <w:highlight w:val="none"/>
                      <w:lang w:val="en-US" w:eastAsia="zh-CN"/>
                    </w:rPr>
                    <w:t>500ml/瓶</w:t>
                  </w:r>
                </w:p>
              </w:tc>
              <w:tc>
                <w:tcPr>
                  <w:tcW w:w="1363" w:type="dxa"/>
                  <w:tcBorders>
                    <w:tl2br w:val="nil"/>
                    <w:tr2bl w:val="nil"/>
                  </w:tcBorders>
                  <w:shd w:val="clear" w:color="auto" w:fill="auto"/>
                  <w:vAlign w:val="center"/>
                </w:tcPr>
                <w:p w14:paraId="53FF76B0">
                  <w:pPr>
                    <w:spacing w:before="53" w:line="228" w:lineRule="auto"/>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15</w:t>
                  </w:r>
                </w:p>
              </w:tc>
              <w:tc>
                <w:tcPr>
                  <w:tcW w:w="1227" w:type="dxa"/>
                  <w:tcBorders>
                    <w:tl2br w:val="nil"/>
                    <w:tr2bl w:val="nil"/>
                  </w:tcBorders>
                  <w:shd w:val="clear" w:color="auto" w:fill="auto"/>
                  <w:vAlign w:val="center"/>
                </w:tcPr>
                <w:p w14:paraId="6223B95C">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0.7134</w:t>
                  </w:r>
                </w:p>
              </w:tc>
              <w:tc>
                <w:tcPr>
                  <w:tcW w:w="1227" w:type="dxa"/>
                  <w:tcBorders>
                    <w:tl2br w:val="nil"/>
                    <w:tr2bl w:val="nil"/>
                  </w:tcBorders>
                  <w:shd w:val="clear" w:color="auto" w:fill="auto"/>
                  <w:vAlign w:val="center"/>
                </w:tcPr>
                <w:p w14:paraId="1DA73D3D">
                  <w:pPr>
                    <w:spacing w:before="88" w:line="240" w:lineRule="auto"/>
                    <w:jc w:val="center"/>
                    <w:rPr>
                      <w:rFonts w:hint="default"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 xml:space="preserve">5.35 </w:t>
                  </w:r>
                </w:p>
              </w:tc>
            </w:tr>
            <w:tr w14:paraId="3C27F8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9" w:type="dxa"/>
                  <w:tcBorders>
                    <w:tl2br w:val="nil"/>
                    <w:tr2bl w:val="nil"/>
                  </w:tcBorders>
                  <w:vAlign w:val="center"/>
                </w:tcPr>
                <w:p w14:paraId="629C8720">
                  <w:pPr>
                    <w:numPr>
                      <w:ilvl w:val="0"/>
                      <w:numId w:val="41"/>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736" w:type="dxa"/>
                  <w:tcBorders>
                    <w:tl2br w:val="nil"/>
                    <w:tr2bl w:val="nil"/>
                  </w:tcBorders>
                  <w:shd w:val="clear" w:color="auto" w:fill="auto"/>
                  <w:vAlign w:val="center"/>
                </w:tcPr>
                <w:p w14:paraId="67B6328B">
                  <w:pPr>
                    <w:spacing w:before="51" w:line="240" w:lineRule="auto"/>
                    <w:jc w:val="center"/>
                    <w:rPr>
                      <w:color w:val="auto"/>
                      <w:spacing w:val="-6"/>
                      <w:szCs w:val="21"/>
                      <w:highlight w:val="none"/>
                    </w:rPr>
                  </w:pPr>
                  <w:r>
                    <w:rPr>
                      <w:rFonts w:hint="eastAsia"/>
                      <w:color w:val="auto"/>
                      <w:spacing w:val="-6"/>
                      <w:szCs w:val="21"/>
                      <w:highlight w:val="none"/>
                      <w:lang w:val="en-US" w:eastAsia="zh-CN"/>
                    </w:rPr>
                    <w:t>正己烷</w:t>
                  </w:r>
                </w:p>
              </w:tc>
              <w:tc>
                <w:tcPr>
                  <w:tcW w:w="1215" w:type="dxa"/>
                  <w:tcBorders>
                    <w:tl2br w:val="nil"/>
                    <w:tr2bl w:val="nil"/>
                  </w:tcBorders>
                  <w:shd w:val="clear" w:color="auto" w:fill="auto"/>
                  <w:vAlign w:val="center"/>
                </w:tcPr>
                <w:p w14:paraId="5929396A">
                  <w:pPr>
                    <w:spacing w:before="53" w:line="228" w:lineRule="auto"/>
                    <w:jc w:val="center"/>
                    <w:rPr>
                      <w:rFonts w:hint="eastAsia" w:eastAsia="宋体"/>
                      <w:color w:val="auto"/>
                      <w:spacing w:val="-4"/>
                      <w:szCs w:val="21"/>
                      <w:highlight w:val="none"/>
                      <w:lang w:val="en-US" w:eastAsia="zh-CN"/>
                    </w:rPr>
                  </w:pPr>
                  <w:r>
                    <w:rPr>
                      <w:rFonts w:hint="eastAsia" w:eastAsia="宋体"/>
                      <w:color w:val="auto"/>
                      <w:spacing w:val="-4"/>
                      <w:szCs w:val="21"/>
                      <w:highlight w:val="none"/>
                      <w:lang w:val="en-US" w:eastAsia="zh-CN"/>
                    </w:rPr>
                    <w:t>4L/瓶</w:t>
                  </w:r>
                </w:p>
              </w:tc>
              <w:tc>
                <w:tcPr>
                  <w:tcW w:w="1363" w:type="dxa"/>
                  <w:tcBorders>
                    <w:tl2br w:val="nil"/>
                    <w:tr2bl w:val="nil"/>
                  </w:tcBorders>
                  <w:shd w:val="clear" w:color="auto" w:fill="auto"/>
                  <w:vAlign w:val="center"/>
                </w:tcPr>
                <w:p w14:paraId="3B91167B">
                  <w:pPr>
                    <w:spacing w:before="53" w:line="228" w:lineRule="auto"/>
                    <w:jc w:val="center"/>
                    <w:rPr>
                      <w:rFonts w:hint="eastAsia"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20</w:t>
                  </w:r>
                </w:p>
              </w:tc>
              <w:tc>
                <w:tcPr>
                  <w:tcW w:w="1227" w:type="dxa"/>
                  <w:tcBorders>
                    <w:tl2br w:val="nil"/>
                    <w:tr2bl w:val="nil"/>
                  </w:tcBorders>
                  <w:shd w:val="clear" w:color="auto" w:fill="auto"/>
                  <w:vAlign w:val="center"/>
                </w:tcPr>
                <w:p w14:paraId="02046492">
                  <w:pPr>
                    <w:numPr>
                      <w:ilvl w:val="0"/>
                      <w:numId w:val="0"/>
                    </w:numPr>
                    <w:spacing w:line="240" w:lineRule="auto"/>
                    <w:ind w:left="0" w:leftChars="0" w:firstLine="0" w:firstLineChars="0"/>
                    <w:jc w:val="center"/>
                    <w:rPr>
                      <w:rFonts w:hint="default"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0.659</w:t>
                  </w:r>
                </w:p>
              </w:tc>
              <w:tc>
                <w:tcPr>
                  <w:tcW w:w="1227" w:type="dxa"/>
                  <w:tcBorders>
                    <w:tl2br w:val="nil"/>
                    <w:tr2bl w:val="nil"/>
                  </w:tcBorders>
                  <w:shd w:val="clear" w:color="auto" w:fill="auto"/>
                  <w:vAlign w:val="center"/>
                </w:tcPr>
                <w:p w14:paraId="130919EA">
                  <w:pPr>
                    <w:spacing w:before="88" w:line="240" w:lineRule="auto"/>
                    <w:jc w:val="center"/>
                    <w:rPr>
                      <w:rFonts w:hint="default"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 xml:space="preserve">52.72 </w:t>
                  </w:r>
                </w:p>
              </w:tc>
            </w:tr>
            <w:tr w14:paraId="566AA1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9" w:type="dxa"/>
                  <w:tcBorders>
                    <w:tl2br w:val="nil"/>
                    <w:tr2bl w:val="nil"/>
                  </w:tcBorders>
                  <w:vAlign w:val="center"/>
                </w:tcPr>
                <w:p w14:paraId="6EDD9ABB">
                  <w:pPr>
                    <w:numPr>
                      <w:ilvl w:val="0"/>
                      <w:numId w:val="41"/>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736" w:type="dxa"/>
                  <w:tcBorders>
                    <w:tl2br w:val="nil"/>
                    <w:tr2bl w:val="nil"/>
                  </w:tcBorders>
                  <w:shd w:val="clear" w:color="auto" w:fill="auto"/>
                  <w:vAlign w:val="center"/>
                </w:tcPr>
                <w:p w14:paraId="040B8AFD">
                  <w:pPr>
                    <w:spacing w:before="51" w:line="240" w:lineRule="auto"/>
                    <w:jc w:val="center"/>
                    <w:rPr>
                      <w:color w:val="auto"/>
                      <w:spacing w:val="-6"/>
                      <w:szCs w:val="21"/>
                      <w:highlight w:val="none"/>
                    </w:rPr>
                  </w:pPr>
                  <w:r>
                    <w:rPr>
                      <w:rFonts w:hint="eastAsia"/>
                      <w:color w:val="auto"/>
                      <w:spacing w:val="-6"/>
                      <w:szCs w:val="21"/>
                      <w:highlight w:val="none"/>
                      <w:lang w:val="en-US" w:eastAsia="zh-CN"/>
                    </w:rPr>
                    <w:t>丙酮</w:t>
                  </w:r>
                </w:p>
              </w:tc>
              <w:tc>
                <w:tcPr>
                  <w:tcW w:w="1215" w:type="dxa"/>
                  <w:tcBorders>
                    <w:tl2br w:val="nil"/>
                    <w:tr2bl w:val="nil"/>
                  </w:tcBorders>
                  <w:shd w:val="clear" w:color="auto" w:fill="auto"/>
                  <w:vAlign w:val="center"/>
                </w:tcPr>
                <w:p w14:paraId="093C647C">
                  <w:pPr>
                    <w:spacing w:before="53" w:line="228" w:lineRule="auto"/>
                    <w:jc w:val="center"/>
                    <w:rPr>
                      <w:rFonts w:hint="eastAsia" w:eastAsia="宋体"/>
                      <w:color w:val="auto"/>
                      <w:spacing w:val="-4"/>
                      <w:szCs w:val="21"/>
                      <w:highlight w:val="none"/>
                      <w:lang w:val="en-US" w:eastAsia="zh-CN"/>
                    </w:rPr>
                  </w:pPr>
                  <w:r>
                    <w:rPr>
                      <w:rFonts w:hint="eastAsia" w:eastAsia="宋体"/>
                      <w:color w:val="auto"/>
                      <w:spacing w:val="-4"/>
                      <w:szCs w:val="21"/>
                      <w:highlight w:val="none"/>
                      <w:lang w:val="en-US" w:eastAsia="zh-CN"/>
                    </w:rPr>
                    <w:t>4L/瓶</w:t>
                  </w:r>
                </w:p>
              </w:tc>
              <w:tc>
                <w:tcPr>
                  <w:tcW w:w="1363" w:type="dxa"/>
                  <w:tcBorders>
                    <w:tl2br w:val="nil"/>
                    <w:tr2bl w:val="nil"/>
                  </w:tcBorders>
                  <w:shd w:val="clear" w:color="auto" w:fill="auto"/>
                  <w:vAlign w:val="center"/>
                </w:tcPr>
                <w:p w14:paraId="3BB7E64B">
                  <w:pPr>
                    <w:spacing w:before="53" w:line="228" w:lineRule="auto"/>
                    <w:jc w:val="center"/>
                    <w:rPr>
                      <w:rFonts w:hint="eastAsia" w:eastAsia="Times New Roman" w:cs="Times New Roman"/>
                      <w:color w:val="auto"/>
                      <w:spacing w:val="6"/>
                      <w:kern w:val="2"/>
                      <w:sz w:val="21"/>
                      <w:szCs w:val="21"/>
                      <w:highlight w:val="none"/>
                      <w:lang w:val="en-US" w:eastAsia="zh-CN" w:bidi="ar-SA"/>
                    </w:rPr>
                  </w:pPr>
                  <w:r>
                    <w:rPr>
                      <w:rFonts w:hint="eastAsia" w:eastAsia="Times New Roman" w:cs="Times New Roman"/>
                      <w:color w:val="auto"/>
                      <w:spacing w:val="6"/>
                      <w:kern w:val="2"/>
                      <w:sz w:val="21"/>
                      <w:szCs w:val="21"/>
                      <w:highlight w:val="none"/>
                      <w:lang w:val="en-US" w:eastAsia="zh-CN" w:bidi="ar-SA"/>
                    </w:rPr>
                    <w:t>12</w:t>
                  </w:r>
                </w:p>
              </w:tc>
              <w:tc>
                <w:tcPr>
                  <w:tcW w:w="1227" w:type="dxa"/>
                  <w:tcBorders>
                    <w:tl2br w:val="nil"/>
                    <w:tr2bl w:val="nil"/>
                  </w:tcBorders>
                  <w:shd w:val="clear" w:color="auto" w:fill="auto"/>
                  <w:vAlign w:val="center"/>
                </w:tcPr>
                <w:p w14:paraId="27377E1C">
                  <w:pPr>
                    <w:numPr>
                      <w:ilvl w:val="0"/>
                      <w:numId w:val="0"/>
                    </w:numPr>
                    <w:spacing w:line="240" w:lineRule="auto"/>
                    <w:ind w:left="0" w:leftChars="0" w:firstLine="0" w:firstLineChars="0"/>
                    <w:jc w:val="center"/>
                    <w:rPr>
                      <w:rFonts w:hint="default"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0.789</w:t>
                  </w:r>
                </w:p>
              </w:tc>
              <w:tc>
                <w:tcPr>
                  <w:tcW w:w="1227" w:type="dxa"/>
                  <w:tcBorders>
                    <w:tl2br w:val="nil"/>
                    <w:tr2bl w:val="nil"/>
                  </w:tcBorders>
                  <w:shd w:val="clear" w:color="auto" w:fill="auto"/>
                  <w:vAlign w:val="center"/>
                </w:tcPr>
                <w:p w14:paraId="02432611">
                  <w:pPr>
                    <w:spacing w:before="88" w:line="240" w:lineRule="auto"/>
                    <w:jc w:val="center"/>
                    <w:rPr>
                      <w:rFonts w:hint="default"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 xml:space="preserve">37.87 </w:t>
                  </w:r>
                </w:p>
              </w:tc>
            </w:tr>
          </w:tbl>
          <w:p w14:paraId="274D787D">
            <w:pPr>
              <w:numPr>
                <w:ilvl w:val="0"/>
                <w:numId w:val="42"/>
              </w:numPr>
              <w:adjustRightInd w:val="0"/>
              <w:snapToGrid w:val="0"/>
              <w:spacing w:line="360" w:lineRule="auto"/>
              <w:ind w:left="0" w:lef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lang w:val="en-US" w:eastAsia="zh-CN"/>
              </w:rPr>
              <w:t xml:space="preserve">挥发性有机废气 </w:t>
            </w:r>
          </w:p>
          <w:p w14:paraId="6E063E97">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本</w:t>
            </w:r>
            <w:r>
              <w:rPr>
                <w:rFonts w:hint="eastAsia" w:ascii="Times New Roman" w:hAnsi="Times New Roman" w:eastAsia="宋体" w:cs="Times New Roman"/>
                <w:color w:val="auto"/>
                <w:kern w:val="0"/>
                <w:sz w:val="24"/>
                <w:highlight w:val="none"/>
                <w:lang w:val="en-US" w:eastAsia="zh-CN"/>
              </w:rPr>
              <w:t>项目使用的有机试剂主要有甲醇、乙醇、乙酸乙酯</w:t>
            </w:r>
            <w:r>
              <w:rPr>
                <w:rFonts w:hint="eastAsia" w:cs="Times New Roman"/>
                <w:color w:val="auto"/>
                <w:kern w:val="0"/>
                <w:sz w:val="24"/>
                <w:highlight w:val="none"/>
                <w:lang w:val="en-US" w:eastAsia="zh-CN"/>
              </w:rPr>
              <w:t>、乙醚</w:t>
            </w:r>
            <w:r>
              <w:rPr>
                <w:rFonts w:hint="eastAsia" w:ascii="Times New Roman" w:hAnsi="Times New Roman" w:eastAsia="宋体" w:cs="Times New Roman"/>
                <w:color w:val="auto"/>
                <w:kern w:val="0"/>
                <w:sz w:val="24"/>
                <w:highlight w:val="none"/>
                <w:lang w:val="en-US" w:eastAsia="zh-CN"/>
              </w:rPr>
              <w:t>等，使用过程中会产生挥发性有机废气，企业每天有机试剂使用时间约</w:t>
            </w:r>
            <w:r>
              <w:rPr>
                <w:rFonts w:hint="default" w:ascii="Times New Roman" w:hAnsi="Times New Roman" w:eastAsia="宋体" w:cs="Times New Roman"/>
                <w:color w:val="auto"/>
                <w:kern w:val="0"/>
                <w:sz w:val="24"/>
                <w:highlight w:val="none"/>
                <w:lang w:val="en-US" w:eastAsia="zh-CN"/>
              </w:rPr>
              <w:t>4h</w:t>
            </w:r>
            <w:r>
              <w:rPr>
                <w:rFonts w:hint="eastAsia" w:ascii="Times New Roman" w:hAnsi="Times New Roman" w:eastAsia="宋体" w:cs="Times New Roman"/>
                <w:color w:val="auto"/>
                <w:kern w:val="0"/>
                <w:sz w:val="24"/>
                <w:highlight w:val="none"/>
                <w:lang w:val="en-US" w:eastAsia="zh-CN"/>
              </w:rPr>
              <w:t>，每年使用有机试剂天数为</w:t>
            </w:r>
            <w:r>
              <w:rPr>
                <w:rFonts w:hint="eastAsia" w:cs="Times New Roman"/>
                <w:color w:val="auto"/>
                <w:kern w:val="0"/>
                <w:sz w:val="24"/>
                <w:highlight w:val="none"/>
                <w:lang w:val="en-US" w:eastAsia="zh-CN"/>
              </w:rPr>
              <w:t>250</w:t>
            </w:r>
            <w:r>
              <w:rPr>
                <w:rFonts w:hint="eastAsia" w:ascii="Times New Roman" w:hAnsi="Times New Roman" w:eastAsia="宋体" w:cs="Times New Roman"/>
                <w:color w:val="auto"/>
                <w:kern w:val="0"/>
                <w:sz w:val="24"/>
                <w:highlight w:val="none"/>
                <w:lang w:val="en-US" w:eastAsia="zh-CN"/>
              </w:rPr>
              <w:t xml:space="preserve">天。 </w:t>
            </w:r>
          </w:p>
          <w:p w14:paraId="5C679DD1">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 xml:space="preserve">根据美国环境保护局编写的《空气污染物排放和控制手册工业污染源调查与研究》等相关资料可知，在实验状态下，有机试剂的挥发比例一般为试剂使用量的 </w:t>
            </w:r>
            <w:r>
              <w:rPr>
                <w:rFonts w:hint="default" w:ascii="Times New Roman" w:hAnsi="Times New Roman" w:eastAsia="宋体" w:cs="Times New Roman"/>
                <w:color w:val="auto"/>
                <w:kern w:val="0"/>
                <w:sz w:val="24"/>
                <w:highlight w:val="none"/>
                <w:lang w:val="en-US" w:eastAsia="zh-CN"/>
              </w:rPr>
              <w:t>1%-4%</w:t>
            </w:r>
            <w:r>
              <w:rPr>
                <w:rFonts w:hint="eastAsia" w:ascii="Times New Roman" w:hAnsi="Times New Roman" w:eastAsia="宋体" w:cs="Times New Roman"/>
                <w:color w:val="auto"/>
                <w:kern w:val="0"/>
                <w:sz w:val="24"/>
                <w:highlight w:val="none"/>
                <w:lang w:val="en-US" w:eastAsia="zh-CN"/>
              </w:rPr>
              <w:t>，</w:t>
            </w:r>
            <w:r>
              <w:rPr>
                <w:rFonts w:hint="eastAsia" w:cs="Times New Roman"/>
                <w:color w:val="auto"/>
                <w:kern w:val="0"/>
                <w:sz w:val="24"/>
                <w:highlight w:val="none"/>
                <w:lang w:val="en-US" w:eastAsia="zh-CN"/>
              </w:rPr>
              <w:t>本</w:t>
            </w:r>
            <w:r>
              <w:rPr>
                <w:rFonts w:hint="eastAsia" w:ascii="Times New Roman" w:hAnsi="Times New Roman" w:eastAsia="宋体" w:cs="Times New Roman"/>
                <w:color w:val="auto"/>
                <w:kern w:val="0"/>
                <w:sz w:val="24"/>
                <w:highlight w:val="none"/>
                <w:lang w:val="en-US" w:eastAsia="zh-CN"/>
              </w:rPr>
              <w:t>项目以最不利情况考虑，挥发比例以</w:t>
            </w:r>
            <w:r>
              <w:rPr>
                <w:rFonts w:hint="default" w:ascii="Times New Roman" w:hAnsi="Times New Roman" w:eastAsia="宋体" w:cs="Times New Roman"/>
                <w:color w:val="auto"/>
                <w:kern w:val="0"/>
                <w:sz w:val="24"/>
                <w:highlight w:val="none"/>
                <w:lang w:val="en-US" w:eastAsia="zh-CN"/>
              </w:rPr>
              <w:t>4%</w:t>
            </w:r>
            <w:r>
              <w:rPr>
                <w:rFonts w:hint="eastAsia" w:ascii="Times New Roman" w:hAnsi="Times New Roman" w:eastAsia="宋体" w:cs="Times New Roman"/>
                <w:color w:val="auto"/>
                <w:kern w:val="0"/>
                <w:sz w:val="24"/>
                <w:highlight w:val="none"/>
                <w:lang w:val="en-US" w:eastAsia="zh-CN"/>
              </w:rPr>
              <w:t>计。</w:t>
            </w:r>
            <w:r>
              <w:rPr>
                <w:rFonts w:hint="eastAsia" w:cs="Times New Roman"/>
                <w:color w:val="auto"/>
                <w:kern w:val="0"/>
                <w:sz w:val="24"/>
                <w:highlight w:val="none"/>
                <w:lang w:val="en-US" w:eastAsia="zh-CN"/>
              </w:rPr>
              <w:t>本</w:t>
            </w:r>
            <w:r>
              <w:rPr>
                <w:rFonts w:hint="eastAsia" w:ascii="Times New Roman" w:hAnsi="Times New Roman" w:eastAsia="宋体" w:cs="Times New Roman"/>
                <w:color w:val="auto"/>
                <w:kern w:val="0"/>
                <w:sz w:val="24"/>
                <w:highlight w:val="none"/>
                <w:lang w:val="en-US" w:eastAsia="zh-CN"/>
              </w:rPr>
              <w:t xml:space="preserve">项目挥发性有机试剂的用量及挥发量见下表。 </w:t>
            </w:r>
          </w:p>
          <w:p w14:paraId="25B4296C">
            <w:pPr>
              <w:keepNext w:val="0"/>
              <w:keepLines w:val="0"/>
              <w:widowControl/>
              <w:numPr>
                <w:ilvl w:val="0"/>
                <w:numId w:val="40"/>
              </w:numPr>
              <w:suppressLineNumbers w:val="0"/>
              <w:ind w:left="425" w:leftChars="0" w:hanging="425" w:firstLineChars="0"/>
              <w:jc w:val="center"/>
              <w:rPr>
                <w:rFonts w:hint="eastAsia" w:ascii="Times New Roman" w:hAnsi="Times New Roman" w:eastAsia="宋体" w:cs="Times New Roman"/>
                <w:b/>
                <w:bCs/>
                <w:color w:val="auto"/>
                <w:kern w:val="0"/>
                <w:sz w:val="24"/>
                <w:szCs w:val="24"/>
                <w:highlight w:val="none"/>
                <w:lang w:val="en-US" w:eastAsia="zh-CN"/>
              </w:rPr>
            </w:pPr>
            <w:r>
              <w:rPr>
                <w:rFonts w:hint="eastAsia" w:ascii="宋体" w:hAnsi="宋体" w:cs="宋体"/>
                <w:b/>
                <w:bCs/>
                <w:color w:val="auto"/>
                <w:kern w:val="0"/>
                <w:sz w:val="24"/>
                <w:szCs w:val="24"/>
                <w:lang w:val="en-US" w:eastAsia="zh-CN" w:bidi="ar"/>
              </w:rPr>
              <w:t>本</w:t>
            </w:r>
            <w:r>
              <w:rPr>
                <w:rFonts w:hint="eastAsia" w:ascii="宋体" w:hAnsi="宋体" w:eastAsia="宋体" w:cs="宋体"/>
                <w:b/>
                <w:bCs/>
                <w:color w:val="auto"/>
                <w:kern w:val="0"/>
                <w:sz w:val="24"/>
                <w:szCs w:val="24"/>
                <w:lang w:val="en-US" w:eastAsia="zh-CN" w:bidi="ar"/>
              </w:rPr>
              <w:t>项目挥发性有机试剂用量及挥发量一览表</w:t>
            </w:r>
          </w:p>
          <w:tbl>
            <w:tblPr>
              <w:tblStyle w:val="24"/>
              <w:tblW w:w="7556"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008"/>
              <w:gridCol w:w="907"/>
              <w:gridCol w:w="730"/>
              <w:gridCol w:w="1814"/>
              <w:gridCol w:w="1201"/>
              <w:gridCol w:w="1201"/>
            </w:tblGrid>
            <w:tr w14:paraId="0F15A7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695" w:type="dxa"/>
                  <w:tcBorders>
                    <w:tl2br w:val="nil"/>
                    <w:tr2bl w:val="nil"/>
                  </w:tcBorders>
                  <w:vAlign w:val="center"/>
                </w:tcPr>
                <w:p w14:paraId="1CD67C21">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序号</w:t>
                  </w:r>
                </w:p>
              </w:tc>
              <w:tc>
                <w:tcPr>
                  <w:tcW w:w="1008" w:type="dxa"/>
                  <w:tcBorders>
                    <w:tl2br w:val="nil"/>
                    <w:tr2bl w:val="nil"/>
                  </w:tcBorders>
                  <w:vAlign w:val="center"/>
                </w:tcPr>
                <w:p w14:paraId="0DFDAE26">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试剂名称</w:t>
                  </w:r>
                </w:p>
              </w:tc>
              <w:tc>
                <w:tcPr>
                  <w:tcW w:w="907" w:type="dxa"/>
                  <w:tcBorders>
                    <w:tl2br w:val="nil"/>
                    <w:tr2bl w:val="nil"/>
                  </w:tcBorders>
                  <w:vAlign w:val="center"/>
                </w:tcPr>
                <w:p w14:paraId="492ADDAC">
                  <w:pPr>
                    <w:numPr>
                      <w:ilvl w:val="0"/>
                      <w:numId w:val="0"/>
                    </w:numPr>
                    <w:adjustRightInd w:val="0"/>
                    <w:snapToGrid w:val="0"/>
                    <w:spacing w:line="240" w:lineRule="auto"/>
                    <w:jc w:val="center"/>
                    <w:rPr>
                      <w:rFonts w:hint="eastAsia"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年用量（</w:t>
                  </w:r>
                  <w:r>
                    <w:rPr>
                      <w:rFonts w:hint="default" w:cs="Times New Roman"/>
                      <w:b/>
                      <w:bCs/>
                      <w:color w:val="auto"/>
                      <w:kern w:val="0"/>
                      <w:sz w:val="21"/>
                      <w:szCs w:val="21"/>
                      <w:highlight w:val="none"/>
                      <w:vertAlign w:val="baseline"/>
                      <w:lang w:val="en-US" w:eastAsia="zh-CN"/>
                    </w:rPr>
                    <w:t>kg/h)</w:t>
                  </w:r>
                </w:p>
              </w:tc>
              <w:tc>
                <w:tcPr>
                  <w:tcW w:w="730" w:type="dxa"/>
                  <w:tcBorders>
                    <w:tl2br w:val="nil"/>
                    <w:tr2bl w:val="nil"/>
                  </w:tcBorders>
                  <w:vAlign w:val="center"/>
                </w:tcPr>
                <w:p w14:paraId="3CAFF905">
                  <w:pPr>
                    <w:numPr>
                      <w:ilvl w:val="0"/>
                      <w:numId w:val="0"/>
                    </w:numPr>
                    <w:adjustRightInd w:val="0"/>
                    <w:snapToGrid w:val="0"/>
                    <w:spacing w:line="240" w:lineRule="auto"/>
                    <w:jc w:val="center"/>
                    <w:rPr>
                      <w:rFonts w:hint="eastAsia"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挥发</w:t>
                  </w:r>
                </w:p>
                <w:p w14:paraId="6E6C27B1">
                  <w:pPr>
                    <w:numPr>
                      <w:ilvl w:val="0"/>
                      <w:numId w:val="0"/>
                    </w:numPr>
                    <w:adjustRightInd w:val="0"/>
                    <w:snapToGrid w:val="0"/>
                    <w:spacing w:line="240" w:lineRule="auto"/>
                    <w:jc w:val="center"/>
                    <w:rPr>
                      <w:rFonts w:hint="default"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比例</w:t>
                  </w:r>
                </w:p>
              </w:tc>
              <w:tc>
                <w:tcPr>
                  <w:tcW w:w="1814" w:type="dxa"/>
                  <w:tcBorders>
                    <w:tl2br w:val="nil"/>
                    <w:tr2bl w:val="nil"/>
                  </w:tcBorders>
                  <w:vAlign w:val="center"/>
                </w:tcPr>
                <w:p w14:paraId="32F5FC85">
                  <w:pPr>
                    <w:numPr>
                      <w:ilvl w:val="0"/>
                      <w:numId w:val="0"/>
                    </w:numPr>
                    <w:adjustRightInd w:val="0"/>
                    <w:snapToGrid w:val="0"/>
                    <w:spacing w:line="240" w:lineRule="auto"/>
                    <w:jc w:val="center"/>
                    <w:rPr>
                      <w:rFonts w:hint="eastAsia"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污染物名称</w:t>
                  </w:r>
                </w:p>
              </w:tc>
              <w:tc>
                <w:tcPr>
                  <w:tcW w:w="1201" w:type="dxa"/>
                  <w:tcBorders>
                    <w:tl2br w:val="nil"/>
                    <w:tr2bl w:val="nil"/>
                  </w:tcBorders>
                  <w:vAlign w:val="center"/>
                </w:tcPr>
                <w:p w14:paraId="5A910E3C">
                  <w:pPr>
                    <w:numPr>
                      <w:ilvl w:val="0"/>
                      <w:numId w:val="0"/>
                    </w:numPr>
                    <w:adjustRightInd w:val="0"/>
                    <w:snapToGrid w:val="0"/>
                    <w:spacing w:line="240" w:lineRule="auto"/>
                    <w:jc w:val="center"/>
                    <w:rPr>
                      <w:rFonts w:hint="eastAsia"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污染物产生量（</w:t>
                  </w:r>
                  <w:r>
                    <w:rPr>
                      <w:rFonts w:hint="default" w:cs="Times New Roman"/>
                      <w:b/>
                      <w:bCs/>
                      <w:color w:val="auto"/>
                      <w:kern w:val="0"/>
                      <w:sz w:val="21"/>
                      <w:szCs w:val="21"/>
                      <w:highlight w:val="none"/>
                      <w:vertAlign w:val="baseline"/>
                      <w:lang w:val="en-US" w:eastAsia="zh-CN"/>
                    </w:rPr>
                    <w:t>kg/</w:t>
                  </w:r>
                  <w:r>
                    <w:rPr>
                      <w:rFonts w:hint="eastAsia" w:cs="Times New Roman"/>
                      <w:b/>
                      <w:bCs/>
                      <w:color w:val="auto"/>
                      <w:kern w:val="0"/>
                      <w:sz w:val="21"/>
                      <w:szCs w:val="21"/>
                      <w:highlight w:val="none"/>
                      <w:vertAlign w:val="baseline"/>
                      <w:lang w:val="en-US" w:eastAsia="zh-CN"/>
                    </w:rPr>
                    <w:t>a)</w:t>
                  </w:r>
                </w:p>
              </w:tc>
              <w:tc>
                <w:tcPr>
                  <w:tcW w:w="1201" w:type="dxa"/>
                  <w:tcBorders>
                    <w:tl2br w:val="nil"/>
                    <w:tr2bl w:val="nil"/>
                  </w:tcBorders>
                  <w:vAlign w:val="center"/>
                </w:tcPr>
                <w:p w14:paraId="1F8BBF89">
                  <w:pPr>
                    <w:numPr>
                      <w:ilvl w:val="0"/>
                      <w:numId w:val="0"/>
                    </w:numPr>
                    <w:adjustRightInd w:val="0"/>
                    <w:snapToGrid w:val="0"/>
                    <w:spacing w:line="240" w:lineRule="auto"/>
                    <w:jc w:val="center"/>
                    <w:rPr>
                      <w:rFonts w:hint="default"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产生速率（</w:t>
                  </w:r>
                  <w:r>
                    <w:rPr>
                      <w:rFonts w:hint="default" w:cs="Times New Roman"/>
                      <w:b/>
                      <w:bCs/>
                      <w:color w:val="auto"/>
                      <w:kern w:val="0"/>
                      <w:sz w:val="21"/>
                      <w:szCs w:val="21"/>
                      <w:highlight w:val="none"/>
                      <w:vertAlign w:val="baseline"/>
                      <w:lang w:val="en-US" w:eastAsia="zh-CN"/>
                    </w:rPr>
                    <w:t>kg/</w:t>
                  </w:r>
                  <w:r>
                    <w:rPr>
                      <w:rFonts w:hint="eastAsia" w:cs="Times New Roman"/>
                      <w:b/>
                      <w:bCs/>
                      <w:color w:val="auto"/>
                      <w:kern w:val="0"/>
                      <w:sz w:val="21"/>
                      <w:szCs w:val="21"/>
                      <w:highlight w:val="none"/>
                      <w:vertAlign w:val="baseline"/>
                      <w:lang w:val="en-US" w:eastAsia="zh-CN"/>
                    </w:rPr>
                    <w:t>h)</w:t>
                  </w:r>
                </w:p>
              </w:tc>
            </w:tr>
            <w:tr w14:paraId="7BF6FB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95" w:type="dxa"/>
                  <w:tcBorders>
                    <w:tl2br w:val="nil"/>
                    <w:tr2bl w:val="nil"/>
                  </w:tcBorders>
                  <w:vAlign w:val="center"/>
                </w:tcPr>
                <w:p w14:paraId="7824401D">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1</w:t>
                  </w:r>
                </w:p>
              </w:tc>
              <w:tc>
                <w:tcPr>
                  <w:tcW w:w="1008" w:type="dxa"/>
                  <w:tcBorders>
                    <w:tl2br w:val="nil"/>
                    <w:tr2bl w:val="nil"/>
                  </w:tcBorders>
                  <w:vAlign w:val="center"/>
                </w:tcPr>
                <w:p w14:paraId="6E78B7B9">
                  <w:pPr>
                    <w:spacing w:before="51" w:line="227" w:lineRule="auto"/>
                    <w:jc w:val="center"/>
                    <w:rPr>
                      <w:rFonts w:hint="default"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SA"/>
                    </w:rPr>
                    <w:t>甲醇</w:t>
                  </w:r>
                </w:p>
              </w:tc>
              <w:tc>
                <w:tcPr>
                  <w:tcW w:w="907" w:type="dxa"/>
                  <w:tcBorders>
                    <w:tl2br w:val="nil"/>
                    <w:tr2bl w:val="nil"/>
                  </w:tcBorders>
                  <w:vAlign w:val="center"/>
                </w:tcPr>
                <w:p w14:paraId="322346D3">
                  <w:pPr>
                    <w:spacing w:before="88" w:line="240" w:lineRule="auto"/>
                    <w:jc w:val="center"/>
                    <w:rPr>
                      <w:rFonts w:hint="default" w:cs="Times New Roman"/>
                      <w:color w:val="auto"/>
                      <w:kern w:val="0"/>
                      <w:sz w:val="21"/>
                      <w:szCs w:val="21"/>
                      <w:highlight w:val="none"/>
                      <w:vertAlign w:val="baseline"/>
                      <w:lang w:val="en-US" w:eastAsia="zh-CN"/>
                    </w:rPr>
                  </w:pPr>
                  <w:r>
                    <w:rPr>
                      <w:rFonts w:hint="eastAsia" w:eastAsia="宋体" w:cs="Times New Roman"/>
                      <w:color w:val="auto"/>
                      <w:kern w:val="2"/>
                      <w:sz w:val="21"/>
                      <w:szCs w:val="21"/>
                      <w:highlight w:val="none"/>
                      <w:lang w:val="en-US" w:eastAsia="zh-CN" w:bidi="ar-SA"/>
                    </w:rPr>
                    <w:t xml:space="preserve">3.96 </w:t>
                  </w:r>
                </w:p>
              </w:tc>
              <w:tc>
                <w:tcPr>
                  <w:tcW w:w="730" w:type="dxa"/>
                  <w:vMerge w:val="restart"/>
                  <w:tcBorders>
                    <w:tl2br w:val="nil"/>
                    <w:tr2bl w:val="nil"/>
                  </w:tcBorders>
                  <w:vAlign w:val="center"/>
                </w:tcPr>
                <w:p w14:paraId="66693789">
                  <w:pPr>
                    <w:numPr>
                      <w:ilvl w:val="0"/>
                      <w:numId w:val="0"/>
                    </w:numPr>
                    <w:adjustRightInd w:val="0"/>
                    <w:snapToGrid w:val="0"/>
                    <w:spacing w:line="240" w:lineRule="auto"/>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4%</w:t>
                  </w:r>
                </w:p>
              </w:tc>
              <w:tc>
                <w:tcPr>
                  <w:tcW w:w="1814" w:type="dxa"/>
                  <w:tcBorders>
                    <w:tl2br w:val="nil"/>
                    <w:tr2bl w:val="nil"/>
                  </w:tcBorders>
                  <w:vAlign w:val="center"/>
                </w:tcPr>
                <w:p w14:paraId="2F318D9F">
                  <w:pPr>
                    <w:spacing w:before="51" w:line="227" w:lineRule="auto"/>
                    <w:jc w:val="center"/>
                    <w:rPr>
                      <w:rFonts w:hint="default"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SA"/>
                    </w:rPr>
                    <w:t>甲醇</w:t>
                  </w:r>
                </w:p>
              </w:tc>
              <w:tc>
                <w:tcPr>
                  <w:tcW w:w="1201" w:type="dxa"/>
                  <w:tcBorders>
                    <w:tl2br w:val="nil"/>
                    <w:tr2bl w:val="nil"/>
                  </w:tcBorders>
                  <w:vAlign w:val="center"/>
                </w:tcPr>
                <w:p w14:paraId="45B0AC9A">
                  <w:pPr>
                    <w:numPr>
                      <w:ilvl w:val="0"/>
                      <w:numId w:val="0"/>
                    </w:numPr>
                    <w:adjustRightInd w:val="0"/>
                    <w:snapToGrid w:val="0"/>
                    <w:spacing w:line="240" w:lineRule="auto"/>
                    <w:ind w:left="0" w:leftChars="0" w:firstLine="0" w:firstLineChars="0"/>
                    <w:jc w:val="center"/>
                    <w:rPr>
                      <w:rFonts w:hint="default" w:cs="Times New Roman"/>
                      <w:color w:val="auto"/>
                      <w:kern w:val="0"/>
                      <w:sz w:val="21"/>
                      <w:szCs w:val="21"/>
                      <w:highlight w:val="none"/>
                      <w:vertAlign w:val="baseline"/>
                      <w:lang w:val="en-US" w:eastAsia="zh-CN"/>
                    </w:rPr>
                  </w:pPr>
                  <w:r>
                    <w:rPr>
                      <w:rFonts w:hint="eastAsia" w:eastAsia="宋体" w:cs="Times New Roman"/>
                      <w:color w:val="auto"/>
                      <w:kern w:val="0"/>
                      <w:sz w:val="21"/>
                      <w:szCs w:val="21"/>
                      <w:highlight w:val="none"/>
                      <w:vertAlign w:val="baseline"/>
                      <w:lang w:val="en-US" w:eastAsia="zh-CN"/>
                    </w:rPr>
                    <w:t xml:space="preserve">0.1584 </w:t>
                  </w:r>
                </w:p>
              </w:tc>
              <w:tc>
                <w:tcPr>
                  <w:tcW w:w="1201" w:type="dxa"/>
                  <w:tcBorders>
                    <w:tl2br w:val="nil"/>
                    <w:tr2bl w:val="nil"/>
                  </w:tcBorders>
                  <w:vAlign w:val="center"/>
                </w:tcPr>
                <w:p w14:paraId="2EEF3AB1">
                  <w:pPr>
                    <w:numPr>
                      <w:ilvl w:val="0"/>
                      <w:numId w:val="0"/>
                    </w:numPr>
                    <w:adjustRightInd w:val="0"/>
                    <w:snapToGrid w:val="0"/>
                    <w:spacing w:line="240" w:lineRule="auto"/>
                    <w:jc w:val="center"/>
                    <w:rPr>
                      <w:rFonts w:hint="default" w:eastAsia="宋体" w:cs="Times New Roman"/>
                      <w:color w:val="auto"/>
                      <w:kern w:val="0"/>
                      <w:sz w:val="21"/>
                      <w:szCs w:val="21"/>
                      <w:highlight w:val="none"/>
                      <w:vertAlign w:val="baseline"/>
                      <w:lang w:val="en-US" w:eastAsia="zh-CN"/>
                    </w:rPr>
                  </w:pPr>
                  <w:r>
                    <w:rPr>
                      <w:rFonts w:hint="eastAsia" w:eastAsia="宋体" w:cs="Times New Roman"/>
                      <w:color w:val="auto"/>
                      <w:kern w:val="0"/>
                      <w:sz w:val="21"/>
                      <w:szCs w:val="21"/>
                      <w:highlight w:val="none"/>
                      <w:vertAlign w:val="baseline"/>
                      <w:lang w:val="en-US" w:eastAsia="zh-CN"/>
                    </w:rPr>
                    <w:t>0.0002</w:t>
                  </w:r>
                </w:p>
              </w:tc>
            </w:tr>
            <w:tr w14:paraId="6CEEF5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95" w:type="dxa"/>
                  <w:tcBorders>
                    <w:tl2br w:val="nil"/>
                    <w:tr2bl w:val="nil"/>
                  </w:tcBorders>
                  <w:vAlign w:val="center"/>
                </w:tcPr>
                <w:p w14:paraId="4C0ED6E4">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2</w:t>
                  </w:r>
                </w:p>
              </w:tc>
              <w:tc>
                <w:tcPr>
                  <w:tcW w:w="1008" w:type="dxa"/>
                  <w:tcBorders>
                    <w:tl2br w:val="nil"/>
                    <w:tr2bl w:val="nil"/>
                  </w:tcBorders>
                  <w:vAlign w:val="center"/>
                </w:tcPr>
                <w:p w14:paraId="4FDF2032">
                  <w:pPr>
                    <w:spacing w:before="51" w:line="232" w:lineRule="auto"/>
                    <w:jc w:val="center"/>
                    <w:rPr>
                      <w:rFonts w:hint="default"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SA"/>
                    </w:rPr>
                    <w:t>乙醇</w:t>
                  </w:r>
                </w:p>
              </w:tc>
              <w:tc>
                <w:tcPr>
                  <w:tcW w:w="907" w:type="dxa"/>
                  <w:tcBorders>
                    <w:tl2br w:val="nil"/>
                    <w:tr2bl w:val="nil"/>
                  </w:tcBorders>
                  <w:vAlign w:val="center"/>
                </w:tcPr>
                <w:p w14:paraId="08F332DC">
                  <w:pPr>
                    <w:spacing w:before="88" w:line="240" w:lineRule="auto"/>
                    <w:jc w:val="center"/>
                    <w:rPr>
                      <w:rFonts w:hint="default" w:cs="Times New Roman"/>
                      <w:color w:val="auto"/>
                      <w:kern w:val="0"/>
                      <w:sz w:val="21"/>
                      <w:szCs w:val="21"/>
                      <w:highlight w:val="none"/>
                      <w:vertAlign w:val="baseline"/>
                      <w:lang w:val="en-US" w:eastAsia="zh-CN"/>
                    </w:rPr>
                  </w:pPr>
                  <w:r>
                    <w:rPr>
                      <w:rFonts w:hint="eastAsia" w:eastAsia="宋体" w:cs="Times New Roman"/>
                      <w:color w:val="auto"/>
                      <w:kern w:val="2"/>
                      <w:sz w:val="21"/>
                      <w:szCs w:val="21"/>
                      <w:highlight w:val="none"/>
                      <w:lang w:val="en-US" w:eastAsia="zh-CN" w:bidi="ar-SA"/>
                    </w:rPr>
                    <w:t xml:space="preserve">15.78 </w:t>
                  </w:r>
                </w:p>
              </w:tc>
              <w:tc>
                <w:tcPr>
                  <w:tcW w:w="730" w:type="dxa"/>
                  <w:vMerge w:val="continue"/>
                  <w:tcBorders>
                    <w:tl2br w:val="nil"/>
                    <w:tr2bl w:val="nil"/>
                  </w:tcBorders>
                  <w:vAlign w:val="center"/>
                </w:tcPr>
                <w:p w14:paraId="3706ACE1">
                  <w:pPr>
                    <w:numPr>
                      <w:ilvl w:val="0"/>
                      <w:numId w:val="0"/>
                    </w:numPr>
                    <w:adjustRightInd w:val="0"/>
                    <w:snapToGrid w:val="0"/>
                    <w:spacing w:line="240" w:lineRule="auto"/>
                    <w:jc w:val="center"/>
                    <w:rPr>
                      <w:rFonts w:hint="eastAsia" w:cs="Times New Roman"/>
                      <w:color w:val="auto"/>
                      <w:kern w:val="0"/>
                      <w:sz w:val="21"/>
                      <w:szCs w:val="21"/>
                      <w:highlight w:val="none"/>
                      <w:vertAlign w:val="baseline"/>
                      <w:lang w:val="en-US" w:eastAsia="zh-CN"/>
                    </w:rPr>
                  </w:pPr>
                </w:p>
              </w:tc>
              <w:tc>
                <w:tcPr>
                  <w:tcW w:w="1814" w:type="dxa"/>
                  <w:tcBorders>
                    <w:tl2br w:val="nil"/>
                    <w:tr2bl w:val="nil"/>
                  </w:tcBorders>
                  <w:vAlign w:val="center"/>
                </w:tcPr>
                <w:p w14:paraId="45B87949">
                  <w:pPr>
                    <w:spacing w:before="51" w:line="232" w:lineRule="auto"/>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非甲烷总烃</w:t>
                  </w:r>
                </w:p>
              </w:tc>
              <w:tc>
                <w:tcPr>
                  <w:tcW w:w="1201" w:type="dxa"/>
                  <w:tcBorders>
                    <w:tl2br w:val="nil"/>
                    <w:tr2bl w:val="nil"/>
                  </w:tcBorders>
                  <w:vAlign w:val="center"/>
                </w:tcPr>
                <w:p w14:paraId="795A0146">
                  <w:pPr>
                    <w:numPr>
                      <w:ilvl w:val="0"/>
                      <w:numId w:val="0"/>
                    </w:numPr>
                    <w:adjustRightInd w:val="0"/>
                    <w:snapToGrid w:val="0"/>
                    <w:spacing w:line="240" w:lineRule="auto"/>
                    <w:ind w:left="0" w:leftChars="0" w:firstLine="0" w:firstLineChars="0"/>
                    <w:jc w:val="center"/>
                    <w:rPr>
                      <w:rFonts w:hint="default" w:cs="Times New Roman"/>
                      <w:color w:val="auto"/>
                      <w:kern w:val="0"/>
                      <w:sz w:val="21"/>
                      <w:szCs w:val="21"/>
                      <w:highlight w:val="none"/>
                      <w:vertAlign w:val="baseline"/>
                      <w:lang w:val="en-US" w:eastAsia="zh-CN"/>
                    </w:rPr>
                  </w:pPr>
                  <w:r>
                    <w:rPr>
                      <w:rFonts w:hint="eastAsia" w:eastAsia="宋体" w:cs="Times New Roman"/>
                      <w:color w:val="auto"/>
                      <w:kern w:val="0"/>
                      <w:sz w:val="21"/>
                      <w:szCs w:val="21"/>
                      <w:highlight w:val="none"/>
                      <w:vertAlign w:val="baseline"/>
                      <w:lang w:val="en-US" w:eastAsia="zh-CN"/>
                    </w:rPr>
                    <w:t xml:space="preserve">0.6312 </w:t>
                  </w:r>
                </w:p>
              </w:tc>
              <w:tc>
                <w:tcPr>
                  <w:tcW w:w="1201" w:type="dxa"/>
                  <w:tcBorders>
                    <w:tl2br w:val="nil"/>
                    <w:tr2bl w:val="nil"/>
                  </w:tcBorders>
                  <w:vAlign w:val="center"/>
                </w:tcPr>
                <w:p w14:paraId="1760FF26">
                  <w:pPr>
                    <w:numPr>
                      <w:ilvl w:val="0"/>
                      <w:numId w:val="0"/>
                    </w:numPr>
                    <w:adjustRightInd w:val="0"/>
                    <w:snapToGrid w:val="0"/>
                    <w:spacing w:line="240" w:lineRule="auto"/>
                    <w:jc w:val="center"/>
                    <w:rPr>
                      <w:rFonts w:hint="default" w:eastAsia="宋体" w:cs="Times New Roman"/>
                      <w:color w:val="auto"/>
                      <w:kern w:val="0"/>
                      <w:sz w:val="21"/>
                      <w:szCs w:val="21"/>
                      <w:highlight w:val="none"/>
                      <w:vertAlign w:val="baseline"/>
                      <w:lang w:val="en-US" w:eastAsia="zh-CN"/>
                    </w:rPr>
                  </w:pPr>
                  <w:r>
                    <w:rPr>
                      <w:rFonts w:hint="eastAsia" w:eastAsia="宋体" w:cs="Times New Roman"/>
                      <w:color w:val="auto"/>
                      <w:kern w:val="0"/>
                      <w:sz w:val="21"/>
                      <w:szCs w:val="21"/>
                      <w:highlight w:val="none"/>
                      <w:vertAlign w:val="baseline"/>
                      <w:lang w:val="en-US" w:eastAsia="zh-CN"/>
                    </w:rPr>
                    <w:t>0.0006</w:t>
                  </w:r>
                </w:p>
              </w:tc>
            </w:tr>
            <w:tr w14:paraId="00AFE5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695" w:type="dxa"/>
                  <w:tcBorders>
                    <w:tl2br w:val="nil"/>
                    <w:tr2bl w:val="nil"/>
                  </w:tcBorders>
                  <w:vAlign w:val="center"/>
                </w:tcPr>
                <w:p w14:paraId="23F08BD5">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3</w:t>
                  </w:r>
                </w:p>
              </w:tc>
              <w:tc>
                <w:tcPr>
                  <w:tcW w:w="1008" w:type="dxa"/>
                  <w:tcBorders>
                    <w:tl2br w:val="nil"/>
                    <w:tr2bl w:val="nil"/>
                  </w:tcBorders>
                  <w:vAlign w:val="center"/>
                </w:tcPr>
                <w:p w14:paraId="1CE90F78">
                  <w:pPr>
                    <w:spacing w:before="53" w:line="228" w:lineRule="auto"/>
                    <w:jc w:val="center"/>
                    <w:rPr>
                      <w:rFonts w:hint="default"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SA"/>
                    </w:rPr>
                    <w:t>乙酸</w:t>
                  </w:r>
                </w:p>
              </w:tc>
              <w:tc>
                <w:tcPr>
                  <w:tcW w:w="907" w:type="dxa"/>
                  <w:tcBorders>
                    <w:tl2br w:val="nil"/>
                    <w:tr2bl w:val="nil"/>
                  </w:tcBorders>
                  <w:vAlign w:val="center"/>
                </w:tcPr>
                <w:p w14:paraId="2002BC12">
                  <w:pPr>
                    <w:spacing w:before="88" w:line="240" w:lineRule="auto"/>
                    <w:jc w:val="center"/>
                    <w:rPr>
                      <w:rFonts w:hint="default" w:cs="Times New Roman"/>
                      <w:color w:val="auto"/>
                      <w:kern w:val="0"/>
                      <w:sz w:val="21"/>
                      <w:szCs w:val="21"/>
                      <w:highlight w:val="none"/>
                      <w:vertAlign w:val="baseline"/>
                      <w:lang w:val="en-US" w:eastAsia="zh-CN"/>
                    </w:rPr>
                  </w:pPr>
                  <w:r>
                    <w:rPr>
                      <w:rFonts w:hint="eastAsia" w:eastAsia="宋体" w:cs="Times New Roman"/>
                      <w:color w:val="auto"/>
                      <w:kern w:val="2"/>
                      <w:sz w:val="21"/>
                      <w:szCs w:val="21"/>
                      <w:highlight w:val="none"/>
                      <w:lang w:val="en-US" w:eastAsia="zh-CN" w:bidi="ar-SA"/>
                    </w:rPr>
                    <w:t xml:space="preserve">5.25 </w:t>
                  </w:r>
                </w:p>
              </w:tc>
              <w:tc>
                <w:tcPr>
                  <w:tcW w:w="730" w:type="dxa"/>
                  <w:vMerge w:val="continue"/>
                  <w:tcBorders>
                    <w:tl2br w:val="nil"/>
                    <w:tr2bl w:val="nil"/>
                  </w:tcBorders>
                  <w:vAlign w:val="center"/>
                </w:tcPr>
                <w:p w14:paraId="1C01E4A2">
                  <w:pPr>
                    <w:numPr>
                      <w:ilvl w:val="0"/>
                      <w:numId w:val="0"/>
                    </w:numPr>
                    <w:adjustRightInd w:val="0"/>
                    <w:snapToGrid w:val="0"/>
                    <w:spacing w:line="240" w:lineRule="auto"/>
                    <w:jc w:val="center"/>
                    <w:rPr>
                      <w:rFonts w:hint="eastAsia" w:cs="Times New Roman"/>
                      <w:color w:val="auto"/>
                      <w:kern w:val="0"/>
                      <w:sz w:val="21"/>
                      <w:szCs w:val="21"/>
                      <w:highlight w:val="none"/>
                      <w:vertAlign w:val="baseline"/>
                      <w:lang w:val="en-US" w:eastAsia="zh-CN"/>
                    </w:rPr>
                  </w:pPr>
                </w:p>
              </w:tc>
              <w:tc>
                <w:tcPr>
                  <w:tcW w:w="1814" w:type="dxa"/>
                  <w:tcBorders>
                    <w:tl2br w:val="nil"/>
                    <w:tr2bl w:val="nil"/>
                  </w:tcBorders>
                  <w:vAlign w:val="center"/>
                </w:tcPr>
                <w:p w14:paraId="655C558B">
                  <w:pPr>
                    <w:spacing w:before="53" w:line="228" w:lineRule="auto"/>
                    <w:jc w:val="center"/>
                    <w:rPr>
                      <w:rFonts w:hint="eastAsia" w:cs="Times New Roman"/>
                      <w:color w:val="auto"/>
                      <w:kern w:val="0"/>
                      <w:sz w:val="21"/>
                      <w:szCs w:val="21"/>
                      <w:highlight w:val="none"/>
                      <w:vertAlign w:val="baseline"/>
                      <w:lang w:val="en-US" w:eastAsia="zh-CN"/>
                    </w:rPr>
                  </w:pPr>
                  <w:r>
                    <w:rPr>
                      <w:rFonts w:hint="eastAsia" w:eastAsia="宋体" w:cs="Times New Roman"/>
                      <w:color w:val="auto"/>
                      <w:kern w:val="2"/>
                      <w:sz w:val="21"/>
                      <w:szCs w:val="21"/>
                      <w:highlight w:val="none"/>
                      <w:lang w:val="en-US" w:eastAsia="zh-CN" w:bidi="ar-SA"/>
                    </w:rPr>
                    <w:t>其他A类物质（</w:t>
                  </w:r>
                  <w:r>
                    <w:rPr>
                      <w:rFonts w:hint="default" w:ascii="Times New Roman" w:hAnsi="Times New Roman" w:eastAsia="宋体" w:cs="Times New Roman"/>
                      <w:color w:val="auto"/>
                      <w:kern w:val="2"/>
                      <w:sz w:val="21"/>
                      <w:szCs w:val="21"/>
                      <w:highlight w:val="none"/>
                      <w:lang w:val="en-US" w:eastAsia="zh-CN" w:bidi="ar-SA"/>
                    </w:rPr>
                    <w:t>乙酸</w:t>
                  </w:r>
                  <w:r>
                    <w:rPr>
                      <w:rFonts w:hint="eastAsia" w:eastAsia="宋体" w:cs="Times New Roman"/>
                      <w:color w:val="auto"/>
                      <w:kern w:val="2"/>
                      <w:sz w:val="21"/>
                      <w:szCs w:val="21"/>
                      <w:highlight w:val="none"/>
                      <w:lang w:val="en-US" w:eastAsia="zh-CN" w:bidi="ar-SA"/>
                    </w:rPr>
                    <w:t>）</w:t>
                  </w:r>
                </w:p>
              </w:tc>
              <w:tc>
                <w:tcPr>
                  <w:tcW w:w="1201" w:type="dxa"/>
                  <w:tcBorders>
                    <w:tl2br w:val="nil"/>
                    <w:tr2bl w:val="nil"/>
                  </w:tcBorders>
                  <w:vAlign w:val="center"/>
                </w:tcPr>
                <w:p w14:paraId="033C6955">
                  <w:pPr>
                    <w:numPr>
                      <w:ilvl w:val="0"/>
                      <w:numId w:val="0"/>
                    </w:numPr>
                    <w:adjustRightInd w:val="0"/>
                    <w:snapToGrid w:val="0"/>
                    <w:spacing w:line="240" w:lineRule="auto"/>
                    <w:ind w:left="0" w:leftChars="0" w:firstLine="0" w:firstLineChars="0"/>
                    <w:jc w:val="center"/>
                    <w:rPr>
                      <w:rFonts w:hint="default" w:cs="Times New Roman"/>
                      <w:color w:val="auto"/>
                      <w:kern w:val="0"/>
                      <w:sz w:val="21"/>
                      <w:szCs w:val="21"/>
                      <w:highlight w:val="none"/>
                      <w:vertAlign w:val="baseline"/>
                      <w:lang w:val="en-US" w:eastAsia="zh-CN"/>
                    </w:rPr>
                  </w:pPr>
                  <w:r>
                    <w:rPr>
                      <w:rFonts w:hint="eastAsia" w:eastAsia="宋体" w:cs="Times New Roman"/>
                      <w:color w:val="auto"/>
                      <w:kern w:val="0"/>
                      <w:sz w:val="21"/>
                      <w:szCs w:val="21"/>
                      <w:highlight w:val="none"/>
                      <w:vertAlign w:val="baseline"/>
                      <w:lang w:val="en-US" w:eastAsia="zh-CN"/>
                    </w:rPr>
                    <w:t xml:space="preserve">0.2098 </w:t>
                  </w:r>
                </w:p>
              </w:tc>
              <w:tc>
                <w:tcPr>
                  <w:tcW w:w="1201" w:type="dxa"/>
                  <w:tcBorders>
                    <w:tl2br w:val="nil"/>
                    <w:tr2bl w:val="nil"/>
                  </w:tcBorders>
                  <w:vAlign w:val="center"/>
                </w:tcPr>
                <w:p w14:paraId="2A97D31D">
                  <w:pPr>
                    <w:numPr>
                      <w:ilvl w:val="0"/>
                      <w:numId w:val="0"/>
                    </w:numPr>
                    <w:adjustRightInd w:val="0"/>
                    <w:snapToGrid w:val="0"/>
                    <w:spacing w:line="240" w:lineRule="auto"/>
                    <w:jc w:val="center"/>
                    <w:rPr>
                      <w:rFonts w:hint="default" w:eastAsia="宋体" w:cs="Times New Roman"/>
                      <w:color w:val="auto"/>
                      <w:kern w:val="0"/>
                      <w:sz w:val="21"/>
                      <w:szCs w:val="21"/>
                      <w:highlight w:val="none"/>
                      <w:vertAlign w:val="baseline"/>
                      <w:lang w:val="en-US" w:eastAsia="zh-CN"/>
                    </w:rPr>
                  </w:pPr>
                  <w:r>
                    <w:rPr>
                      <w:rFonts w:hint="eastAsia" w:eastAsia="宋体" w:cs="Times New Roman"/>
                      <w:color w:val="auto"/>
                      <w:kern w:val="0"/>
                      <w:sz w:val="21"/>
                      <w:szCs w:val="21"/>
                      <w:highlight w:val="none"/>
                      <w:vertAlign w:val="baseline"/>
                      <w:lang w:val="en-US" w:eastAsia="zh-CN"/>
                    </w:rPr>
                    <w:t>0.0002</w:t>
                  </w:r>
                </w:p>
              </w:tc>
            </w:tr>
            <w:tr w14:paraId="14E648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95" w:type="dxa"/>
                  <w:tcBorders>
                    <w:tl2br w:val="nil"/>
                    <w:tr2bl w:val="nil"/>
                  </w:tcBorders>
                  <w:vAlign w:val="center"/>
                </w:tcPr>
                <w:p w14:paraId="28E8FBCC">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4</w:t>
                  </w:r>
                </w:p>
              </w:tc>
              <w:tc>
                <w:tcPr>
                  <w:tcW w:w="1008" w:type="dxa"/>
                  <w:tcBorders>
                    <w:tl2br w:val="nil"/>
                    <w:tr2bl w:val="nil"/>
                  </w:tcBorders>
                  <w:vAlign w:val="center"/>
                </w:tcPr>
                <w:p w14:paraId="3B05D710">
                  <w:pPr>
                    <w:spacing w:before="53" w:line="240" w:lineRule="auto"/>
                    <w:jc w:val="center"/>
                    <w:rPr>
                      <w:rFonts w:hint="default" w:cs="Times New Roman"/>
                      <w:color w:val="auto"/>
                      <w:kern w:val="0"/>
                      <w:sz w:val="21"/>
                      <w:szCs w:val="21"/>
                      <w:highlight w:val="none"/>
                      <w:vertAlign w:val="baseline"/>
                      <w:lang w:val="en-US" w:eastAsia="zh-CN"/>
                    </w:rPr>
                  </w:pPr>
                  <w:r>
                    <w:rPr>
                      <w:rFonts w:hint="default"/>
                      <w:color w:val="auto"/>
                      <w:spacing w:val="6"/>
                      <w:szCs w:val="21"/>
                      <w:highlight w:val="none"/>
                    </w:rPr>
                    <w:t>乙酸乙酯</w:t>
                  </w:r>
                </w:p>
              </w:tc>
              <w:tc>
                <w:tcPr>
                  <w:tcW w:w="907" w:type="dxa"/>
                  <w:tcBorders>
                    <w:tl2br w:val="nil"/>
                    <w:tr2bl w:val="nil"/>
                  </w:tcBorders>
                  <w:vAlign w:val="center"/>
                </w:tcPr>
                <w:p w14:paraId="2E1FDFDE">
                  <w:pPr>
                    <w:spacing w:before="88" w:line="240" w:lineRule="auto"/>
                    <w:jc w:val="center"/>
                    <w:rPr>
                      <w:rFonts w:hint="default" w:cs="Times New Roman"/>
                      <w:color w:val="auto"/>
                      <w:kern w:val="0"/>
                      <w:sz w:val="21"/>
                      <w:szCs w:val="21"/>
                      <w:highlight w:val="none"/>
                      <w:vertAlign w:val="baseline"/>
                      <w:lang w:val="en-US" w:eastAsia="zh-CN"/>
                    </w:rPr>
                  </w:pPr>
                  <w:r>
                    <w:rPr>
                      <w:rFonts w:hint="eastAsia" w:eastAsia="宋体" w:cs="Times New Roman"/>
                      <w:color w:val="auto"/>
                      <w:kern w:val="2"/>
                      <w:sz w:val="21"/>
                      <w:szCs w:val="21"/>
                      <w:highlight w:val="none"/>
                      <w:lang w:val="en-US" w:eastAsia="zh-CN" w:bidi="ar-SA"/>
                    </w:rPr>
                    <w:t xml:space="preserve">6.75 </w:t>
                  </w:r>
                </w:p>
              </w:tc>
              <w:tc>
                <w:tcPr>
                  <w:tcW w:w="730" w:type="dxa"/>
                  <w:vMerge w:val="continue"/>
                  <w:tcBorders>
                    <w:tl2br w:val="nil"/>
                    <w:tr2bl w:val="nil"/>
                  </w:tcBorders>
                  <w:vAlign w:val="center"/>
                </w:tcPr>
                <w:p w14:paraId="157F2C05">
                  <w:pPr>
                    <w:numPr>
                      <w:ilvl w:val="0"/>
                      <w:numId w:val="0"/>
                    </w:numPr>
                    <w:adjustRightInd w:val="0"/>
                    <w:snapToGrid w:val="0"/>
                    <w:spacing w:line="240" w:lineRule="auto"/>
                    <w:jc w:val="center"/>
                    <w:rPr>
                      <w:rFonts w:hint="eastAsia" w:cs="Times New Roman"/>
                      <w:color w:val="auto"/>
                      <w:kern w:val="0"/>
                      <w:sz w:val="21"/>
                      <w:szCs w:val="21"/>
                      <w:highlight w:val="none"/>
                      <w:vertAlign w:val="baseline"/>
                      <w:lang w:val="en-US" w:eastAsia="zh-CN"/>
                    </w:rPr>
                  </w:pPr>
                </w:p>
              </w:tc>
              <w:tc>
                <w:tcPr>
                  <w:tcW w:w="1814" w:type="dxa"/>
                  <w:tcBorders>
                    <w:tl2br w:val="nil"/>
                    <w:tr2bl w:val="nil"/>
                  </w:tcBorders>
                  <w:vAlign w:val="center"/>
                </w:tcPr>
                <w:p w14:paraId="28650485">
                  <w:pPr>
                    <w:spacing w:before="53" w:line="240" w:lineRule="auto"/>
                    <w:jc w:val="center"/>
                    <w:rPr>
                      <w:rFonts w:hint="default" w:cs="Times New Roman"/>
                      <w:color w:val="auto"/>
                      <w:kern w:val="0"/>
                      <w:sz w:val="21"/>
                      <w:szCs w:val="21"/>
                      <w:highlight w:val="none"/>
                      <w:vertAlign w:val="baseline"/>
                      <w:lang w:val="en-US" w:eastAsia="zh-CN"/>
                    </w:rPr>
                  </w:pPr>
                  <w:r>
                    <w:rPr>
                      <w:rFonts w:hint="eastAsia"/>
                      <w:color w:val="auto"/>
                      <w:spacing w:val="6"/>
                      <w:szCs w:val="21"/>
                      <w:highlight w:val="none"/>
                      <w:lang w:val="en-US" w:eastAsia="zh-CN"/>
                    </w:rPr>
                    <w:t>其他C类物质（</w:t>
                  </w:r>
                  <w:r>
                    <w:rPr>
                      <w:rFonts w:hint="default"/>
                      <w:color w:val="auto"/>
                      <w:spacing w:val="6"/>
                      <w:szCs w:val="21"/>
                      <w:highlight w:val="none"/>
                    </w:rPr>
                    <w:t>乙酸乙酯</w:t>
                  </w:r>
                  <w:r>
                    <w:rPr>
                      <w:rFonts w:hint="eastAsia"/>
                      <w:color w:val="auto"/>
                      <w:spacing w:val="6"/>
                      <w:szCs w:val="21"/>
                      <w:highlight w:val="none"/>
                      <w:lang w:val="en-US" w:eastAsia="zh-CN"/>
                    </w:rPr>
                    <w:t>）</w:t>
                  </w:r>
                </w:p>
              </w:tc>
              <w:tc>
                <w:tcPr>
                  <w:tcW w:w="1201" w:type="dxa"/>
                  <w:tcBorders>
                    <w:tl2br w:val="nil"/>
                    <w:tr2bl w:val="nil"/>
                  </w:tcBorders>
                  <w:vAlign w:val="center"/>
                </w:tcPr>
                <w:p w14:paraId="292E65AA">
                  <w:pPr>
                    <w:numPr>
                      <w:ilvl w:val="0"/>
                      <w:numId w:val="0"/>
                    </w:numPr>
                    <w:adjustRightInd w:val="0"/>
                    <w:snapToGrid w:val="0"/>
                    <w:spacing w:line="240" w:lineRule="auto"/>
                    <w:ind w:left="0" w:leftChars="0" w:firstLine="0" w:firstLineChars="0"/>
                    <w:jc w:val="center"/>
                    <w:rPr>
                      <w:rFonts w:hint="default" w:cs="Times New Roman"/>
                      <w:color w:val="auto"/>
                      <w:kern w:val="0"/>
                      <w:sz w:val="21"/>
                      <w:szCs w:val="21"/>
                      <w:highlight w:val="none"/>
                      <w:vertAlign w:val="baseline"/>
                      <w:lang w:val="en-US" w:eastAsia="zh-CN"/>
                    </w:rPr>
                  </w:pPr>
                  <w:r>
                    <w:rPr>
                      <w:rFonts w:hint="eastAsia" w:eastAsia="宋体" w:cs="Times New Roman"/>
                      <w:color w:val="auto"/>
                      <w:kern w:val="0"/>
                      <w:sz w:val="21"/>
                      <w:szCs w:val="21"/>
                      <w:highlight w:val="none"/>
                      <w:vertAlign w:val="baseline"/>
                      <w:lang w:val="en-US" w:eastAsia="zh-CN"/>
                    </w:rPr>
                    <w:t xml:space="preserve">0.2701 </w:t>
                  </w:r>
                </w:p>
              </w:tc>
              <w:tc>
                <w:tcPr>
                  <w:tcW w:w="1201" w:type="dxa"/>
                  <w:tcBorders>
                    <w:tl2br w:val="nil"/>
                    <w:tr2bl w:val="nil"/>
                  </w:tcBorders>
                  <w:vAlign w:val="center"/>
                </w:tcPr>
                <w:p w14:paraId="160A1208">
                  <w:pPr>
                    <w:numPr>
                      <w:ilvl w:val="0"/>
                      <w:numId w:val="0"/>
                    </w:numPr>
                    <w:adjustRightInd w:val="0"/>
                    <w:snapToGrid w:val="0"/>
                    <w:spacing w:line="240" w:lineRule="auto"/>
                    <w:jc w:val="center"/>
                    <w:rPr>
                      <w:rFonts w:hint="default" w:eastAsia="宋体" w:cs="Times New Roman"/>
                      <w:color w:val="auto"/>
                      <w:kern w:val="0"/>
                      <w:sz w:val="21"/>
                      <w:szCs w:val="21"/>
                      <w:highlight w:val="none"/>
                      <w:vertAlign w:val="baseline"/>
                      <w:lang w:val="en-US" w:eastAsia="zh-CN"/>
                    </w:rPr>
                  </w:pPr>
                  <w:r>
                    <w:rPr>
                      <w:rFonts w:hint="eastAsia" w:eastAsia="宋体" w:cs="Times New Roman"/>
                      <w:color w:val="auto"/>
                      <w:kern w:val="0"/>
                      <w:sz w:val="21"/>
                      <w:szCs w:val="21"/>
                      <w:highlight w:val="none"/>
                      <w:vertAlign w:val="baseline"/>
                      <w:lang w:val="en-US" w:eastAsia="zh-CN"/>
                    </w:rPr>
                    <w:t xml:space="preserve">0.0003 </w:t>
                  </w:r>
                </w:p>
              </w:tc>
            </w:tr>
            <w:tr w14:paraId="5E2198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95" w:type="dxa"/>
                  <w:tcBorders>
                    <w:tl2br w:val="nil"/>
                    <w:tr2bl w:val="nil"/>
                  </w:tcBorders>
                  <w:vAlign w:val="center"/>
                </w:tcPr>
                <w:p w14:paraId="6ED4C9AA">
                  <w:pPr>
                    <w:numPr>
                      <w:ilvl w:val="0"/>
                      <w:numId w:val="0"/>
                    </w:numPr>
                    <w:adjustRightInd w:val="0"/>
                    <w:snapToGrid w:val="0"/>
                    <w:spacing w:line="240" w:lineRule="auto"/>
                    <w:jc w:val="center"/>
                    <w:rPr>
                      <w:rFonts w:hint="eastAsia"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5</w:t>
                  </w:r>
                </w:p>
              </w:tc>
              <w:tc>
                <w:tcPr>
                  <w:tcW w:w="1008" w:type="dxa"/>
                  <w:tcBorders>
                    <w:tl2br w:val="nil"/>
                    <w:tr2bl w:val="nil"/>
                  </w:tcBorders>
                  <w:vAlign w:val="center"/>
                </w:tcPr>
                <w:p w14:paraId="035B425F">
                  <w:pPr>
                    <w:spacing w:before="51" w:line="240" w:lineRule="auto"/>
                    <w:jc w:val="center"/>
                    <w:rPr>
                      <w:rFonts w:hint="default" w:cs="Times New Roman"/>
                      <w:color w:val="auto"/>
                      <w:kern w:val="0"/>
                      <w:sz w:val="21"/>
                      <w:szCs w:val="21"/>
                      <w:highlight w:val="none"/>
                      <w:vertAlign w:val="baseline"/>
                      <w:lang w:val="en-US" w:eastAsia="zh-CN"/>
                    </w:rPr>
                  </w:pPr>
                  <w:r>
                    <w:rPr>
                      <w:color w:val="auto"/>
                      <w:spacing w:val="-6"/>
                      <w:szCs w:val="21"/>
                      <w:highlight w:val="none"/>
                    </w:rPr>
                    <w:t>乙</w:t>
                  </w:r>
                  <w:r>
                    <w:rPr>
                      <w:color w:val="auto"/>
                      <w:spacing w:val="-5"/>
                      <w:szCs w:val="21"/>
                      <w:highlight w:val="none"/>
                    </w:rPr>
                    <w:t>醚</w:t>
                  </w:r>
                </w:p>
              </w:tc>
              <w:tc>
                <w:tcPr>
                  <w:tcW w:w="907" w:type="dxa"/>
                  <w:tcBorders>
                    <w:tl2br w:val="nil"/>
                    <w:tr2bl w:val="nil"/>
                  </w:tcBorders>
                  <w:vAlign w:val="center"/>
                </w:tcPr>
                <w:p w14:paraId="6E4D45F5">
                  <w:pPr>
                    <w:spacing w:before="88" w:line="240" w:lineRule="auto"/>
                    <w:jc w:val="center"/>
                    <w:rPr>
                      <w:rFonts w:hint="default" w:cs="Times New Roman"/>
                      <w:color w:val="auto"/>
                      <w:kern w:val="0"/>
                      <w:sz w:val="21"/>
                      <w:szCs w:val="21"/>
                      <w:highlight w:val="none"/>
                      <w:vertAlign w:val="baseline"/>
                      <w:lang w:val="en-US" w:eastAsia="zh-CN"/>
                    </w:rPr>
                  </w:pPr>
                  <w:r>
                    <w:rPr>
                      <w:rFonts w:hint="eastAsia" w:eastAsia="宋体" w:cs="Times New Roman"/>
                      <w:color w:val="auto"/>
                      <w:kern w:val="2"/>
                      <w:sz w:val="21"/>
                      <w:szCs w:val="21"/>
                      <w:highlight w:val="none"/>
                      <w:lang w:val="en-US" w:eastAsia="zh-CN" w:bidi="ar-SA"/>
                    </w:rPr>
                    <w:t xml:space="preserve">5.35 </w:t>
                  </w:r>
                </w:p>
              </w:tc>
              <w:tc>
                <w:tcPr>
                  <w:tcW w:w="730" w:type="dxa"/>
                  <w:vMerge w:val="continue"/>
                  <w:tcBorders>
                    <w:tl2br w:val="nil"/>
                    <w:tr2bl w:val="nil"/>
                  </w:tcBorders>
                  <w:vAlign w:val="center"/>
                </w:tcPr>
                <w:p w14:paraId="50C630BC">
                  <w:pPr>
                    <w:numPr>
                      <w:ilvl w:val="0"/>
                      <w:numId w:val="0"/>
                    </w:numPr>
                    <w:adjustRightInd w:val="0"/>
                    <w:snapToGrid w:val="0"/>
                    <w:spacing w:line="240" w:lineRule="auto"/>
                    <w:jc w:val="center"/>
                    <w:rPr>
                      <w:rFonts w:hint="eastAsia" w:cs="Times New Roman"/>
                      <w:color w:val="auto"/>
                      <w:kern w:val="0"/>
                      <w:sz w:val="21"/>
                      <w:szCs w:val="21"/>
                      <w:highlight w:val="none"/>
                      <w:vertAlign w:val="baseline"/>
                      <w:lang w:val="en-US" w:eastAsia="zh-CN"/>
                    </w:rPr>
                  </w:pPr>
                </w:p>
              </w:tc>
              <w:tc>
                <w:tcPr>
                  <w:tcW w:w="1814" w:type="dxa"/>
                  <w:tcBorders>
                    <w:tl2br w:val="nil"/>
                    <w:tr2bl w:val="nil"/>
                  </w:tcBorders>
                  <w:vAlign w:val="center"/>
                </w:tcPr>
                <w:p w14:paraId="0F4E60B3">
                  <w:pPr>
                    <w:spacing w:before="51" w:line="240" w:lineRule="auto"/>
                    <w:jc w:val="center"/>
                    <w:rPr>
                      <w:rFonts w:hint="eastAsia" w:cs="Times New Roman"/>
                      <w:color w:val="auto"/>
                      <w:kern w:val="0"/>
                      <w:sz w:val="21"/>
                      <w:szCs w:val="21"/>
                      <w:highlight w:val="none"/>
                      <w:vertAlign w:val="baseline"/>
                      <w:lang w:val="en-US" w:eastAsia="zh-CN"/>
                    </w:rPr>
                  </w:pPr>
                  <w:r>
                    <w:rPr>
                      <w:rFonts w:hint="eastAsia"/>
                      <w:color w:val="auto"/>
                      <w:spacing w:val="6"/>
                      <w:szCs w:val="21"/>
                      <w:highlight w:val="none"/>
                      <w:lang w:val="en-US" w:eastAsia="zh-CN"/>
                    </w:rPr>
                    <w:t>其他C类物质（</w:t>
                  </w:r>
                  <w:r>
                    <w:rPr>
                      <w:color w:val="auto"/>
                      <w:spacing w:val="-6"/>
                      <w:szCs w:val="21"/>
                      <w:highlight w:val="none"/>
                    </w:rPr>
                    <w:t>乙</w:t>
                  </w:r>
                  <w:r>
                    <w:rPr>
                      <w:color w:val="auto"/>
                      <w:spacing w:val="-5"/>
                      <w:szCs w:val="21"/>
                      <w:highlight w:val="none"/>
                    </w:rPr>
                    <w:t>醚</w:t>
                  </w:r>
                  <w:r>
                    <w:rPr>
                      <w:rFonts w:hint="eastAsia"/>
                      <w:color w:val="auto"/>
                      <w:spacing w:val="6"/>
                      <w:szCs w:val="21"/>
                      <w:highlight w:val="none"/>
                      <w:lang w:val="en-US" w:eastAsia="zh-CN"/>
                    </w:rPr>
                    <w:t>）</w:t>
                  </w:r>
                </w:p>
              </w:tc>
              <w:tc>
                <w:tcPr>
                  <w:tcW w:w="1201" w:type="dxa"/>
                  <w:tcBorders>
                    <w:tl2br w:val="nil"/>
                    <w:tr2bl w:val="nil"/>
                  </w:tcBorders>
                  <w:vAlign w:val="center"/>
                </w:tcPr>
                <w:p w14:paraId="03616379">
                  <w:pPr>
                    <w:numPr>
                      <w:ilvl w:val="0"/>
                      <w:numId w:val="0"/>
                    </w:numPr>
                    <w:adjustRightInd w:val="0"/>
                    <w:snapToGrid w:val="0"/>
                    <w:spacing w:line="240" w:lineRule="auto"/>
                    <w:ind w:left="0" w:leftChars="0" w:firstLine="0" w:firstLineChars="0"/>
                    <w:jc w:val="center"/>
                    <w:rPr>
                      <w:rFonts w:hint="default" w:cs="Times New Roman"/>
                      <w:color w:val="auto"/>
                      <w:kern w:val="0"/>
                      <w:sz w:val="21"/>
                      <w:szCs w:val="21"/>
                      <w:highlight w:val="none"/>
                      <w:vertAlign w:val="baseline"/>
                      <w:lang w:val="en-US" w:eastAsia="zh-CN"/>
                    </w:rPr>
                  </w:pPr>
                  <w:r>
                    <w:rPr>
                      <w:rFonts w:hint="eastAsia" w:eastAsia="宋体" w:cs="Times New Roman"/>
                      <w:color w:val="auto"/>
                      <w:kern w:val="0"/>
                      <w:sz w:val="21"/>
                      <w:szCs w:val="21"/>
                      <w:highlight w:val="none"/>
                      <w:vertAlign w:val="baseline"/>
                      <w:lang w:val="en-US" w:eastAsia="zh-CN"/>
                    </w:rPr>
                    <w:t xml:space="preserve">0.2140 </w:t>
                  </w:r>
                </w:p>
              </w:tc>
              <w:tc>
                <w:tcPr>
                  <w:tcW w:w="1201" w:type="dxa"/>
                  <w:tcBorders>
                    <w:tl2br w:val="nil"/>
                    <w:tr2bl w:val="nil"/>
                  </w:tcBorders>
                  <w:vAlign w:val="center"/>
                </w:tcPr>
                <w:p w14:paraId="288E854E">
                  <w:pPr>
                    <w:numPr>
                      <w:ilvl w:val="0"/>
                      <w:numId w:val="0"/>
                    </w:numPr>
                    <w:adjustRightInd w:val="0"/>
                    <w:snapToGrid w:val="0"/>
                    <w:spacing w:line="240" w:lineRule="auto"/>
                    <w:jc w:val="center"/>
                    <w:rPr>
                      <w:rFonts w:hint="default" w:eastAsia="宋体" w:cs="Times New Roman"/>
                      <w:color w:val="auto"/>
                      <w:kern w:val="0"/>
                      <w:sz w:val="21"/>
                      <w:szCs w:val="21"/>
                      <w:highlight w:val="none"/>
                      <w:vertAlign w:val="baseline"/>
                      <w:lang w:val="en-US" w:eastAsia="zh-CN"/>
                    </w:rPr>
                  </w:pPr>
                  <w:r>
                    <w:rPr>
                      <w:rFonts w:hint="eastAsia" w:eastAsia="宋体" w:cs="Times New Roman"/>
                      <w:color w:val="auto"/>
                      <w:kern w:val="0"/>
                      <w:sz w:val="21"/>
                      <w:szCs w:val="21"/>
                      <w:highlight w:val="none"/>
                      <w:vertAlign w:val="baseline"/>
                      <w:lang w:val="en-US" w:eastAsia="zh-CN"/>
                    </w:rPr>
                    <w:t>0.0002</w:t>
                  </w:r>
                </w:p>
              </w:tc>
            </w:tr>
            <w:tr w14:paraId="40BF9E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95" w:type="dxa"/>
                  <w:tcBorders>
                    <w:tl2br w:val="nil"/>
                    <w:tr2bl w:val="nil"/>
                  </w:tcBorders>
                  <w:vAlign w:val="center"/>
                </w:tcPr>
                <w:p w14:paraId="7C447D64">
                  <w:pPr>
                    <w:numPr>
                      <w:ilvl w:val="0"/>
                      <w:numId w:val="0"/>
                    </w:numPr>
                    <w:adjustRightInd w:val="0"/>
                    <w:snapToGrid w:val="0"/>
                    <w:spacing w:line="240" w:lineRule="auto"/>
                    <w:jc w:val="center"/>
                    <w:rPr>
                      <w:rFonts w:hint="eastAsia"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6</w:t>
                  </w:r>
                </w:p>
              </w:tc>
              <w:tc>
                <w:tcPr>
                  <w:tcW w:w="1008" w:type="dxa"/>
                  <w:tcBorders>
                    <w:tl2br w:val="nil"/>
                    <w:tr2bl w:val="nil"/>
                  </w:tcBorders>
                  <w:vAlign w:val="center"/>
                </w:tcPr>
                <w:p w14:paraId="5139C382">
                  <w:pPr>
                    <w:spacing w:before="51" w:line="240" w:lineRule="auto"/>
                    <w:jc w:val="center"/>
                    <w:rPr>
                      <w:rFonts w:hint="eastAsia" w:cs="Times New Roman"/>
                      <w:color w:val="auto"/>
                      <w:kern w:val="0"/>
                      <w:sz w:val="21"/>
                      <w:szCs w:val="21"/>
                      <w:highlight w:val="none"/>
                      <w:vertAlign w:val="baseline"/>
                      <w:lang w:val="en-US" w:eastAsia="zh-CN"/>
                    </w:rPr>
                  </w:pPr>
                  <w:r>
                    <w:rPr>
                      <w:rFonts w:hint="eastAsia"/>
                      <w:color w:val="auto"/>
                      <w:spacing w:val="-6"/>
                      <w:szCs w:val="21"/>
                      <w:highlight w:val="none"/>
                      <w:lang w:val="en-US" w:eastAsia="zh-CN"/>
                    </w:rPr>
                    <w:t>正己烷</w:t>
                  </w:r>
                </w:p>
              </w:tc>
              <w:tc>
                <w:tcPr>
                  <w:tcW w:w="907" w:type="dxa"/>
                  <w:tcBorders>
                    <w:tl2br w:val="nil"/>
                    <w:tr2bl w:val="nil"/>
                  </w:tcBorders>
                  <w:vAlign w:val="center"/>
                </w:tcPr>
                <w:p w14:paraId="334CE6EF">
                  <w:pPr>
                    <w:spacing w:before="88" w:line="240" w:lineRule="auto"/>
                    <w:jc w:val="center"/>
                    <w:rPr>
                      <w:rFonts w:hint="eastAsia" w:cs="Times New Roman"/>
                      <w:color w:val="auto"/>
                      <w:kern w:val="0"/>
                      <w:sz w:val="21"/>
                      <w:szCs w:val="21"/>
                      <w:highlight w:val="none"/>
                      <w:vertAlign w:val="baseline"/>
                      <w:lang w:val="en-US" w:eastAsia="zh-CN"/>
                    </w:rPr>
                  </w:pPr>
                  <w:r>
                    <w:rPr>
                      <w:rFonts w:hint="eastAsia" w:eastAsia="宋体" w:cs="Times New Roman"/>
                      <w:color w:val="auto"/>
                      <w:kern w:val="2"/>
                      <w:sz w:val="21"/>
                      <w:szCs w:val="21"/>
                      <w:highlight w:val="none"/>
                      <w:lang w:val="en-US" w:eastAsia="zh-CN" w:bidi="ar-SA"/>
                    </w:rPr>
                    <w:t xml:space="preserve">52.72 </w:t>
                  </w:r>
                </w:p>
              </w:tc>
              <w:tc>
                <w:tcPr>
                  <w:tcW w:w="730" w:type="dxa"/>
                  <w:vMerge w:val="continue"/>
                  <w:tcBorders>
                    <w:tl2br w:val="nil"/>
                    <w:tr2bl w:val="nil"/>
                  </w:tcBorders>
                  <w:vAlign w:val="center"/>
                </w:tcPr>
                <w:p w14:paraId="5AD77928">
                  <w:pPr>
                    <w:numPr>
                      <w:ilvl w:val="0"/>
                      <w:numId w:val="0"/>
                    </w:numPr>
                    <w:adjustRightInd w:val="0"/>
                    <w:snapToGrid w:val="0"/>
                    <w:spacing w:line="240" w:lineRule="auto"/>
                    <w:jc w:val="center"/>
                    <w:rPr>
                      <w:rFonts w:hint="eastAsia" w:cs="Times New Roman"/>
                      <w:color w:val="auto"/>
                      <w:kern w:val="0"/>
                      <w:sz w:val="21"/>
                      <w:szCs w:val="21"/>
                      <w:highlight w:val="none"/>
                      <w:vertAlign w:val="baseline"/>
                      <w:lang w:val="en-US" w:eastAsia="zh-CN"/>
                    </w:rPr>
                  </w:pPr>
                </w:p>
              </w:tc>
              <w:tc>
                <w:tcPr>
                  <w:tcW w:w="1814" w:type="dxa"/>
                  <w:tcBorders>
                    <w:tl2br w:val="nil"/>
                    <w:tr2bl w:val="nil"/>
                  </w:tcBorders>
                  <w:vAlign w:val="center"/>
                </w:tcPr>
                <w:p w14:paraId="39151DD6">
                  <w:pPr>
                    <w:spacing w:before="51" w:line="240" w:lineRule="auto"/>
                    <w:jc w:val="center"/>
                    <w:rPr>
                      <w:rFonts w:hint="eastAsia" w:cs="Times New Roman"/>
                      <w:color w:val="auto"/>
                      <w:kern w:val="0"/>
                      <w:sz w:val="21"/>
                      <w:szCs w:val="21"/>
                      <w:highlight w:val="none"/>
                      <w:vertAlign w:val="baseline"/>
                      <w:lang w:val="en-US" w:eastAsia="zh-CN"/>
                    </w:rPr>
                  </w:pPr>
                  <w:r>
                    <w:rPr>
                      <w:rFonts w:hint="eastAsia"/>
                      <w:color w:val="auto"/>
                      <w:spacing w:val="6"/>
                      <w:szCs w:val="21"/>
                      <w:highlight w:val="none"/>
                      <w:lang w:val="en-US" w:eastAsia="zh-CN"/>
                    </w:rPr>
                    <w:t>其他C类物质（</w:t>
                  </w:r>
                  <w:r>
                    <w:rPr>
                      <w:rFonts w:hint="eastAsia"/>
                      <w:color w:val="auto"/>
                      <w:spacing w:val="-6"/>
                      <w:szCs w:val="21"/>
                      <w:highlight w:val="none"/>
                      <w:lang w:val="en-US" w:eastAsia="zh-CN"/>
                    </w:rPr>
                    <w:t>正己烷</w:t>
                  </w:r>
                  <w:r>
                    <w:rPr>
                      <w:rFonts w:hint="eastAsia"/>
                      <w:color w:val="auto"/>
                      <w:spacing w:val="6"/>
                      <w:szCs w:val="21"/>
                      <w:highlight w:val="none"/>
                      <w:lang w:val="en-US" w:eastAsia="zh-CN"/>
                    </w:rPr>
                    <w:t>）</w:t>
                  </w:r>
                </w:p>
              </w:tc>
              <w:tc>
                <w:tcPr>
                  <w:tcW w:w="1201" w:type="dxa"/>
                  <w:tcBorders>
                    <w:tl2br w:val="nil"/>
                    <w:tr2bl w:val="nil"/>
                  </w:tcBorders>
                  <w:vAlign w:val="center"/>
                </w:tcPr>
                <w:p w14:paraId="4CE395FC">
                  <w:pPr>
                    <w:numPr>
                      <w:ilvl w:val="0"/>
                      <w:numId w:val="0"/>
                    </w:numPr>
                    <w:adjustRightInd w:val="0"/>
                    <w:snapToGrid w:val="0"/>
                    <w:spacing w:line="240" w:lineRule="auto"/>
                    <w:ind w:left="0" w:leftChars="0" w:firstLine="0" w:firstLineChars="0"/>
                    <w:jc w:val="center"/>
                    <w:rPr>
                      <w:rFonts w:hint="eastAsia" w:cs="Times New Roman"/>
                      <w:color w:val="auto"/>
                      <w:kern w:val="0"/>
                      <w:sz w:val="21"/>
                      <w:szCs w:val="21"/>
                      <w:highlight w:val="none"/>
                      <w:vertAlign w:val="baseline"/>
                      <w:lang w:val="en-US" w:eastAsia="zh-CN"/>
                    </w:rPr>
                  </w:pPr>
                  <w:r>
                    <w:rPr>
                      <w:rFonts w:hint="eastAsia" w:eastAsia="宋体" w:cs="Times New Roman"/>
                      <w:color w:val="auto"/>
                      <w:kern w:val="0"/>
                      <w:sz w:val="21"/>
                      <w:szCs w:val="21"/>
                      <w:highlight w:val="none"/>
                      <w:vertAlign w:val="baseline"/>
                      <w:lang w:val="en-US" w:eastAsia="zh-CN"/>
                    </w:rPr>
                    <w:t xml:space="preserve">2.1088 </w:t>
                  </w:r>
                </w:p>
              </w:tc>
              <w:tc>
                <w:tcPr>
                  <w:tcW w:w="1201" w:type="dxa"/>
                  <w:tcBorders>
                    <w:tl2br w:val="nil"/>
                    <w:tr2bl w:val="nil"/>
                  </w:tcBorders>
                  <w:vAlign w:val="center"/>
                </w:tcPr>
                <w:p w14:paraId="1426B78E">
                  <w:pPr>
                    <w:numPr>
                      <w:ilvl w:val="0"/>
                      <w:numId w:val="0"/>
                    </w:numPr>
                    <w:adjustRightInd w:val="0"/>
                    <w:snapToGrid w:val="0"/>
                    <w:spacing w:line="240" w:lineRule="auto"/>
                    <w:jc w:val="center"/>
                    <w:rPr>
                      <w:rFonts w:hint="default" w:eastAsia="宋体" w:cs="Times New Roman"/>
                      <w:color w:val="auto"/>
                      <w:kern w:val="0"/>
                      <w:sz w:val="21"/>
                      <w:szCs w:val="21"/>
                      <w:highlight w:val="none"/>
                      <w:vertAlign w:val="baseline"/>
                      <w:lang w:val="en-US" w:eastAsia="zh-CN"/>
                    </w:rPr>
                  </w:pPr>
                  <w:r>
                    <w:rPr>
                      <w:rFonts w:hint="eastAsia" w:eastAsia="宋体" w:cs="Times New Roman"/>
                      <w:color w:val="auto"/>
                      <w:kern w:val="0"/>
                      <w:sz w:val="21"/>
                      <w:szCs w:val="21"/>
                      <w:highlight w:val="none"/>
                      <w:vertAlign w:val="baseline"/>
                      <w:lang w:val="en-US" w:eastAsia="zh-CN"/>
                    </w:rPr>
                    <w:t>0.002</w:t>
                  </w:r>
                </w:p>
              </w:tc>
            </w:tr>
            <w:tr w14:paraId="62EE4C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95" w:type="dxa"/>
                  <w:tcBorders>
                    <w:tl2br w:val="nil"/>
                    <w:tr2bl w:val="nil"/>
                  </w:tcBorders>
                  <w:vAlign w:val="center"/>
                </w:tcPr>
                <w:p w14:paraId="1599F394">
                  <w:pPr>
                    <w:numPr>
                      <w:ilvl w:val="0"/>
                      <w:numId w:val="0"/>
                    </w:numPr>
                    <w:adjustRightInd w:val="0"/>
                    <w:snapToGrid w:val="0"/>
                    <w:spacing w:line="240" w:lineRule="auto"/>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7</w:t>
                  </w:r>
                </w:p>
              </w:tc>
              <w:tc>
                <w:tcPr>
                  <w:tcW w:w="1008" w:type="dxa"/>
                  <w:tcBorders>
                    <w:tl2br w:val="nil"/>
                    <w:tr2bl w:val="nil"/>
                  </w:tcBorders>
                  <w:vAlign w:val="center"/>
                </w:tcPr>
                <w:p w14:paraId="2B4C3675">
                  <w:pPr>
                    <w:spacing w:before="51" w:line="240" w:lineRule="auto"/>
                    <w:jc w:val="center"/>
                    <w:rPr>
                      <w:rFonts w:hint="eastAsia" w:cs="Times New Roman"/>
                      <w:color w:val="auto"/>
                      <w:kern w:val="0"/>
                      <w:sz w:val="21"/>
                      <w:szCs w:val="21"/>
                      <w:highlight w:val="none"/>
                      <w:vertAlign w:val="baseline"/>
                      <w:lang w:val="en-US" w:eastAsia="zh-CN"/>
                    </w:rPr>
                  </w:pPr>
                  <w:r>
                    <w:rPr>
                      <w:rFonts w:hint="eastAsia"/>
                      <w:color w:val="auto"/>
                      <w:spacing w:val="-6"/>
                      <w:szCs w:val="21"/>
                      <w:highlight w:val="none"/>
                      <w:lang w:val="en-US" w:eastAsia="zh-CN"/>
                    </w:rPr>
                    <w:t>丙酮</w:t>
                  </w:r>
                </w:p>
              </w:tc>
              <w:tc>
                <w:tcPr>
                  <w:tcW w:w="907" w:type="dxa"/>
                  <w:tcBorders>
                    <w:tl2br w:val="nil"/>
                    <w:tr2bl w:val="nil"/>
                  </w:tcBorders>
                  <w:vAlign w:val="center"/>
                </w:tcPr>
                <w:p w14:paraId="7DE002F4">
                  <w:pPr>
                    <w:spacing w:before="88" w:line="240" w:lineRule="auto"/>
                    <w:jc w:val="center"/>
                    <w:rPr>
                      <w:rFonts w:hint="eastAsia" w:cs="Times New Roman"/>
                      <w:color w:val="auto"/>
                      <w:kern w:val="0"/>
                      <w:sz w:val="21"/>
                      <w:szCs w:val="21"/>
                      <w:highlight w:val="none"/>
                      <w:vertAlign w:val="baseline"/>
                      <w:lang w:val="en-US" w:eastAsia="zh-CN"/>
                    </w:rPr>
                  </w:pPr>
                  <w:r>
                    <w:rPr>
                      <w:rFonts w:hint="eastAsia" w:eastAsia="宋体" w:cs="Times New Roman"/>
                      <w:color w:val="auto"/>
                      <w:kern w:val="2"/>
                      <w:sz w:val="21"/>
                      <w:szCs w:val="21"/>
                      <w:highlight w:val="none"/>
                      <w:lang w:val="en-US" w:eastAsia="zh-CN" w:bidi="ar-SA"/>
                    </w:rPr>
                    <w:t xml:space="preserve">37.87 </w:t>
                  </w:r>
                </w:p>
              </w:tc>
              <w:tc>
                <w:tcPr>
                  <w:tcW w:w="730" w:type="dxa"/>
                  <w:vMerge w:val="continue"/>
                  <w:tcBorders>
                    <w:tl2br w:val="nil"/>
                    <w:tr2bl w:val="nil"/>
                  </w:tcBorders>
                  <w:vAlign w:val="center"/>
                </w:tcPr>
                <w:p w14:paraId="332CAA17">
                  <w:pPr>
                    <w:numPr>
                      <w:ilvl w:val="0"/>
                      <w:numId w:val="0"/>
                    </w:numPr>
                    <w:adjustRightInd w:val="0"/>
                    <w:snapToGrid w:val="0"/>
                    <w:spacing w:line="240" w:lineRule="auto"/>
                    <w:jc w:val="center"/>
                    <w:rPr>
                      <w:rFonts w:hint="eastAsia" w:cs="Times New Roman"/>
                      <w:color w:val="auto"/>
                      <w:kern w:val="0"/>
                      <w:sz w:val="21"/>
                      <w:szCs w:val="21"/>
                      <w:highlight w:val="none"/>
                      <w:vertAlign w:val="baseline"/>
                      <w:lang w:val="en-US" w:eastAsia="zh-CN"/>
                    </w:rPr>
                  </w:pPr>
                </w:p>
              </w:tc>
              <w:tc>
                <w:tcPr>
                  <w:tcW w:w="1814" w:type="dxa"/>
                  <w:tcBorders>
                    <w:tl2br w:val="nil"/>
                    <w:tr2bl w:val="nil"/>
                  </w:tcBorders>
                  <w:vAlign w:val="center"/>
                </w:tcPr>
                <w:p w14:paraId="62E1BD97">
                  <w:pPr>
                    <w:spacing w:before="51" w:line="240" w:lineRule="auto"/>
                    <w:jc w:val="center"/>
                    <w:rPr>
                      <w:rFonts w:hint="eastAsia" w:cs="Times New Roman"/>
                      <w:color w:val="auto"/>
                      <w:kern w:val="0"/>
                      <w:sz w:val="21"/>
                      <w:szCs w:val="21"/>
                      <w:highlight w:val="none"/>
                      <w:vertAlign w:val="baseline"/>
                      <w:lang w:val="en-US" w:eastAsia="zh-CN"/>
                    </w:rPr>
                  </w:pPr>
                  <w:r>
                    <w:rPr>
                      <w:rFonts w:hint="eastAsia"/>
                      <w:color w:val="auto"/>
                      <w:spacing w:val="6"/>
                      <w:szCs w:val="21"/>
                      <w:highlight w:val="none"/>
                      <w:lang w:val="en-US" w:eastAsia="zh-CN"/>
                    </w:rPr>
                    <w:t>其他C类物质（</w:t>
                  </w:r>
                  <w:r>
                    <w:rPr>
                      <w:rFonts w:hint="eastAsia"/>
                      <w:color w:val="auto"/>
                      <w:spacing w:val="-6"/>
                      <w:szCs w:val="21"/>
                      <w:highlight w:val="none"/>
                      <w:lang w:val="en-US" w:eastAsia="zh-CN"/>
                    </w:rPr>
                    <w:t>丙酮</w:t>
                  </w:r>
                  <w:r>
                    <w:rPr>
                      <w:rFonts w:hint="eastAsia"/>
                      <w:color w:val="auto"/>
                      <w:spacing w:val="6"/>
                      <w:szCs w:val="21"/>
                      <w:highlight w:val="none"/>
                      <w:lang w:val="en-US" w:eastAsia="zh-CN"/>
                    </w:rPr>
                    <w:t>）</w:t>
                  </w:r>
                </w:p>
              </w:tc>
              <w:tc>
                <w:tcPr>
                  <w:tcW w:w="1201" w:type="dxa"/>
                  <w:tcBorders>
                    <w:tl2br w:val="nil"/>
                    <w:tr2bl w:val="nil"/>
                  </w:tcBorders>
                  <w:vAlign w:val="center"/>
                </w:tcPr>
                <w:p w14:paraId="4530353B">
                  <w:pPr>
                    <w:numPr>
                      <w:ilvl w:val="0"/>
                      <w:numId w:val="0"/>
                    </w:numPr>
                    <w:adjustRightInd w:val="0"/>
                    <w:snapToGrid w:val="0"/>
                    <w:spacing w:line="240" w:lineRule="auto"/>
                    <w:ind w:left="0" w:leftChars="0" w:firstLine="0" w:firstLineChars="0"/>
                    <w:jc w:val="center"/>
                    <w:rPr>
                      <w:rFonts w:hint="eastAsia" w:cs="Times New Roman"/>
                      <w:color w:val="auto"/>
                      <w:kern w:val="0"/>
                      <w:sz w:val="21"/>
                      <w:szCs w:val="21"/>
                      <w:highlight w:val="none"/>
                      <w:vertAlign w:val="baseline"/>
                      <w:lang w:val="en-US" w:eastAsia="zh-CN"/>
                    </w:rPr>
                  </w:pPr>
                  <w:r>
                    <w:rPr>
                      <w:rFonts w:hint="eastAsia" w:eastAsia="宋体" w:cs="Times New Roman"/>
                      <w:color w:val="auto"/>
                      <w:kern w:val="0"/>
                      <w:sz w:val="21"/>
                      <w:szCs w:val="21"/>
                      <w:highlight w:val="none"/>
                      <w:vertAlign w:val="baseline"/>
                      <w:lang w:val="en-US" w:eastAsia="zh-CN"/>
                    </w:rPr>
                    <w:t xml:space="preserve">1.5149 </w:t>
                  </w:r>
                </w:p>
              </w:tc>
              <w:tc>
                <w:tcPr>
                  <w:tcW w:w="1201" w:type="dxa"/>
                  <w:tcBorders>
                    <w:tl2br w:val="nil"/>
                    <w:tr2bl w:val="nil"/>
                  </w:tcBorders>
                  <w:vAlign w:val="center"/>
                </w:tcPr>
                <w:p w14:paraId="55D9F116">
                  <w:pPr>
                    <w:numPr>
                      <w:ilvl w:val="0"/>
                      <w:numId w:val="0"/>
                    </w:numPr>
                    <w:adjustRightInd w:val="0"/>
                    <w:snapToGrid w:val="0"/>
                    <w:spacing w:line="240" w:lineRule="auto"/>
                    <w:jc w:val="center"/>
                    <w:rPr>
                      <w:rFonts w:hint="default" w:eastAsia="宋体" w:cs="Times New Roman"/>
                      <w:color w:val="auto"/>
                      <w:kern w:val="0"/>
                      <w:sz w:val="21"/>
                      <w:szCs w:val="21"/>
                      <w:highlight w:val="none"/>
                      <w:vertAlign w:val="baseline"/>
                      <w:lang w:val="en-US" w:eastAsia="zh-CN"/>
                    </w:rPr>
                  </w:pPr>
                  <w:r>
                    <w:rPr>
                      <w:rFonts w:hint="eastAsia" w:eastAsia="宋体" w:cs="Times New Roman"/>
                      <w:color w:val="auto"/>
                      <w:kern w:val="0"/>
                      <w:sz w:val="21"/>
                      <w:szCs w:val="21"/>
                      <w:highlight w:val="none"/>
                      <w:vertAlign w:val="baseline"/>
                      <w:lang w:val="en-US" w:eastAsia="zh-CN"/>
                    </w:rPr>
                    <w:t>0.0015</w:t>
                  </w:r>
                </w:p>
              </w:tc>
            </w:tr>
            <w:tr w14:paraId="54FCF5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95" w:type="dxa"/>
                  <w:tcBorders>
                    <w:tl2br w:val="nil"/>
                    <w:tr2bl w:val="nil"/>
                  </w:tcBorders>
                  <w:vAlign w:val="center"/>
                </w:tcPr>
                <w:p w14:paraId="5AE51A64">
                  <w:pPr>
                    <w:numPr>
                      <w:ilvl w:val="0"/>
                      <w:numId w:val="0"/>
                    </w:numPr>
                    <w:adjustRightInd w:val="0"/>
                    <w:snapToGrid w:val="0"/>
                    <w:spacing w:line="240" w:lineRule="auto"/>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8</w:t>
                  </w:r>
                </w:p>
              </w:tc>
              <w:tc>
                <w:tcPr>
                  <w:tcW w:w="1008" w:type="dxa"/>
                  <w:tcBorders>
                    <w:tl2br w:val="nil"/>
                    <w:tr2bl w:val="nil"/>
                  </w:tcBorders>
                  <w:vAlign w:val="center"/>
                </w:tcPr>
                <w:p w14:paraId="59920B3E">
                  <w:pPr>
                    <w:numPr>
                      <w:ilvl w:val="0"/>
                      <w:numId w:val="0"/>
                    </w:numPr>
                    <w:adjustRightInd w:val="0"/>
                    <w:snapToGrid w:val="0"/>
                    <w:spacing w:line="240" w:lineRule="auto"/>
                    <w:ind w:left="0" w:leftChars="0" w:firstLine="0" w:firstLineChars="0"/>
                    <w:jc w:val="center"/>
                    <w:rPr>
                      <w:rFonts w:hint="eastAsia"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非甲烷总烃</w:t>
                  </w:r>
                </w:p>
              </w:tc>
              <w:tc>
                <w:tcPr>
                  <w:tcW w:w="907" w:type="dxa"/>
                  <w:tcBorders>
                    <w:tl2br w:val="nil"/>
                    <w:tr2bl w:val="nil"/>
                  </w:tcBorders>
                  <w:vAlign w:val="center"/>
                </w:tcPr>
                <w:p w14:paraId="44C64725">
                  <w:pPr>
                    <w:numPr>
                      <w:ilvl w:val="0"/>
                      <w:numId w:val="0"/>
                    </w:numPr>
                    <w:adjustRightInd w:val="0"/>
                    <w:snapToGrid w:val="0"/>
                    <w:spacing w:line="240" w:lineRule="auto"/>
                    <w:ind w:left="0" w:leftChars="0" w:firstLine="0" w:firstLineChars="0"/>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127.68</w:t>
                  </w:r>
                </w:p>
              </w:tc>
              <w:tc>
                <w:tcPr>
                  <w:tcW w:w="730" w:type="dxa"/>
                  <w:vMerge w:val="continue"/>
                  <w:tcBorders>
                    <w:tl2br w:val="nil"/>
                    <w:tr2bl w:val="nil"/>
                  </w:tcBorders>
                  <w:vAlign w:val="center"/>
                </w:tcPr>
                <w:p w14:paraId="034CEE37">
                  <w:pPr>
                    <w:numPr>
                      <w:ilvl w:val="0"/>
                      <w:numId w:val="0"/>
                    </w:numPr>
                    <w:adjustRightInd w:val="0"/>
                    <w:snapToGrid w:val="0"/>
                    <w:spacing w:line="240" w:lineRule="auto"/>
                    <w:jc w:val="center"/>
                    <w:rPr>
                      <w:rFonts w:hint="eastAsia" w:cs="Times New Roman"/>
                      <w:color w:val="auto"/>
                      <w:kern w:val="0"/>
                      <w:sz w:val="21"/>
                      <w:szCs w:val="21"/>
                      <w:highlight w:val="none"/>
                      <w:vertAlign w:val="baseline"/>
                      <w:lang w:val="en-US" w:eastAsia="zh-CN"/>
                    </w:rPr>
                  </w:pPr>
                </w:p>
              </w:tc>
              <w:tc>
                <w:tcPr>
                  <w:tcW w:w="1814" w:type="dxa"/>
                  <w:tcBorders>
                    <w:tl2br w:val="nil"/>
                    <w:tr2bl w:val="nil"/>
                  </w:tcBorders>
                  <w:vAlign w:val="center"/>
                </w:tcPr>
                <w:p w14:paraId="3BC1115A">
                  <w:pPr>
                    <w:numPr>
                      <w:ilvl w:val="0"/>
                      <w:numId w:val="0"/>
                    </w:numPr>
                    <w:adjustRightInd w:val="0"/>
                    <w:snapToGrid w:val="0"/>
                    <w:spacing w:line="240" w:lineRule="auto"/>
                    <w:ind w:left="0" w:leftChars="0" w:firstLine="0" w:firstLineChars="0"/>
                    <w:jc w:val="center"/>
                    <w:rPr>
                      <w:rFonts w:hint="eastAsia"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非甲烷总烃</w:t>
                  </w:r>
                </w:p>
              </w:tc>
              <w:tc>
                <w:tcPr>
                  <w:tcW w:w="1201" w:type="dxa"/>
                  <w:tcBorders>
                    <w:tl2br w:val="nil"/>
                    <w:tr2bl w:val="nil"/>
                  </w:tcBorders>
                  <w:vAlign w:val="center"/>
                </w:tcPr>
                <w:p w14:paraId="2CFD4ED6">
                  <w:pPr>
                    <w:numPr>
                      <w:ilvl w:val="0"/>
                      <w:numId w:val="0"/>
                    </w:numPr>
                    <w:adjustRightInd w:val="0"/>
                    <w:snapToGrid w:val="0"/>
                    <w:spacing w:line="240" w:lineRule="auto"/>
                    <w:ind w:left="0" w:leftChars="0" w:firstLine="0" w:firstLineChars="0"/>
                    <w:jc w:val="center"/>
                    <w:rPr>
                      <w:rFonts w:hint="default" w:cs="Times New Roman"/>
                      <w:color w:val="auto"/>
                      <w:kern w:val="0"/>
                      <w:sz w:val="21"/>
                      <w:szCs w:val="21"/>
                      <w:highlight w:val="none"/>
                      <w:vertAlign w:val="baseline"/>
                      <w:lang w:val="en-US" w:eastAsia="zh-CN"/>
                    </w:rPr>
                  </w:pPr>
                  <w:r>
                    <w:rPr>
                      <w:rFonts w:hint="eastAsia" w:eastAsia="宋体" w:cs="Times New Roman"/>
                      <w:color w:val="auto"/>
                      <w:kern w:val="0"/>
                      <w:sz w:val="21"/>
                      <w:szCs w:val="21"/>
                      <w:highlight w:val="none"/>
                      <w:vertAlign w:val="baseline"/>
                      <w:lang w:val="en-US" w:eastAsia="zh-CN"/>
                    </w:rPr>
                    <w:t xml:space="preserve">5.1072 </w:t>
                  </w:r>
                </w:p>
              </w:tc>
              <w:tc>
                <w:tcPr>
                  <w:tcW w:w="1201" w:type="dxa"/>
                  <w:tcBorders>
                    <w:tl2br w:val="nil"/>
                    <w:tr2bl w:val="nil"/>
                  </w:tcBorders>
                  <w:vAlign w:val="center"/>
                </w:tcPr>
                <w:p w14:paraId="54F3D46F">
                  <w:pPr>
                    <w:numPr>
                      <w:ilvl w:val="0"/>
                      <w:numId w:val="0"/>
                    </w:numPr>
                    <w:adjustRightInd w:val="0"/>
                    <w:snapToGrid w:val="0"/>
                    <w:spacing w:line="240" w:lineRule="auto"/>
                    <w:jc w:val="center"/>
                    <w:rPr>
                      <w:rFonts w:hint="default" w:eastAsia="宋体" w:cs="Times New Roman"/>
                      <w:color w:val="auto"/>
                      <w:kern w:val="0"/>
                      <w:sz w:val="21"/>
                      <w:szCs w:val="21"/>
                      <w:highlight w:val="none"/>
                      <w:vertAlign w:val="baseline"/>
                      <w:lang w:val="en-US" w:eastAsia="zh-CN"/>
                    </w:rPr>
                  </w:pPr>
                  <w:r>
                    <w:rPr>
                      <w:rFonts w:hint="eastAsia" w:eastAsia="宋体" w:cs="Times New Roman"/>
                      <w:color w:val="auto"/>
                      <w:kern w:val="0"/>
                      <w:sz w:val="21"/>
                      <w:szCs w:val="21"/>
                      <w:highlight w:val="none"/>
                      <w:vertAlign w:val="baseline"/>
                      <w:lang w:val="en-US" w:eastAsia="zh-CN"/>
                    </w:rPr>
                    <w:t>0.0051</w:t>
                  </w:r>
                </w:p>
              </w:tc>
            </w:tr>
          </w:tbl>
          <w:p w14:paraId="3C9DA8CE">
            <w:pPr>
              <w:numPr>
                <w:ilvl w:val="0"/>
                <w:numId w:val="42"/>
              </w:numPr>
              <w:adjustRightInd w:val="0"/>
              <w:snapToGrid w:val="0"/>
              <w:spacing w:line="360" w:lineRule="auto"/>
              <w:ind w:left="0" w:leftChars="0"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 xml:space="preserve">酸性废气 </w:t>
            </w:r>
          </w:p>
          <w:p w14:paraId="38980705">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本</w:t>
            </w:r>
            <w:r>
              <w:rPr>
                <w:rFonts w:hint="eastAsia" w:ascii="Times New Roman" w:hAnsi="Times New Roman" w:eastAsia="宋体" w:cs="Times New Roman"/>
                <w:color w:val="auto"/>
                <w:kern w:val="0"/>
                <w:sz w:val="24"/>
                <w:highlight w:val="none"/>
                <w:lang w:val="en-US" w:eastAsia="zh-CN"/>
              </w:rPr>
              <w:t>项目实验过程使用硫酸、盐酸、硝酸等，使用过程产生酸性废气，本次评价采用经验公式法进行酸性废气的核算，根据《环境统计手册》（方品贤 江欣 奚元福著）计算</w:t>
            </w:r>
            <w:r>
              <w:rPr>
                <w:rFonts w:hint="eastAsia" w:cs="Times New Roman"/>
                <w:color w:val="auto"/>
                <w:kern w:val="0"/>
                <w:sz w:val="24"/>
                <w:highlight w:val="none"/>
                <w:lang w:val="en-US" w:eastAsia="zh-CN"/>
              </w:rPr>
              <w:t>本</w:t>
            </w:r>
            <w:r>
              <w:rPr>
                <w:rFonts w:hint="eastAsia" w:ascii="Times New Roman" w:hAnsi="Times New Roman" w:eastAsia="宋体" w:cs="Times New Roman"/>
                <w:color w:val="auto"/>
                <w:kern w:val="0"/>
                <w:sz w:val="24"/>
                <w:highlight w:val="none"/>
                <w:lang w:val="en-US" w:eastAsia="zh-CN"/>
              </w:rPr>
              <w:t xml:space="preserve">项目溶液配制过程酸性气体污染物的挥发量，具体公式如下，计算参数见表 </w:t>
            </w:r>
            <w:r>
              <w:rPr>
                <w:rFonts w:hint="default" w:ascii="Times New Roman" w:hAnsi="Times New Roman" w:eastAsia="宋体" w:cs="Times New Roman"/>
                <w:color w:val="auto"/>
                <w:kern w:val="0"/>
                <w:sz w:val="24"/>
                <w:highlight w:val="none"/>
                <w:lang w:val="en-US" w:eastAsia="zh-CN"/>
              </w:rPr>
              <w:t>4.3-1</w:t>
            </w:r>
            <w:r>
              <w:rPr>
                <w:rFonts w:hint="eastAsia" w:ascii="Times New Roman" w:hAnsi="Times New Roman" w:eastAsia="宋体" w:cs="Times New Roman"/>
                <w:color w:val="auto"/>
                <w:kern w:val="0"/>
                <w:sz w:val="24"/>
                <w:highlight w:val="none"/>
                <w:lang w:val="en-US" w:eastAsia="zh-CN"/>
              </w:rPr>
              <w:t xml:space="preserve">。 </w:t>
            </w:r>
          </w:p>
          <w:p w14:paraId="3C5B1E5C">
            <w:pPr>
              <w:numPr>
                <w:ilvl w:val="0"/>
                <w:numId w:val="0"/>
              </w:numPr>
              <w:adjustRightInd w:val="0"/>
              <w:snapToGrid w:val="0"/>
              <w:spacing w:line="360" w:lineRule="auto"/>
              <w:ind w:firstLine="420" w:firstLineChars="200"/>
              <w:rPr>
                <w:rFonts w:hint="eastAsia" w:ascii="Times New Roman" w:hAnsi="Times New Roman" w:eastAsia="宋体" w:cs="Times New Roman"/>
                <w:color w:val="auto"/>
                <w:kern w:val="0"/>
                <w:sz w:val="24"/>
                <w:highlight w:val="none"/>
                <w:lang w:val="en-US" w:eastAsia="zh-CN"/>
              </w:rPr>
            </w:pPr>
            <w:r>
              <w:rPr>
                <w:rFonts w:hint="eastAsia"/>
                <w:color w:val="auto"/>
                <w:lang w:val="en-US" w:eastAsia="zh-CN"/>
              </w:rPr>
              <w:t xml:space="preserve">   </w:t>
            </w:r>
            <w:r>
              <w:rPr>
                <w:color w:val="auto"/>
              </w:rPr>
              <w:drawing>
                <wp:inline distT="0" distB="0" distL="114300" distR="114300">
                  <wp:extent cx="3067050" cy="335280"/>
                  <wp:effectExtent l="0" t="0" r="11430" b="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7"/>
                          <a:stretch>
                            <a:fillRect/>
                          </a:stretch>
                        </pic:blipFill>
                        <pic:spPr>
                          <a:xfrm>
                            <a:off x="0" y="0"/>
                            <a:ext cx="3067050" cy="335280"/>
                          </a:xfrm>
                          <a:prstGeom prst="rect">
                            <a:avLst/>
                          </a:prstGeom>
                          <a:noFill/>
                          <a:ln>
                            <a:noFill/>
                          </a:ln>
                        </pic:spPr>
                      </pic:pic>
                    </a:graphicData>
                  </a:graphic>
                </wp:inline>
              </w:drawing>
            </w:r>
          </w:p>
          <w:p w14:paraId="01B08EC8">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式中：</w:t>
            </w:r>
            <w:r>
              <w:rPr>
                <w:rFonts w:hint="default" w:ascii="Times New Roman" w:hAnsi="Times New Roman" w:eastAsia="宋体" w:cs="Times New Roman"/>
                <w:color w:val="auto"/>
                <w:kern w:val="0"/>
                <w:sz w:val="24"/>
                <w:highlight w:val="none"/>
                <w:lang w:val="en-US" w:eastAsia="zh-CN"/>
              </w:rPr>
              <w:t>Gz——</w:t>
            </w:r>
            <w:r>
              <w:rPr>
                <w:rFonts w:hint="eastAsia" w:ascii="Times New Roman" w:hAnsi="Times New Roman" w:eastAsia="宋体" w:cs="Times New Roman"/>
                <w:color w:val="auto"/>
                <w:kern w:val="0"/>
                <w:sz w:val="24"/>
                <w:highlight w:val="none"/>
                <w:lang w:val="en-US" w:eastAsia="zh-CN"/>
              </w:rPr>
              <w:t>液体的蒸发量（</w:t>
            </w:r>
            <w:r>
              <w:rPr>
                <w:rFonts w:hint="default" w:ascii="Times New Roman" w:hAnsi="Times New Roman" w:eastAsia="宋体" w:cs="Times New Roman"/>
                <w:color w:val="auto"/>
                <w:kern w:val="0"/>
                <w:sz w:val="24"/>
                <w:highlight w:val="none"/>
                <w:lang w:val="en-US" w:eastAsia="zh-CN"/>
              </w:rPr>
              <w:t>kg/h</w:t>
            </w:r>
            <w:r>
              <w:rPr>
                <w:rFonts w:hint="eastAsia" w:ascii="Times New Roman" w:hAnsi="Times New Roman" w:eastAsia="宋体" w:cs="Times New Roman"/>
                <w:color w:val="auto"/>
                <w:kern w:val="0"/>
                <w:sz w:val="24"/>
                <w:highlight w:val="none"/>
                <w:lang w:val="en-US" w:eastAsia="zh-CN"/>
              </w:rPr>
              <w:t xml:space="preserve">）； </w:t>
            </w:r>
          </w:p>
          <w:p w14:paraId="68C45A8B">
            <w:pPr>
              <w:numPr>
                <w:ilvl w:val="0"/>
                <w:numId w:val="0"/>
              </w:numPr>
              <w:adjustRightInd w:val="0"/>
              <w:snapToGrid w:val="0"/>
              <w:spacing w:line="360" w:lineRule="auto"/>
              <w:ind w:firstLine="1200" w:firstLineChars="500"/>
              <w:rPr>
                <w:rFonts w:hint="eastAsia"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M——</w:t>
            </w:r>
            <w:r>
              <w:rPr>
                <w:rFonts w:hint="eastAsia" w:ascii="Times New Roman" w:hAnsi="Times New Roman" w:eastAsia="宋体" w:cs="Times New Roman"/>
                <w:color w:val="auto"/>
                <w:kern w:val="0"/>
                <w:sz w:val="24"/>
                <w:highlight w:val="none"/>
                <w:lang w:val="en-US" w:eastAsia="zh-CN"/>
              </w:rPr>
              <w:t xml:space="preserve">液体的分子量； </w:t>
            </w:r>
          </w:p>
          <w:p w14:paraId="743A8BF0">
            <w:pPr>
              <w:numPr>
                <w:ilvl w:val="0"/>
                <w:numId w:val="0"/>
              </w:numPr>
              <w:adjustRightInd w:val="0"/>
              <w:snapToGrid w:val="0"/>
              <w:spacing w:line="360" w:lineRule="auto"/>
              <w:ind w:firstLine="1200" w:firstLineChars="500"/>
              <w:rPr>
                <w:rFonts w:hint="eastAsia"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V——</w:t>
            </w:r>
            <w:r>
              <w:rPr>
                <w:rFonts w:hint="eastAsia" w:ascii="Times New Roman" w:hAnsi="Times New Roman" w:eastAsia="宋体" w:cs="Times New Roman"/>
                <w:color w:val="auto"/>
                <w:kern w:val="0"/>
                <w:sz w:val="24"/>
                <w:highlight w:val="none"/>
                <w:lang w:val="en-US" w:eastAsia="zh-CN"/>
              </w:rPr>
              <w:t>蒸发液体表面上的空气流速（</w:t>
            </w:r>
            <w:r>
              <w:rPr>
                <w:rFonts w:hint="default" w:ascii="Times New Roman" w:hAnsi="Times New Roman" w:eastAsia="宋体" w:cs="Times New Roman"/>
                <w:color w:val="auto"/>
                <w:kern w:val="0"/>
                <w:sz w:val="24"/>
                <w:highlight w:val="none"/>
                <w:lang w:val="en-US" w:eastAsia="zh-CN"/>
              </w:rPr>
              <w:t>m/s</w:t>
            </w:r>
            <w:r>
              <w:rPr>
                <w:rFonts w:hint="eastAsia" w:ascii="Times New Roman" w:hAnsi="Times New Roman" w:eastAsia="宋体" w:cs="Times New Roman"/>
                <w:color w:val="auto"/>
                <w:kern w:val="0"/>
                <w:sz w:val="24"/>
                <w:highlight w:val="none"/>
                <w:lang w:val="en-US" w:eastAsia="zh-CN"/>
              </w:rPr>
              <w:t xml:space="preserve">）；以实测数据为准，无条件实测时，可查表，一般可取 </w:t>
            </w:r>
            <w:r>
              <w:rPr>
                <w:rFonts w:hint="default" w:ascii="Times New Roman" w:hAnsi="Times New Roman" w:eastAsia="宋体" w:cs="Times New Roman"/>
                <w:color w:val="auto"/>
                <w:kern w:val="0"/>
                <w:sz w:val="24"/>
                <w:highlight w:val="none"/>
                <w:lang w:val="en-US" w:eastAsia="zh-CN"/>
              </w:rPr>
              <w:t>0.2-0.5</w:t>
            </w:r>
            <w:r>
              <w:rPr>
                <w:rFonts w:hint="eastAsia" w:cs="Times New Roman"/>
                <w:color w:val="auto"/>
                <w:kern w:val="0"/>
                <w:sz w:val="24"/>
                <w:highlight w:val="none"/>
                <w:lang w:val="en-US" w:eastAsia="zh-CN"/>
              </w:rPr>
              <w:t>，本</w:t>
            </w:r>
            <w:r>
              <w:rPr>
                <w:rFonts w:hint="eastAsia" w:ascii="Times New Roman" w:hAnsi="Times New Roman" w:eastAsia="宋体" w:cs="Times New Roman"/>
                <w:color w:val="auto"/>
                <w:kern w:val="0"/>
                <w:sz w:val="24"/>
                <w:highlight w:val="none"/>
                <w:lang w:val="en-US" w:eastAsia="zh-CN"/>
              </w:rPr>
              <w:t xml:space="preserve">项目取 </w:t>
            </w:r>
            <w:r>
              <w:rPr>
                <w:rFonts w:hint="default" w:ascii="Times New Roman" w:hAnsi="Times New Roman" w:eastAsia="宋体" w:cs="Times New Roman"/>
                <w:color w:val="auto"/>
                <w:kern w:val="0"/>
                <w:sz w:val="24"/>
                <w:highlight w:val="none"/>
                <w:lang w:val="en-US" w:eastAsia="zh-CN"/>
              </w:rPr>
              <w:t>0.5m/s</w:t>
            </w:r>
            <w:r>
              <w:rPr>
                <w:rFonts w:hint="eastAsia" w:ascii="Times New Roman" w:hAnsi="Times New Roman" w:eastAsia="宋体" w:cs="Times New Roman"/>
                <w:color w:val="auto"/>
                <w:kern w:val="0"/>
                <w:sz w:val="24"/>
                <w:highlight w:val="none"/>
                <w:lang w:val="en-US" w:eastAsia="zh-CN"/>
              </w:rPr>
              <w:t xml:space="preserve">； </w:t>
            </w:r>
          </w:p>
          <w:p w14:paraId="7D453D67">
            <w:pPr>
              <w:numPr>
                <w:ilvl w:val="0"/>
                <w:numId w:val="0"/>
              </w:numPr>
              <w:adjustRightInd w:val="0"/>
              <w:snapToGrid w:val="0"/>
              <w:spacing w:line="360" w:lineRule="auto"/>
              <w:ind w:firstLine="1200" w:firstLineChars="500"/>
              <w:rPr>
                <w:rFonts w:hint="eastAsia"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P——</w:t>
            </w:r>
            <w:r>
              <w:rPr>
                <w:rFonts w:hint="eastAsia" w:ascii="Times New Roman" w:hAnsi="Times New Roman" w:eastAsia="宋体" w:cs="Times New Roman"/>
                <w:color w:val="auto"/>
                <w:kern w:val="0"/>
                <w:sz w:val="24"/>
                <w:highlight w:val="none"/>
                <w:lang w:val="en-US" w:eastAsia="zh-CN"/>
              </w:rPr>
              <w:t>液体温度下的空气中的蒸汽分压力（</w:t>
            </w:r>
            <w:r>
              <w:rPr>
                <w:rFonts w:hint="default" w:ascii="Times New Roman" w:hAnsi="Times New Roman" w:eastAsia="宋体" w:cs="Times New Roman"/>
                <w:color w:val="auto"/>
                <w:kern w:val="0"/>
                <w:sz w:val="24"/>
                <w:highlight w:val="none"/>
                <w:lang w:val="en-US" w:eastAsia="zh-CN"/>
              </w:rPr>
              <w:t>mmHg</w:t>
            </w:r>
            <w:r>
              <w:rPr>
                <w:rFonts w:hint="eastAsia" w:ascii="Times New Roman" w:hAnsi="Times New Roman" w:eastAsia="宋体" w:cs="Times New Roman"/>
                <w:color w:val="auto"/>
                <w:kern w:val="0"/>
                <w:sz w:val="24"/>
                <w:highlight w:val="none"/>
                <w:lang w:val="en-US" w:eastAsia="zh-CN"/>
              </w:rPr>
              <w:t>），</w:t>
            </w:r>
            <w:r>
              <w:rPr>
                <w:rFonts w:hint="eastAsia" w:cs="Times New Roman"/>
                <w:color w:val="auto"/>
                <w:kern w:val="0"/>
                <w:sz w:val="24"/>
                <w:highlight w:val="none"/>
                <w:lang w:val="en-US" w:eastAsia="zh-CN"/>
              </w:rPr>
              <w:t>本</w:t>
            </w:r>
            <w:r>
              <w:rPr>
                <w:rFonts w:hint="eastAsia" w:ascii="Times New Roman" w:hAnsi="Times New Roman" w:eastAsia="宋体" w:cs="Times New Roman"/>
                <w:color w:val="auto"/>
                <w:kern w:val="0"/>
                <w:sz w:val="24"/>
                <w:highlight w:val="none"/>
                <w:lang w:val="en-US" w:eastAsia="zh-CN"/>
              </w:rPr>
              <w:t xml:space="preserve">项目物料蒸汽分压力摘自《环境统计手册》（方品贤 江欣 奚元福 著）中表 </w:t>
            </w:r>
            <w:r>
              <w:rPr>
                <w:rFonts w:hint="default" w:ascii="Times New Roman" w:hAnsi="Times New Roman" w:eastAsia="宋体" w:cs="Times New Roman"/>
                <w:color w:val="auto"/>
                <w:kern w:val="0"/>
                <w:sz w:val="24"/>
                <w:highlight w:val="none"/>
                <w:lang w:val="en-US" w:eastAsia="zh-CN"/>
              </w:rPr>
              <w:t>4-11</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4-12</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4-13</w:t>
            </w:r>
            <w:r>
              <w:rPr>
                <w:rFonts w:hint="eastAsia" w:ascii="Times New Roman" w:hAnsi="Times New Roman" w:eastAsia="宋体" w:cs="Times New Roman"/>
                <w:color w:val="auto"/>
                <w:kern w:val="0"/>
                <w:sz w:val="24"/>
                <w:highlight w:val="none"/>
                <w:lang w:val="en-US" w:eastAsia="zh-CN"/>
              </w:rPr>
              <w:t xml:space="preserve">； </w:t>
            </w:r>
          </w:p>
          <w:p w14:paraId="5838C88A">
            <w:pPr>
              <w:numPr>
                <w:ilvl w:val="0"/>
                <w:numId w:val="0"/>
              </w:numPr>
              <w:adjustRightInd w:val="0"/>
              <w:snapToGrid w:val="0"/>
              <w:spacing w:line="360" w:lineRule="auto"/>
              <w:ind w:firstLine="1200" w:firstLineChars="500"/>
              <w:rPr>
                <w:rFonts w:hint="eastAsia"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F——</w:t>
            </w:r>
            <w:r>
              <w:rPr>
                <w:rFonts w:hint="eastAsia" w:ascii="Times New Roman" w:hAnsi="Times New Roman" w:eastAsia="宋体" w:cs="Times New Roman"/>
                <w:color w:val="auto"/>
                <w:kern w:val="0"/>
                <w:sz w:val="24"/>
                <w:highlight w:val="none"/>
                <w:lang w:val="en-US" w:eastAsia="zh-CN"/>
              </w:rPr>
              <w:t>液体蒸发面的表面积（</w:t>
            </w:r>
            <w:r>
              <w:rPr>
                <w:rFonts w:hint="default" w:ascii="Times New Roman" w:hAnsi="Times New Roman" w:eastAsia="宋体" w:cs="Times New Roman"/>
                <w:color w:val="auto"/>
                <w:kern w:val="0"/>
                <w:sz w:val="24"/>
                <w:highlight w:val="none"/>
                <w:lang w:val="en-US" w:eastAsia="zh-CN"/>
              </w:rPr>
              <w:t>m</w:t>
            </w:r>
            <w:r>
              <w:rPr>
                <w:rFonts w:hint="default" w:ascii="Times New Roman" w:hAnsi="Times New Roman" w:eastAsia="宋体" w:cs="Times New Roman"/>
                <w:color w:val="auto"/>
                <w:kern w:val="0"/>
                <w:sz w:val="24"/>
                <w:highlight w:val="none"/>
                <w:vertAlign w:val="superscript"/>
                <w:lang w:val="en-US" w:eastAsia="zh-CN"/>
              </w:rPr>
              <w:t>2</w:t>
            </w:r>
            <w:r>
              <w:rPr>
                <w:rFonts w:hint="eastAsia" w:ascii="Times New Roman" w:hAnsi="Times New Roman" w:eastAsia="宋体" w:cs="Times New Roman"/>
                <w:color w:val="auto"/>
                <w:kern w:val="0"/>
                <w:sz w:val="24"/>
                <w:highlight w:val="none"/>
                <w:lang w:val="en-US" w:eastAsia="zh-CN"/>
              </w:rPr>
              <w:t>），</w:t>
            </w:r>
            <w:r>
              <w:rPr>
                <w:rFonts w:hint="eastAsia" w:cs="Times New Roman"/>
                <w:color w:val="auto"/>
                <w:kern w:val="0"/>
                <w:sz w:val="24"/>
                <w:highlight w:val="none"/>
                <w:lang w:val="en-US" w:eastAsia="zh-CN"/>
              </w:rPr>
              <w:t>本</w:t>
            </w:r>
            <w:r>
              <w:rPr>
                <w:rFonts w:hint="eastAsia" w:ascii="Times New Roman" w:hAnsi="Times New Roman" w:eastAsia="宋体" w:cs="Times New Roman"/>
                <w:color w:val="auto"/>
                <w:kern w:val="0"/>
                <w:sz w:val="24"/>
                <w:highlight w:val="none"/>
                <w:lang w:val="en-US" w:eastAsia="zh-CN"/>
              </w:rPr>
              <w:t xml:space="preserve">项目产生酸性废气污染物的敞露面积为 </w:t>
            </w:r>
            <w:r>
              <w:rPr>
                <w:rFonts w:hint="default" w:ascii="Times New Roman" w:hAnsi="Times New Roman" w:eastAsia="宋体" w:cs="Times New Roman"/>
                <w:color w:val="auto"/>
                <w:kern w:val="0"/>
                <w:sz w:val="24"/>
                <w:highlight w:val="none"/>
                <w:lang w:val="en-US" w:eastAsia="zh-CN"/>
              </w:rPr>
              <w:t>0.0079m</w:t>
            </w:r>
            <w:r>
              <w:rPr>
                <w:rFonts w:hint="default" w:ascii="Times New Roman" w:hAnsi="Times New Roman" w:eastAsia="宋体" w:cs="Times New Roman"/>
                <w:color w:val="auto"/>
                <w:kern w:val="0"/>
                <w:sz w:val="24"/>
                <w:highlight w:val="none"/>
                <w:vertAlign w:val="superscript"/>
                <w:lang w:val="en-US" w:eastAsia="zh-CN"/>
              </w:rPr>
              <w:t>2</w:t>
            </w:r>
            <w:r>
              <w:rPr>
                <w:rFonts w:hint="eastAsia" w:ascii="Times New Roman" w:hAnsi="Times New Roman" w:eastAsia="宋体" w:cs="Times New Roman"/>
                <w:color w:val="auto"/>
                <w:kern w:val="0"/>
                <w:sz w:val="24"/>
                <w:highlight w:val="none"/>
                <w:lang w:val="en-US" w:eastAsia="zh-CN"/>
              </w:rPr>
              <w:t>（按</w:t>
            </w:r>
            <w:r>
              <w:rPr>
                <w:rFonts w:hint="eastAsia" w:cs="Times New Roman"/>
                <w:color w:val="auto"/>
                <w:kern w:val="0"/>
                <w:sz w:val="24"/>
                <w:highlight w:val="none"/>
                <w:lang w:val="en-US" w:eastAsia="zh-CN"/>
              </w:rPr>
              <w:t>本</w:t>
            </w:r>
            <w:r>
              <w:rPr>
                <w:rFonts w:hint="eastAsia" w:ascii="Times New Roman" w:hAnsi="Times New Roman" w:eastAsia="宋体" w:cs="Times New Roman"/>
                <w:color w:val="auto"/>
                <w:kern w:val="0"/>
                <w:sz w:val="24"/>
                <w:highlight w:val="none"/>
                <w:lang w:val="en-US" w:eastAsia="zh-CN"/>
              </w:rPr>
              <w:t xml:space="preserve">项目所用配液容器最大口径为 </w:t>
            </w:r>
            <w:r>
              <w:rPr>
                <w:rFonts w:hint="default" w:ascii="Times New Roman" w:hAnsi="Times New Roman" w:eastAsia="宋体" w:cs="Times New Roman"/>
                <w:color w:val="auto"/>
                <w:kern w:val="0"/>
                <w:sz w:val="24"/>
                <w:highlight w:val="none"/>
                <w:lang w:val="en-US" w:eastAsia="zh-CN"/>
              </w:rPr>
              <w:t xml:space="preserve">0.1m </w:t>
            </w:r>
            <w:r>
              <w:rPr>
                <w:rFonts w:hint="eastAsia" w:ascii="Times New Roman" w:hAnsi="Times New Roman" w:eastAsia="宋体" w:cs="Times New Roman"/>
                <w:color w:val="auto"/>
                <w:kern w:val="0"/>
                <w:sz w:val="24"/>
                <w:highlight w:val="none"/>
                <w:lang w:val="en-US" w:eastAsia="zh-CN"/>
              </w:rPr>
              <w:t xml:space="preserve">计）。 </w:t>
            </w:r>
          </w:p>
          <w:p w14:paraId="1989ED61">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本</w:t>
            </w:r>
            <w:r>
              <w:rPr>
                <w:rFonts w:hint="eastAsia" w:ascii="Times New Roman" w:hAnsi="Times New Roman" w:eastAsia="宋体" w:cs="Times New Roman"/>
                <w:color w:val="auto"/>
                <w:kern w:val="0"/>
                <w:sz w:val="24"/>
                <w:highlight w:val="none"/>
                <w:lang w:val="en-US" w:eastAsia="zh-CN"/>
              </w:rPr>
              <w:t>项目每天酸性试剂使用时间约</w:t>
            </w:r>
            <w:r>
              <w:rPr>
                <w:rFonts w:hint="eastAsia"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lang w:val="en-US" w:eastAsia="zh-CN"/>
              </w:rPr>
              <w:t>h</w:t>
            </w:r>
            <w:r>
              <w:rPr>
                <w:rFonts w:hint="eastAsia" w:ascii="Times New Roman" w:hAnsi="Times New Roman" w:eastAsia="宋体" w:cs="Times New Roman"/>
                <w:color w:val="auto"/>
                <w:kern w:val="0"/>
                <w:sz w:val="24"/>
                <w:highlight w:val="none"/>
                <w:lang w:val="en-US" w:eastAsia="zh-CN"/>
              </w:rPr>
              <w:t>，每年使用酸性试剂天数</w:t>
            </w:r>
            <w:r>
              <w:rPr>
                <w:rFonts w:hint="eastAsia" w:cs="Times New Roman"/>
                <w:color w:val="auto"/>
                <w:kern w:val="0"/>
                <w:sz w:val="24"/>
                <w:highlight w:val="none"/>
                <w:lang w:val="en-US" w:eastAsia="zh-CN"/>
              </w:rPr>
              <w:t>250天</w:t>
            </w:r>
            <w:r>
              <w:rPr>
                <w:rFonts w:hint="eastAsia" w:ascii="Times New Roman" w:hAnsi="Times New Roman" w:eastAsia="宋体" w:cs="Times New Roman"/>
                <w:color w:val="auto"/>
                <w:kern w:val="0"/>
                <w:sz w:val="24"/>
                <w:highlight w:val="none"/>
                <w:lang w:val="en-US" w:eastAsia="zh-CN"/>
              </w:rPr>
              <w:t>，项目酸性</w:t>
            </w:r>
            <w:r>
              <w:rPr>
                <w:rFonts w:hint="eastAsia" w:cs="Times New Roman"/>
                <w:color w:val="auto"/>
                <w:kern w:val="0"/>
                <w:sz w:val="24"/>
                <w:highlight w:val="none"/>
                <w:lang w:val="en-US" w:eastAsia="zh-CN"/>
              </w:rPr>
              <w:t>试剂</w:t>
            </w:r>
            <w:r>
              <w:rPr>
                <w:rFonts w:hint="eastAsia" w:ascii="Times New Roman" w:hAnsi="Times New Roman" w:eastAsia="宋体" w:cs="Times New Roman"/>
                <w:color w:val="auto"/>
                <w:kern w:val="0"/>
                <w:sz w:val="24"/>
                <w:highlight w:val="none"/>
                <w:lang w:val="en-US" w:eastAsia="zh-CN"/>
              </w:rPr>
              <w:t>用量及挥发量一览表见下表。</w:t>
            </w:r>
          </w:p>
          <w:p w14:paraId="5F399207">
            <w:pPr>
              <w:keepNext w:val="0"/>
              <w:keepLines w:val="0"/>
              <w:widowControl/>
              <w:numPr>
                <w:ilvl w:val="0"/>
                <w:numId w:val="40"/>
              </w:numPr>
              <w:suppressLineNumbers w:val="0"/>
              <w:ind w:left="425" w:leftChars="0" w:hanging="425" w:firstLineChars="0"/>
              <w:jc w:val="center"/>
              <w:rPr>
                <w:color w:val="auto"/>
                <w:sz w:val="24"/>
                <w:szCs w:val="24"/>
              </w:rPr>
            </w:pPr>
            <w:r>
              <w:rPr>
                <w:rFonts w:hint="eastAsia" w:ascii="宋体" w:hAnsi="宋体" w:cs="宋体"/>
                <w:b/>
                <w:bCs/>
                <w:color w:val="auto"/>
                <w:kern w:val="0"/>
                <w:sz w:val="24"/>
                <w:szCs w:val="24"/>
                <w:lang w:val="en-US" w:eastAsia="zh-CN" w:bidi="ar"/>
              </w:rPr>
              <w:t>本</w:t>
            </w:r>
            <w:r>
              <w:rPr>
                <w:rFonts w:hint="eastAsia" w:ascii="宋体" w:hAnsi="宋体" w:eastAsia="宋体" w:cs="宋体"/>
                <w:b/>
                <w:bCs/>
                <w:color w:val="auto"/>
                <w:kern w:val="0"/>
                <w:sz w:val="24"/>
                <w:szCs w:val="24"/>
                <w:lang w:val="en-US" w:eastAsia="zh-CN" w:bidi="ar"/>
              </w:rPr>
              <w:t>项目酸性废气的用量及挥发量计算一览表</w:t>
            </w:r>
          </w:p>
          <w:tbl>
            <w:tblPr>
              <w:tblStyle w:val="24"/>
              <w:tblW w:w="756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132"/>
              <w:gridCol w:w="988"/>
              <w:gridCol w:w="1307"/>
              <w:gridCol w:w="1101"/>
              <w:gridCol w:w="1132"/>
              <w:gridCol w:w="1134"/>
            </w:tblGrid>
            <w:tr w14:paraId="6E1ED2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Borders>
                    <w:tl2br w:val="nil"/>
                    <w:tr2bl w:val="nil"/>
                  </w:tcBorders>
                  <w:vAlign w:val="center"/>
                </w:tcPr>
                <w:p w14:paraId="373A38B6">
                  <w:pPr>
                    <w:keepNext w:val="0"/>
                    <w:keepLines w:val="0"/>
                    <w:widowControl/>
                    <w:suppressLineNumbers w:val="0"/>
                    <w:jc w:val="center"/>
                    <w:rPr>
                      <w:b/>
                      <w:bCs/>
                      <w:color w:val="auto"/>
                      <w:sz w:val="21"/>
                      <w:szCs w:val="21"/>
                    </w:rPr>
                  </w:pPr>
                  <w:r>
                    <w:rPr>
                      <w:rFonts w:hint="eastAsia" w:ascii="宋体" w:hAnsi="宋体" w:eastAsia="宋体" w:cs="宋体"/>
                      <w:b/>
                      <w:bCs/>
                      <w:color w:val="auto"/>
                      <w:kern w:val="0"/>
                      <w:sz w:val="21"/>
                      <w:szCs w:val="21"/>
                      <w:lang w:val="en-US" w:eastAsia="zh-CN" w:bidi="ar"/>
                    </w:rPr>
                    <w:t>试剂</w:t>
                  </w:r>
                </w:p>
                <w:p w14:paraId="19622C2E">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名称</w:t>
                  </w:r>
                </w:p>
              </w:tc>
              <w:tc>
                <w:tcPr>
                  <w:tcW w:w="1132" w:type="dxa"/>
                  <w:tcBorders>
                    <w:tl2br w:val="nil"/>
                    <w:tr2bl w:val="nil"/>
                  </w:tcBorders>
                  <w:vAlign w:val="center"/>
                </w:tcPr>
                <w:p w14:paraId="1F472931">
                  <w:pPr>
                    <w:keepNext w:val="0"/>
                    <w:keepLines w:val="0"/>
                    <w:widowControl/>
                    <w:suppressLineNumbers w:val="0"/>
                    <w:jc w:val="center"/>
                    <w:rPr>
                      <w:b/>
                      <w:bCs/>
                      <w:color w:val="auto"/>
                      <w:sz w:val="21"/>
                      <w:szCs w:val="21"/>
                    </w:rPr>
                  </w:pPr>
                  <w:r>
                    <w:rPr>
                      <w:rFonts w:hint="eastAsia" w:ascii="宋体" w:hAnsi="宋体" w:eastAsia="宋体" w:cs="宋体"/>
                      <w:b/>
                      <w:bCs/>
                      <w:color w:val="auto"/>
                      <w:kern w:val="0"/>
                      <w:sz w:val="21"/>
                      <w:szCs w:val="21"/>
                      <w:lang w:val="en-US" w:eastAsia="zh-CN" w:bidi="ar"/>
                    </w:rPr>
                    <w:t>年用量</w:t>
                  </w:r>
                </w:p>
                <w:p w14:paraId="3C0A1FD1">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w:t>
                  </w:r>
                  <w:r>
                    <w:rPr>
                      <w:rFonts w:hint="default" w:ascii="Times New Roman" w:hAnsi="Times New Roman" w:eastAsia="宋体" w:cs="Times New Roman"/>
                      <w:b/>
                      <w:bCs/>
                      <w:color w:val="auto"/>
                      <w:kern w:val="0"/>
                      <w:sz w:val="21"/>
                      <w:szCs w:val="21"/>
                      <w:lang w:val="en-US" w:eastAsia="zh-CN" w:bidi="ar"/>
                    </w:rPr>
                    <w:t>kg/</w:t>
                  </w:r>
                  <w:r>
                    <w:rPr>
                      <w:rFonts w:hint="eastAsia" w:cs="Times New Roman"/>
                      <w:b/>
                      <w:bCs/>
                      <w:color w:val="auto"/>
                      <w:kern w:val="0"/>
                      <w:sz w:val="21"/>
                      <w:szCs w:val="21"/>
                      <w:lang w:val="en-US" w:eastAsia="zh-CN" w:bidi="ar"/>
                    </w:rPr>
                    <w:t>a</w:t>
                  </w:r>
                  <w:r>
                    <w:rPr>
                      <w:rFonts w:hint="default" w:ascii="Times New Roman" w:hAnsi="Times New Roman" w:eastAsia="宋体" w:cs="Times New Roman"/>
                      <w:b/>
                      <w:bCs/>
                      <w:color w:val="auto"/>
                      <w:kern w:val="0"/>
                      <w:sz w:val="21"/>
                      <w:szCs w:val="21"/>
                      <w:lang w:val="en-US" w:eastAsia="zh-CN" w:bidi="ar"/>
                    </w:rPr>
                    <w:t>)</w:t>
                  </w:r>
                </w:p>
              </w:tc>
              <w:tc>
                <w:tcPr>
                  <w:tcW w:w="988" w:type="dxa"/>
                  <w:tcBorders>
                    <w:tl2br w:val="nil"/>
                    <w:tr2bl w:val="nil"/>
                  </w:tcBorders>
                  <w:vAlign w:val="center"/>
                </w:tcPr>
                <w:p w14:paraId="3DE10159">
                  <w:pPr>
                    <w:keepNext w:val="0"/>
                    <w:keepLines w:val="0"/>
                    <w:widowControl/>
                    <w:suppressLineNumbers w:val="0"/>
                    <w:jc w:val="center"/>
                    <w:rPr>
                      <w:b/>
                      <w:bCs/>
                      <w:color w:val="auto"/>
                      <w:sz w:val="21"/>
                      <w:szCs w:val="21"/>
                    </w:rPr>
                  </w:pPr>
                  <w:r>
                    <w:rPr>
                      <w:rFonts w:hint="eastAsia" w:ascii="宋体" w:hAnsi="宋体" w:eastAsia="宋体" w:cs="宋体"/>
                      <w:b/>
                      <w:bCs/>
                      <w:color w:val="auto"/>
                      <w:kern w:val="0"/>
                      <w:sz w:val="21"/>
                      <w:szCs w:val="21"/>
                      <w:lang w:val="en-US" w:eastAsia="zh-CN" w:bidi="ar"/>
                    </w:rPr>
                    <w:t>分子量</w:t>
                  </w:r>
                </w:p>
                <w:p w14:paraId="0ADA8AB7">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w:t>
                  </w:r>
                  <w:r>
                    <w:rPr>
                      <w:rFonts w:hint="default" w:ascii="Times New Roman" w:hAnsi="Times New Roman" w:eastAsia="宋体" w:cs="Times New Roman"/>
                      <w:b/>
                      <w:bCs/>
                      <w:color w:val="auto"/>
                      <w:kern w:val="0"/>
                      <w:sz w:val="21"/>
                      <w:szCs w:val="21"/>
                      <w:lang w:val="en-US" w:eastAsia="zh-CN" w:bidi="ar"/>
                    </w:rPr>
                    <w:t>M</w:t>
                  </w:r>
                  <w:r>
                    <w:rPr>
                      <w:rFonts w:hint="eastAsia" w:ascii="宋体" w:hAnsi="宋体" w:eastAsia="宋体" w:cs="宋体"/>
                      <w:b/>
                      <w:bCs/>
                      <w:color w:val="auto"/>
                      <w:kern w:val="0"/>
                      <w:sz w:val="21"/>
                      <w:szCs w:val="21"/>
                      <w:lang w:val="en-US" w:eastAsia="zh-CN" w:bidi="ar"/>
                    </w:rPr>
                    <w:t>）</w:t>
                  </w:r>
                </w:p>
              </w:tc>
              <w:tc>
                <w:tcPr>
                  <w:tcW w:w="1307" w:type="dxa"/>
                  <w:tcBorders>
                    <w:tl2br w:val="nil"/>
                    <w:tr2bl w:val="nil"/>
                  </w:tcBorders>
                  <w:vAlign w:val="center"/>
                </w:tcPr>
                <w:p w14:paraId="4F452DDE">
                  <w:pPr>
                    <w:keepNext w:val="0"/>
                    <w:keepLines w:val="0"/>
                    <w:widowControl/>
                    <w:suppressLineNumbers w:val="0"/>
                    <w:jc w:val="center"/>
                    <w:rPr>
                      <w:b/>
                      <w:bCs/>
                      <w:color w:val="auto"/>
                      <w:sz w:val="21"/>
                      <w:szCs w:val="21"/>
                    </w:rPr>
                  </w:pPr>
                  <w:r>
                    <w:rPr>
                      <w:rFonts w:hint="eastAsia" w:ascii="宋体" w:hAnsi="宋体" w:eastAsia="宋体" w:cs="宋体"/>
                      <w:b/>
                      <w:bCs/>
                      <w:color w:val="auto"/>
                      <w:kern w:val="0"/>
                      <w:sz w:val="21"/>
                      <w:szCs w:val="21"/>
                      <w:lang w:val="en-US" w:eastAsia="zh-CN" w:bidi="ar"/>
                    </w:rPr>
                    <w:t>蒸汽分压力</w:t>
                  </w:r>
                </w:p>
                <w:p w14:paraId="3E7E0DAF">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w:t>
                  </w:r>
                  <w:r>
                    <w:rPr>
                      <w:rFonts w:hint="default" w:ascii="Times New Roman" w:hAnsi="Times New Roman" w:eastAsia="宋体" w:cs="Times New Roman"/>
                      <w:b/>
                      <w:bCs/>
                      <w:color w:val="auto"/>
                      <w:kern w:val="0"/>
                      <w:sz w:val="21"/>
                      <w:szCs w:val="21"/>
                      <w:lang w:val="en-US" w:eastAsia="zh-CN" w:bidi="ar"/>
                    </w:rPr>
                    <w:t>mmHg</w:t>
                  </w:r>
                  <w:r>
                    <w:rPr>
                      <w:rFonts w:hint="eastAsia" w:ascii="宋体" w:hAnsi="宋体" w:eastAsia="宋体" w:cs="宋体"/>
                      <w:b/>
                      <w:bCs/>
                      <w:color w:val="auto"/>
                      <w:kern w:val="0"/>
                      <w:sz w:val="21"/>
                      <w:szCs w:val="21"/>
                      <w:lang w:val="en-US" w:eastAsia="zh-CN" w:bidi="ar"/>
                    </w:rPr>
                    <w:t>）</w:t>
                  </w:r>
                </w:p>
              </w:tc>
              <w:tc>
                <w:tcPr>
                  <w:tcW w:w="1101" w:type="dxa"/>
                  <w:tcBorders>
                    <w:tl2br w:val="nil"/>
                    <w:tr2bl w:val="nil"/>
                  </w:tcBorders>
                  <w:vAlign w:val="center"/>
                </w:tcPr>
                <w:p w14:paraId="71396A3A">
                  <w:pPr>
                    <w:keepNext w:val="0"/>
                    <w:keepLines w:val="0"/>
                    <w:widowControl/>
                    <w:suppressLineNumbers w:val="0"/>
                    <w:jc w:val="center"/>
                    <w:rPr>
                      <w:b/>
                      <w:bCs/>
                      <w:color w:val="auto"/>
                      <w:sz w:val="21"/>
                      <w:szCs w:val="21"/>
                    </w:rPr>
                  </w:pPr>
                  <w:r>
                    <w:rPr>
                      <w:rFonts w:hint="eastAsia" w:ascii="宋体" w:hAnsi="宋体" w:eastAsia="宋体" w:cs="宋体"/>
                      <w:b/>
                      <w:bCs/>
                      <w:color w:val="auto"/>
                      <w:kern w:val="0"/>
                      <w:sz w:val="21"/>
                      <w:szCs w:val="21"/>
                      <w:lang w:val="en-US" w:eastAsia="zh-CN" w:bidi="ar"/>
                    </w:rPr>
                    <w:t>污染物</w:t>
                  </w:r>
                </w:p>
                <w:p w14:paraId="072D04AC">
                  <w:pPr>
                    <w:keepNext w:val="0"/>
                    <w:keepLines w:val="0"/>
                    <w:widowControl/>
                    <w:suppressLineNumbers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名称</w:t>
                  </w:r>
                </w:p>
              </w:tc>
              <w:tc>
                <w:tcPr>
                  <w:tcW w:w="1132" w:type="dxa"/>
                  <w:tcBorders>
                    <w:tl2br w:val="nil"/>
                    <w:tr2bl w:val="nil"/>
                  </w:tcBorders>
                  <w:vAlign w:val="center"/>
                </w:tcPr>
                <w:p w14:paraId="7C819CE3">
                  <w:pPr>
                    <w:keepNext w:val="0"/>
                    <w:keepLines w:val="0"/>
                    <w:widowControl/>
                    <w:suppressLineNumbers w:val="0"/>
                    <w:jc w:val="center"/>
                    <w:rPr>
                      <w:b/>
                      <w:bCs/>
                      <w:color w:val="auto"/>
                      <w:sz w:val="21"/>
                      <w:szCs w:val="21"/>
                    </w:rPr>
                  </w:pPr>
                  <w:r>
                    <w:rPr>
                      <w:rFonts w:hint="eastAsia" w:ascii="宋体" w:hAnsi="宋体" w:eastAsia="宋体" w:cs="宋体"/>
                      <w:b/>
                      <w:bCs/>
                      <w:color w:val="auto"/>
                      <w:kern w:val="0"/>
                      <w:sz w:val="21"/>
                      <w:szCs w:val="21"/>
                      <w:lang w:val="en-US" w:eastAsia="zh-CN" w:bidi="ar"/>
                    </w:rPr>
                    <w:t>挥发量</w:t>
                  </w:r>
                </w:p>
                <w:p w14:paraId="2BEC59DA">
                  <w:pPr>
                    <w:keepNext w:val="0"/>
                    <w:keepLines w:val="0"/>
                    <w:widowControl/>
                    <w:suppressLineNumbers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w:t>
                  </w:r>
                  <w:r>
                    <w:rPr>
                      <w:rFonts w:hint="default" w:ascii="Times New Roman" w:hAnsi="Times New Roman" w:eastAsia="宋体" w:cs="Times New Roman"/>
                      <w:b/>
                      <w:bCs/>
                      <w:color w:val="auto"/>
                      <w:kern w:val="0"/>
                      <w:sz w:val="21"/>
                      <w:szCs w:val="21"/>
                      <w:lang w:val="en-US" w:eastAsia="zh-CN" w:bidi="ar"/>
                    </w:rPr>
                    <w:t>kg/h)</w:t>
                  </w:r>
                </w:p>
              </w:tc>
              <w:tc>
                <w:tcPr>
                  <w:tcW w:w="1134" w:type="dxa"/>
                  <w:tcBorders>
                    <w:tl2br w:val="nil"/>
                    <w:tr2bl w:val="nil"/>
                  </w:tcBorders>
                  <w:vAlign w:val="center"/>
                </w:tcPr>
                <w:p w14:paraId="551CF55E">
                  <w:pPr>
                    <w:keepNext w:val="0"/>
                    <w:keepLines w:val="0"/>
                    <w:widowControl/>
                    <w:suppressLineNumbers w:val="0"/>
                    <w:jc w:val="center"/>
                    <w:rPr>
                      <w:b/>
                      <w:bCs/>
                      <w:color w:val="auto"/>
                      <w:sz w:val="21"/>
                      <w:szCs w:val="21"/>
                    </w:rPr>
                  </w:pPr>
                  <w:r>
                    <w:rPr>
                      <w:rFonts w:hint="eastAsia" w:ascii="宋体" w:hAnsi="宋体" w:eastAsia="宋体" w:cs="宋体"/>
                      <w:b/>
                      <w:bCs/>
                      <w:color w:val="auto"/>
                      <w:kern w:val="0"/>
                      <w:sz w:val="21"/>
                      <w:szCs w:val="21"/>
                      <w:lang w:val="en-US" w:eastAsia="zh-CN" w:bidi="ar"/>
                    </w:rPr>
                    <w:t>年挥发量</w:t>
                  </w:r>
                </w:p>
                <w:p w14:paraId="5359AC1D">
                  <w:pPr>
                    <w:keepNext w:val="0"/>
                    <w:keepLines w:val="0"/>
                    <w:widowControl/>
                    <w:suppressLineNumbers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w:t>
                  </w:r>
                  <w:r>
                    <w:rPr>
                      <w:rFonts w:hint="default" w:ascii="Times New Roman" w:hAnsi="Times New Roman" w:eastAsia="宋体" w:cs="Times New Roman"/>
                      <w:b/>
                      <w:bCs/>
                      <w:color w:val="auto"/>
                      <w:kern w:val="0"/>
                      <w:sz w:val="21"/>
                      <w:szCs w:val="21"/>
                      <w:lang w:val="en-US" w:eastAsia="zh-CN" w:bidi="ar"/>
                    </w:rPr>
                    <w:t>kg/a)</w:t>
                  </w:r>
                </w:p>
              </w:tc>
            </w:tr>
            <w:tr w14:paraId="135AA6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4" w:type="dxa"/>
                  <w:tcBorders>
                    <w:tl2br w:val="nil"/>
                    <w:tr2bl w:val="nil"/>
                  </w:tcBorders>
                  <w:vAlign w:val="center"/>
                </w:tcPr>
                <w:p w14:paraId="235981D8">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盐酸</w:t>
                  </w:r>
                </w:p>
              </w:tc>
              <w:tc>
                <w:tcPr>
                  <w:tcW w:w="1132" w:type="dxa"/>
                  <w:tcBorders>
                    <w:tl2br w:val="nil"/>
                    <w:tr2bl w:val="nil"/>
                  </w:tcBorders>
                  <w:vAlign w:val="center"/>
                </w:tcPr>
                <w:p w14:paraId="4D7C0200">
                  <w:pPr>
                    <w:numPr>
                      <w:ilvl w:val="0"/>
                      <w:numId w:val="0"/>
                    </w:numPr>
                    <w:adjustRightInd w:val="0"/>
                    <w:snapToGrid w:val="0"/>
                    <w:spacing w:line="24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54.9</w:t>
                  </w:r>
                </w:p>
              </w:tc>
              <w:tc>
                <w:tcPr>
                  <w:tcW w:w="988" w:type="dxa"/>
                  <w:tcBorders>
                    <w:tl2br w:val="nil"/>
                    <w:tr2bl w:val="nil"/>
                  </w:tcBorders>
                  <w:vAlign w:val="center"/>
                </w:tcPr>
                <w:p w14:paraId="6ABB4601">
                  <w:pPr>
                    <w:numPr>
                      <w:ilvl w:val="0"/>
                      <w:numId w:val="0"/>
                    </w:numPr>
                    <w:adjustRightInd w:val="0"/>
                    <w:snapToGrid w:val="0"/>
                    <w:spacing w:line="24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36.45</w:t>
                  </w:r>
                </w:p>
              </w:tc>
              <w:tc>
                <w:tcPr>
                  <w:tcW w:w="1307" w:type="dxa"/>
                  <w:tcBorders>
                    <w:tl2br w:val="nil"/>
                    <w:tr2bl w:val="nil"/>
                  </w:tcBorders>
                  <w:vAlign w:val="center"/>
                </w:tcPr>
                <w:p w14:paraId="757F6E26">
                  <w:pPr>
                    <w:numPr>
                      <w:ilvl w:val="0"/>
                      <w:numId w:val="0"/>
                    </w:numPr>
                    <w:adjustRightInd w:val="0"/>
                    <w:snapToGrid w:val="0"/>
                    <w:spacing w:line="24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10.6</w:t>
                  </w:r>
                </w:p>
              </w:tc>
              <w:tc>
                <w:tcPr>
                  <w:tcW w:w="1101" w:type="dxa"/>
                  <w:tcBorders>
                    <w:tl2br w:val="nil"/>
                    <w:tr2bl w:val="nil"/>
                  </w:tcBorders>
                  <w:vAlign w:val="center"/>
                </w:tcPr>
                <w:p w14:paraId="30D0AF6C">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氯化氢</w:t>
                  </w:r>
                </w:p>
              </w:tc>
              <w:tc>
                <w:tcPr>
                  <w:tcW w:w="1132" w:type="dxa"/>
                  <w:tcBorders>
                    <w:tl2br w:val="nil"/>
                    <w:tr2bl w:val="nil"/>
                  </w:tcBorders>
                  <w:vAlign w:val="center"/>
                </w:tcPr>
                <w:p w14:paraId="5D420189">
                  <w:pPr>
                    <w:numPr>
                      <w:ilvl w:val="0"/>
                      <w:numId w:val="0"/>
                    </w:numPr>
                    <w:adjustRightInd w:val="0"/>
                    <w:snapToGrid w:val="0"/>
                    <w:spacing w:line="24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0.00227</w:t>
                  </w:r>
                </w:p>
              </w:tc>
              <w:tc>
                <w:tcPr>
                  <w:tcW w:w="1134" w:type="dxa"/>
                  <w:tcBorders>
                    <w:tl2br w:val="nil"/>
                    <w:tr2bl w:val="nil"/>
                  </w:tcBorders>
                  <w:vAlign w:val="center"/>
                </w:tcPr>
                <w:p w14:paraId="68AA8AF2">
                  <w:pPr>
                    <w:numPr>
                      <w:ilvl w:val="0"/>
                      <w:numId w:val="0"/>
                    </w:numPr>
                    <w:adjustRightInd w:val="0"/>
                    <w:snapToGrid w:val="0"/>
                    <w:spacing w:line="24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1.135</w:t>
                  </w:r>
                </w:p>
              </w:tc>
            </w:tr>
            <w:tr w14:paraId="640DA1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Borders>
                    <w:tl2br w:val="nil"/>
                    <w:tr2bl w:val="nil"/>
                  </w:tcBorders>
                  <w:vAlign w:val="center"/>
                </w:tcPr>
                <w:p w14:paraId="76E13973">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硝酸</w:t>
                  </w:r>
                </w:p>
              </w:tc>
              <w:tc>
                <w:tcPr>
                  <w:tcW w:w="1132" w:type="dxa"/>
                  <w:tcBorders>
                    <w:tl2br w:val="nil"/>
                    <w:tr2bl w:val="nil"/>
                  </w:tcBorders>
                  <w:vAlign w:val="center"/>
                </w:tcPr>
                <w:p w14:paraId="73AC8425">
                  <w:pPr>
                    <w:numPr>
                      <w:ilvl w:val="0"/>
                      <w:numId w:val="0"/>
                    </w:numPr>
                    <w:adjustRightInd w:val="0"/>
                    <w:snapToGrid w:val="0"/>
                    <w:spacing w:line="24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41.73</w:t>
                  </w:r>
                </w:p>
              </w:tc>
              <w:tc>
                <w:tcPr>
                  <w:tcW w:w="988" w:type="dxa"/>
                  <w:tcBorders>
                    <w:tl2br w:val="nil"/>
                    <w:tr2bl w:val="nil"/>
                  </w:tcBorders>
                  <w:vAlign w:val="center"/>
                </w:tcPr>
                <w:p w14:paraId="791C5518">
                  <w:pPr>
                    <w:numPr>
                      <w:ilvl w:val="0"/>
                      <w:numId w:val="0"/>
                    </w:numPr>
                    <w:adjustRightInd w:val="0"/>
                    <w:snapToGrid w:val="0"/>
                    <w:spacing w:line="24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63.01</w:t>
                  </w:r>
                </w:p>
              </w:tc>
              <w:tc>
                <w:tcPr>
                  <w:tcW w:w="1307" w:type="dxa"/>
                  <w:tcBorders>
                    <w:tl2br w:val="nil"/>
                    <w:tr2bl w:val="nil"/>
                  </w:tcBorders>
                  <w:vAlign w:val="center"/>
                </w:tcPr>
                <w:p w14:paraId="5A0128D1">
                  <w:pPr>
                    <w:numPr>
                      <w:ilvl w:val="0"/>
                      <w:numId w:val="0"/>
                    </w:numPr>
                    <w:adjustRightInd w:val="0"/>
                    <w:snapToGrid w:val="0"/>
                    <w:spacing w:line="24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1.87</w:t>
                  </w:r>
                </w:p>
              </w:tc>
              <w:tc>
                <w:tcPr>
                  <w:tcW w:w="1101" w:type="dxa"/>
                  <w:tcBorders>
                    <w:tl2br w:val="nil"/>
                    <w:tr2bl w:val="nil"/>
                  </w:tcBorders>
                  <w:vAlign w:val="center"/>
                </w:tcPr>
                <w:p w14:paraId="751993D3">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氮氧化物</w:t>
                  </w:r>
                </w:p>
              </w:tc>
              <w:tc>
                <w:tcPr>
                  <w:tcW w:w="1132" w:type="dxa"/>
                  <w:tcBorders>
                    <w:tl2br w:val="nil"/>
                    <w:tr2bl w:val="nil"/>
                  </w:tcBorders>
                  <w:vAlign w:val="center"/>
                </w:tcPr>
                <w:p w14:paraId="1A93BECD">
                  <w:pPr>
                    <w:numPr>
                      <w:ilvl w:val="0"/>
                      <w:numId w:val="0"/>
                    </w:numPr>
                    <w:adjustRightInd w:val="0"/>
                    <w:snapToGrid w:val="0"/>
                    <w:spacing w:line="24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0.0007</w:t>
                  </w:r>
                </w:p>
              </w:tc>
              <w:tc>
                <w:tcPr>
                  <w:tcW w:w="1134" w:type="dxa"/>
                  <w:tcBorders>
                    <w:tl2br w:val="nil"/>
                    <w:tr2bl w:val="nil"/>
                  </w:tcBorders>
                  <w:vAlign w:val="center"/>
                </w:tcPr>
                <w:p w14:paraId="0F7E350F">
                  <w:pPr>
                    <w:numPr>
                      <w:ilvl w:val="0"/>
                      <w:numId w:val="0"/>
                    </w:numPr>
                    <w:adjustRightInd w:val="0"/>
                    <w:snapToGrid w:val="0"/>
                    <w:spacing w:line="24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0.35</w:t>
                  </w:r>
                </w:p>
              </w:tc>
            </w:tr>
            <w:tr w14:paraId="527E0D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774" w:type="dxa"/>
                  <w:tcBorders>
                    <w:tl2br w:val="nil"/>
                    <w:tr2bl w:val="nil"/>
                  </w:tcBorders>
                  <w:vAlign w:val="center"/>
                </w:tcPr>
                <w:p w14:paraId="2D4AF4A5">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硫酸</w:t>
                  </w:r>
                </w:p>
              </w:tc>
              <w:tc>
                <w:tcPr>
                  <w:tcW w:w="1132" w:type="dxa"/>
                  <w:tcBorders>
                    <w:tl2br w:val="nil"/>
                    <w:tr2bl w:val="nil"/>
                  </w:tcBorders>
                  <w:vAlign w:val="center"/>
                </w:tcPr>
                <w:p w14:paraId="4E0A495A">
                  <w:pPr>
                    <w:numPr>
                      <w:ilvl w:val="0"/>
                      <w:numId w:val="0"/>
                    </w:numPr>
                    <w:adjustRightInd w:val="0"/>
                    <w:snapToGrid w:val="0"/>
                    <w:spacing w:line="24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297</w:t>
                  </w:r>
                </w:p>
              </w:tc>
              <w:tc>
                <w:tcPr>
                  <w:tcW w:w="988" w:type="dxa"/>
                  <w:tcBorders>
                    <w:tl2br w:val="nil"/>
                    <w:tr2bl w:val="nil"/>
                  </w:tcBorders>
                  <w:vAlign w:val="center"/>
                </w:tcPr>
                <w:p w14:paraId="50B57C93">
                  <w:pPr>
                    <w:numPr>
                      <w:ilvl w:val="0"/>
                      <w:numId w:val="0"/>
                    </w:numPr>
                    <w:adjustRightInd w:val="0"/>
                    <w:snapToGrid w:val="0"/>
                    <w:spacing w:line="24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98.08</w:t>
                  </w:r>
                </w:p>
              </w:tc>
              <w:tc>
                <w:tcPr>
                  <w:tcW w:w="1307" w:type="dxa"/>
                  <w:tcBorders>
                    <w:tl2br w:val="nil"/>
                    <w:tr2bl w:val="nil"/>
                  </w:tcBorders>
                  <w:vAlign w:val="center"/>
                </w:tcPr>
                <w:p w14:paraId="6C341949">
                  <w:pPr>
                    <w:numPr>
                      <w:ilvl w:val="0"/>
                      <w:numId w:val="0"/>
                    </w:numPr>
                    <w:adjustRightInd w:val="0"/>
                    <w:snapToGrid w:val="0"/>
                    <w:spacing w:line="24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0.08</w:t>
                  </w:r>
                </w:p>
              </w:tc>
              <w:tc>
                <w:tcPr>
                  <w:tcW w:w="1101" w:type="dxa"/>
                  <w:tcBorders>
                    <w:tl2br w:val="nil"/>
                    <w:tr2bl w:val="nil"/>
                  </w:tcBorders>
                  <w:vAlign w:val="center"/>
                </w:tcPr>
                <w:p w14:paraId="184603C4">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硫酸雾</w:t>
                  </w:r>
                </w:p>
              </w:tc>
              <w:tc>
                <w:tcPr>
                  <w:tcW w:w="1132" w:type="dxa"/>
                  <w:tcBorders>
                    <w:tl2br w:val="nil"/>
                    <w:tr2bl w:val="nil"/>
                  </w:tcBorders>
                  <w:vAlign w:val="center"/>
                </w:tcPr>
                <w:p w14:paraId="7E1A59AB">
                  <w:pPr>
                    <w:numPr>
                      <w:ilvl w:val="0"/>
                      <w:numId w:val="0"/>
                    </w:numPr>
                    <w:adjustRightInd w:val="0"/>
                    <w:snapToGrid w:val="0"/>
                    <w:spacing w:line="24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0.00005</w:t>
                  </w:r>
                </w:p>
              </w:tc>
              <w:tc>
                <w:tcPr>
                  <w:tcW w:w="1134" w:type="dxa"/>
                  <w:tcBorders>
                    <w:tl2br w:val="nil"/>
                    <w:tr2bl w:val="nil"/>
                  </w:tcBorders>
                  <w:vAlign w:val="center"/>
                </w:tcPr>
                <w:p w14:paraId="75212D61">
                  <w:pPr>
                    <w:numPr>
                      <w:ilvl w:val="0"/>
                      <w:numId w:val="0"/>
                    </w:numPr>
                    <w:adjustRightInd w:val="0"/>
                    <w:snapToGrid w:val="0"/>
                    <w:spacing w:line="24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0.025</w:t>
                  </w:r>
                </w:p>
              </w:tc>
            </w:tr>
          </w:tbl>
          <w:p w14:paraId="4D05804E">
            <w:pPr>
              <w:numPr>
                <w:ilvl w:val="0"/>
                <w:numId w:val="42"/>
              </w:numPr>
              <w:adjustRightInd w:val="0"/>
              <w:snapToGrid w:val="0"/>
              <w:spacing w:line="360" w:lineRule="auto"/>
              <w:ind w:left="0" w:leftChars="0"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 xml:space="preserve">碱性废气 </w:t>
            </w:r>
          </w:p>
          <w:p w14:paraId="79CF7E0C">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本</w:t>
            </w:r>
            <w:r>
              <w:rPr>
                <w:rFonts w:hint="eastAsia" w:ascii="Times New Roman" w:hAnsi="Times New Roman" w:eastAsia="宋体" w:cs="Times New Roman"/>
                <w:color w:val="auto"/>
                <w:kern w:val="0"/>
                <w:sz w:val="24"/>
                <w:highlight w:val="none"/>
                <w:lang w:val="en-US" w:eastAsia="zh-CN"/>
              </w:rPr>
              <w:t>项目实验过程使用氨水，</w:t>
            </w:r>
            <w:r>
              <w:rPr>
                <w:rFonts w:hint="eastAsia" w:cs="Times New Roman"/>
                <w:color w:val="auto"/>
                <w:kern w:val="0"/>
                <w:sz w:val="24"/>
                <w:highlight w:val="none"/>
                <w:lang w:val="en-US" w:eastAsia="zh-CN"/>
              </w:rPr>
              <w:t>每天使用氨水的时间1h，年使用250天，氨水用量0.929kg/a，</w:t>
            </w:r>
            <w:r>
              <w:rPr>
                <w:rFonts w:hint="eastAsia" w:ascii="Times New Roman" w:hAnsi="Times New Roman" w:eastAsia="宋体" w:cs="Times New Roman"/>
                <w:color w:val="auto"/>
                <w:kern w:val="0"/>
                <w:sz w:val="24"/>
                <w:highlight w:val="none"/>
                <w:lang w:val="en-US" w:eastAsia="zh-CN"/>
              </w:rPr>
              <w:t>氨水的挥发量取</w:t>
            </w:r>
            <w:r>
              <w:rPr>
                <w:rFonts w:hint="eastAsia"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lang w:val="en-US" w:eastAsia="zh-CN"/>
              </w:rPr>
              <w:t>0%</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氨气的挥发量为</w:t>
            </w:r>
            <w:r>
              <w:rPr>
                <w:rFonts w:hint="eastAsia" w:cs="Times New Roman"/>
                <w:color w:val="auto"/>
                <w:kern w:val="0"/>
                <w:sz w:val="24"/>
                <w:highlight w:val="none"/>
                <w:lang w:val="en-US" w:eastAsia="zh-CN"/>
              </w:rPr>
              <w:t>0.0929</w:t>
            </w:r>
            <w:r>
              <w:rPr>
                <w:rFonts w:hint="default" w:ascii="Times New Roman" w:hAnsi="Times New Roman" w:eastAsia="宋体" w:cs="Times New Roman"/>
                <w:color w:val="auto"/>
                <w:kern w:val="0"/>
                <w:sz w:val="24"/>
                <w:highlight w:val="none"/>
                <w:lang w:val="en-US" w:eastAsia="zh-CN"/>
              </w:rPr>
              <w:t>kg/a</w:t>
            </w:r>
            <w:r>
              <w:rPr>
                <w:rFonts w:hint="eastAsia" w:cs="Times New Roman"/>
                <w:color w:val="auto"/>
                <w:kern w:val="0"/>
                <w:sz w:val="24"/>
                <w:highlight w:val="none"/>
                <w:lang w:val="en-US" w:eastAsia="zh-CN"/>
              </w:rPr>
              <w:t>（0.0004kg/h）</w:t>
            </w:r>
            <w:r>
              <w:rPr>
                <w:rFonts w:hint="eastAsia" w:ascii="Times New Roman" w:hAnsi="Times New Roman" w:eastAsia="宋体" w:cs="Times New Roman"/>
                <w:color w:val="auto"/>
                <w:kern w:val="0"/>
                <w:sz w:val="24"/>
                <w:highlight w:val="none"/>
                <w:lang w:val="en-US" w:eastAsia="zh-CN"/>
              </w:rPr>
              <w:t>。</w:t>
            </w:r>
          </w:p>
          <w:p w14:paraId="7C1D6B4E">
            <w:pPr>
              <w:numPr>
                <w:ilvl w:val="0"/>
                <w:numId w:val="0"/>
              </w:numPr>
              <w:adjustRightInd w:val="0"/>
              <w:snapToGrid w:val="0"/>
              <w:spacing w:line="360" w:lineRule="auto"/>
              <w:ind w:firstLine="482" w:firstLineChars="200"/>
              <w:rPr>
                <w:rFonts w:hint="eastAsia"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w:t>
            </w:r>
            <w:r>
              <w:rPr>
                <w:rFonts w:hint="default" w:ascii="Times New Roman" w:hAnsi="Times New Roman" w:eastAsia="宋体" w:cs="Times New Roman"/>
                <w:b/>
                <w:bCs/>
                <w:color w:val="auto"/>
                <w:kern w:val="0"/>
                <w:sz w:val="24"/>
                <w:highlight w:val="none"/>
                <w:lang w:val="en-US" w:eastAsia="zh-CN"/>
              </w:rPr>
              <w:t>2</w:t>
            </w:r>
            <w:r>
              <w:rPr>
                <w:rFonts w:hint="eastAsia" w:ascii="Times New Roman" w:hAnsi="Times New Roman" w:eastAsia="宋体" w:cs="Times New Roman"/>
                <w:b/>
                <w:bCs/>
                <w:color w:val="auto"/>
                <w:kern w:val="0"/>
                <w:sz w:val="24"/>
                <w:highlight w:val="none"/>
                <w:lang w:val="en-US" w:eastAsia="zh-CN"/>
              </w:rPr>
              <w:t xml:space="preserve">）废气产排污情况 </w:t>
            </w:r>
          </w:p>
          <w:p w14:paraId="65D2C13D">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项目挥发性化学试剂均</w:t>
            </w:r>
            <w:r>
              <w:rPr>
                <w:rFonts w:hint="eastAsia" w:cs="Times New Roman"/>
                <w:color w:val="auto"/>
                <w:kern w:val="0"/>
                <w:sz w:val="24"/>
                <w:highlight w:val="none"/>
                <w:lang w:val="en-US" w:eastAsia="zh-CN"/>
              </w:rPr>
              <w:t>在</w:t>
            </w:r>
            <w:r>
              <w:rPr>
                <w:rFonts w:hint="eastAsia" w:ascii="Times New Roman" w:hAnsi="Times New Roman" w:eastAsia="宋体" w:cs="Times New Roman"/>
                <w:color w:val="auto"/>
                <w:kern w:val="0"/>
                <w:sz w:val="24"/>
                <w:highlight w:val="none"/>
                <w:lang w:val="en-US" w:eastAsia="zh-CN"/>
              </w:rPr>
              <w:t>通风橱内使用，产生的有机废气、无机废气经通风橱收集后分别</w:t>
            </w:r>
            <w:r>
              <w:rPr>
                <w:rFonts w:hint="eastAsia" w:cs="Times New Roman"/>
                <w:color w:val="auto"/>
                <w:kern w:val="0"/>
                <w:sz w:val="24"/>
                <w:highlight w:val="none"/>
                <w:lang w:val="en-US" w:eastAsia="zh-CN"/>
              </w:rPr>
              <w:t>进入楼顶的干式过滤器</w:t>
            </w:r>
            <w:r>
              <w:rPr>
                <w:rFonts w:hint="eastAsia" w:ascii="Times New Roman" w:hAnsi="Times New Roman" w:eastAsia="宋体" w:cs="Times New Roman"/>
                <w:color w:val="auto"/>
                <w:kern w:val="0"/>
                <w:sz w:val="24"/>
                <w:highlight w:val="none"/>
                <w:lang w:val="en-US" w:eastAsia="zh-CN"/>
              </w:rPr>
              <w:t>吸附</w:t>
            </w:r>
            <w:r>
              <w:rPr>
                <w:rFonts w:hint="eastAsia" w:cs="Times New Roman"/>
                <w:color w:val="auto"/>
                <w:kern w:val="0"/>
                <w:sz w:val="24"/>
                <w:highlight w:val="none"/>
                <w:lang w:val="en-US" w:eastAsia="zh-CN"/>
              </w:rPr>
              <w:t>设施。试剂配制、样品前处理时提前打开</w:t>
            </w:r>
            <w:r>
              <w:rPr>
                <w:rFonts w:hint="eastAsia" w:ascii="Times New Roman" w:hAnsi="Times New Roman" w:eastAsia="宋体" w:cs="Times New Roman"/>
                <w:color w:val="auto"/>
                <w:kern w:val="0"/>
                <w:sz w:val="24"/>
                <w:highlight w:val="none"/>
                <w:lang w:val="en-US" w:eastAsia="zh-CN"/>
              </w:rPr>
              <w:t>通风橱</w:t>
            </w:r>
            <w:r>
              <w:rPr>
                <w:rFonts w:hint="eastAsia" w:cs="Times New Roman"/>
                <w:color w:val="auto"/>
                <w:kern w:val="0"/>
                <w:sz w:val="24"/>
                <w:highlight w:val="none"/>
                <w:lang w:val="en-US" w:eastAsia="zh-CN"/>
              </w:rPr>
              <w:t>风机，在不影响操作的情况下尽量减少通风橱的开度，确保通风橱敞开面风速不低于0.35m/s，通风橱收集效率按</w:t>
            </w:r>
            <w:r>
              <w:rPr>
                <w:rFonts w:hint="default" w:ascii="Times New Roman" w:hAnsi="Times New Roman" w:eastAsia="宋体" w:cs="Times New Roman"/>
                <w:color w:val="auto"/>
                <w:kern w:val="0"/>
                <w:sz w:val="24"/>
                <w:highlight w:val="none"/>
                <w:lang w:val="en-US" w:eastAsia="zh-CN"/>
              </w:rPr>
              <w:t>100%</w:t>
            </w:r>
            <w:r>
              <w:rPr>
                <w:rFonts w:hint="eastAsia" w:cs="Times New Roman"/>
                <w:color w:val="auto"/>
                <w:kern w:val="0"/>
                <w:sz w:val="24"/>
                <w:highlight w:val="none"/>
                <w:lang w:val="en-US" w:eastAsia="zh-CN"/>
              </w:rPr>
              <w:t>计</w:t>
            </w:r>
            <w:r>
              <w:rPr>
                <w:rFonts w:hint="eastAsia" w:ascii="Times New Roman" w:hAnsi="Times New Roman" w:eastAsia="宋体" w:cs="Times New Roman"/>
                <w:color w:val="auto"/>
                <w:kern w:val="0"/>
                <w:sz w:val="24"/>
                <w:highlight w:val="none"/>
                <w:lang w:val="en-US" w:eastAsia="zh-CN"/>
              </w:rPr>
              <w:t>，年运行时间</w:t>
            </w:r>
            <w:r>
              <w:rPr>
                <w:rFonts w:hint="eastAsia" w:cs="Times New Roman"/>
                <w:color w:val="auto"/>
                <w:kern w:val="0"/>
                <w:sz w:val="24"/>
                <w:highlight w:val="none"/>
                <w:lang w:val="en-US" w:eastAsia="zh-CN"/>
              </w:rPr>
              <w:t>250</w:t>
            </w:r>
            <w:r>
              <w:rPr>
                <w:rFonts w:hint="eastAsia" w:ascii="Times New Roman" w:hAnsi="Times New Roman" w:eastAsia="宋体" w:cs="Times New Roman"/>
                <w:color w:val="auto"/>
                <w:kern w:val="0"/>
                <w:sz w:val="24"/>
                <w:highlight w:val="none"/>
                <w:lang w:val="en-US" w:eastAsia="zh-CN"/>
              </w:rPr>
              <w:t>天，每天4小时，处理后经</w:t>
            </w:r>
            <w:r>
              <w:rPr>
                <w:rFonts w:hint="eastAsia" w:cs="Times New Roman"/>
                <w:color w:val="auto"/>
                <w:kern w:val="0"/>
                <w:sz w:val="24"/>
                <w:highlight w:val="none"/>
                <w:lang w:val="en-US" w:eastAsia="zh-CN"/>
              </w:rPr>
              <w:t>18</w:t>
            </w:r>
            <w:r>
              <w:rPr>
                <w:rFonts w:hint="default" w:ascii="Times New Roman" w:hAnsi="Times New Roman" w:eastAsia="宋体" w:cs="Times New Roman"/>
                <w:color w:val="auto"/>
                <w:kern w:val="0"/>
                <w:sz w:val="24"/>
                <w:highlight w:val="none"/>
                <w:lang w:val="en-US" w:eastAsia="zh-CN"/>
              </w:rPr>
              <w:t>m</w:t>
            </w:r>
            <w:r>
              <w:rPr>
                <w:rFonts w:hint="eastAsia" w:ascii="Times New Roman" w:hAnsi="Times New Roman" w:eastAsia="宋体" w:cs="Times New Roman"/>
                <w:color w:val="auto"/>
                <w:kern w:val="0"/>
                <w:sz w:val="24"/>
                <w:highlight w:val="none"/>
                <w:lang w:val="en-US" w:eastAsia="zh-CN"/>
              </w:rPr>
              <w:t xml:space="preserve">高的DA001排气筒排放。 </w:t>
            </w:r>
          </w:p>
          <w:p w14:paraId="6B60A422">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本项目干式过滤器采用三级过滤，分别用浸渍过酸碱的吸附剂吸收碱和酸、用活性炭吸收有机废气，酸碱吸附剂的吸收效率按30%计，</w:t>
            </w:r>
            <w:r>
              <w:rPr>
                <w:rFonts w:hint="default" w:ascii="Times New Roman" w:hAnsi="Times New Roman" w:eastAsia="宋体" w:cs="Times New Roman"/>
                <w:color w:val="auto"/>
                <w:sz w:val="24"/>
                <w:highlight w:val="none"/>
                <w:lang w:val="en-US" w:eastAsia="zh-CN"/>
              </w:rPr>
              <w:t>根据《主要污染物总量减排核算技术指南(2022年修订)》，采用一次性活性炭吸附按其再生方式测算去除效率，不再生、集中再生和集中再生并活化VOCs去除率分别按15%、30%、50%取值，本次评价活性炭吸附效率按15%计算。</w:t>
            </w:r>
          </w:p>
          <w:p w14:paraId="0F9F7C3C">
            <w:pPr>
              <w:numPr>
                <w:ilvl w:val="0"/>
                <w:numId w:val="0"/>
              </w:numP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本</w:t>
            </w:r>
            <w:r>
              <w:rPr>
                <w:rFonts w:hint="eastAsia" w:ascii="Times New Roman" w:hAnsi="Times New Roman" w:eastAsia="宋体" w:cs="Times New Roman"/>
                <w:color w:val="auto"/>
                <w:kern w:val="0"/>
                <w:sz w:val="24"/>
                <w:highlight w:val="none"/>
                <w:lang w:val="en-US" w:eastAsia="zh-CN"/>
              </w:rPr>
              <w:t>废气产排情况</w:t>
            </w:r>
            <w:r>
              <w:rPr>
                <w:rFonts w:hint="eastAsia" w:eastAsia="宋体" w:cs="Times New Roman"/>
                <w:color w:val="auto"/>
                <w:kern w:val="0"/>
                <w:sz w:val="24"/>
                <w:highlight w:val="none"/>
                <w:lang w:val="en-US" w:eastAsia="zh-CN"/>
              </w:rPr>
              <w:t>见下表。</w:t>
            </w:r>
          </w:p>
          <w:p w14:paraId="7A496794">
            <w:pPr>
              <w:keepNext w:val="0"/>
              <w:keepLines w:val="0"/>
              <w:widowControl/>
              <w:numPr>
                <w:ilvl w:val="0"/>
                <w:numId w:val="40"/>
              </w:numPr>
              <w:suppressLineNumbers w:val="0"/>
              <w:ind w:left="425" w:leftChars="0" w:hanging="425" w:firstLineChars="0"/>
              <w:jc w:val="center"/>
              <w:rPr>
                <w:rFonts w:hint="eastAsia" w:ascii="Times New Roman" w:hAnsi="Times New Roman" w:eastAsia="宋体" w:cs="Times New Roman"/>
                <w:b/>
                <w:bCs/>
                <w:color w:val="auto"/>
                <w:kern w:val="0"/>
                <w:sz w:val="24"/>
                <w:highlight w:val="none"/>
                <w:lang w:val="en-US" w:eastAsia="zh-CN"/>
              </w:rPr>
            </w:pPr>
            <w:r>
              <w:rPr>
                <w:rFonts w:hint="eastAsia" w:cs="Times New Roman"/>
                <w:b/>
                <w:bCs/>
                <w:color w:val="auto"/>
                <w:kern w:val="0"/>
                <w:sz w:val="24"/>
                <w:highlight w:val="none"/>
                <w:lang w:val="en-US" w:eastAsia="zh-CN"/>
              </w:rPr>
              <w:t>本</w:t>
            </w:r>
            <w:r>
              <w:rPr>
                <w:rFonts w:hint="eastAsia" w:ascii="Times New Roman" w:hAnsi="Times New Roman" w:eastAsia="宋体" w:cs="Times New Roman"/>
                <w:b/>
                <w:bCs/>
                <w:color w:val="auto"/>
                <w:kern w:val="0"/>
                <w:sz w:val="24"/>
                <w:highlight w:val="none"/>
                <w:lang w:val="en-US" w:eastAsia="zh-CN"/>
              </w:rPr>
              <w:t>项目废气产生及排放情况一览表</w:t>
            </w:r>
          </w:p>
          <w:tbl>
            <w:tblPr>
              <w:tblStyle w:val="24"/>
              <w:tblW w:w="0" w:type="auto"/>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5"/>
              <w:gridCol w:w="1008"/>
              <w:gridCol w:w="852"/>
              <w:gridCol w:w="813"/>
              <w:gridCol w:w="696"/>
              <w:gridCol w:w="735"/>
              <w:gridCol w:w="756"/>
              <w:gridCol w:w="792"/>
              <w:gridCol w:w="876"/>
              <w:gridCol w:w="638"/>
            </w:tblGrid>
            <w:tr w14:paraId="614A41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355" w:type="dxa"/>
                  <w:tcBorders>
                    <w:tl2br w:val="nil"/>
                    <w:tr2bl w:val="nil"/>
                  </w:tcBorders>
                  <w:vAlign w:val="center"/>
                </w:tcPr>
                <w:p w14:paraId="62DF18DE">
                  <w:pPr>
                    <w:keepNext w:val="0"/>
                    <w:keepLines w:val="0"/>
                    <w:widowControl/>
                    <w:suppressLineNumbers w:val="0"/>
                    <w:jc w:val="center"/>
                    <w:rPr>
                      <w:b/>
                      <w:bCs/>
                      <w:color w:val="auto"/>
                      <w:sz w:val="21"/>
                      <w:szCs w:val="21"/>
                    </w:rPr>
                  </w:pPr>
                  <w:r>
                    <w:rPr>
                      <w:rFonts w:hint="eastAsia" w:ascii="宋体" w:hAnsi="宋体" w:eastAsia="宋体" w:cs="宋体"/>
                      <w:b/>
                      <w:bCs/>
                      <w:color w:val="auto"/>
                      <w:kern w:val="0"/>
                      <w:sz w:val="21"/>
                      <w:szCs w:val="21"/>
                      <w:lang w:val="en-US" w:eastAsia="zh-CN" w:bidi="ar"/>
                    </w:rPr>
                    <w:t>排气</w:t>
                  </w:r>
                </w:p>
                <w:p w14:paraId="7CFEC580">
                  <w:pPr>
                    <w:keepNext w:val="0"/>
                    <w:keepLines w:val="0"/>
                    <w:widowControl/>
                    <w:suppressLineNumbers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筒</w:t>
                  </w:r>
                </w:p>
              </w:tc>
              <w:tc>
                <w:tcPr>
                  <w:tcW w:w="1008" w:type="dxa"/>
                  <w:tcBorders>
                    <w:tl2br w:val="nil"/>
                    <w:tr2bl w:val="nil"/>
                  </w:tcBorders>
                  <w:vAlign w:val="center"/>
                </w:tcPr>
                <w:p w14:paraId="3912F3A0">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污染物</w:t>
                  </w:r>
                </w:p>
              </w:tc>
              <w:tc>
                <w:tcPr>
                  <w:tcW w:w="852" w:type="dxa"/>
                  <w:tcBorders>
                    <w:tl2br w:val="nil"/>
                    <w:tr2bl w:val="nil"/>
                  </w:tcBorders>
                  <w:vAlign w:val="center"/>
                </w:tcPr>
                <w:p w14:paraId="51652596">
                  <w:pPr>
                    <w:keepNext w:val="0"/>
                    <w:keepLines w:val="0"/>
                    <w:widowControl/>
                    <w:suppressLineNumbers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污染物产生量</w:t>
                  </w:r>
                  <w:r>
                    <w:rPr>
                      <w:rFonts w:hint="default" w:ascii="Times New Roman" w:hAnsi="Times New Roman" w:eastAsia="宋体" w:cs="Times New Roman"/>
                      <w:b/>
                      <w:bCs/>
                      <w:color w:val="auto"/>
                      <w:kern w:val="0"/>
                      <w:sz w:val="21"/>
                      <w:szCs w:val="21"/>
                      <w:lang w:val="en-US" w:eastAsia="zh-CN" w:bidi="ar"/>
                    </w:rPr>
                    <w:t>kg/a</w:t>
                  </w:r>
                </w:p>
              </w:tc>
              <w:tc>
                <w:tcPr>
                  <w:tcW w:w="813" w:type="dxa"/>
                  <w:tcBorders>
                    <w:tl2br w:val="nil"/>
                    <w:tr2bl w:val="nil"/>
                  </w:tcBorders>
                  <w:vAlign w:val="center"/>
                </w:tcPr>
                <w:p w14:paraId="68DA8C16">
                  <w:pPr>
                    <w:keepNext w:val="0"/>
                    <w:keepLines w:val="0"/>
                    <w:widowControl/>
                    <w:suppressLineNumbers w:val="0"/>
                    <w:jc w:val="center"/>
                    <w:rPr>
                      <w:b/>
                      <w:bCs/>
                      <w:color w:val="auto"/>
                      <w:sz w:val="21"/>
                      <w:szCs w:val="21"/>
                    </w:rPr>
                  </w:pPr>
                  <w:r>
                    <w:rPr>
                      <w:rFonts w:hint="eastAsia" w:ascii="宋体" w:hAnsi="宋体" w:eastAsia="宋体" w:cs="宋体"/>
                      <w:b/>
                      <w:bCs/>
                      <w:color w:val="auto"/>
                      <w:kern w:val="0"/>
                      <w:sz w:val="21"/>
                      <w:szCs w:val="21"/>
                      <w:lang w:val="en-US" w:eastAsia="zh-CN" w:bidi="ar"/>
                    </w:rPr>
                    <w:t>产生浓度</w:t>
                  </w:r>
                </w:p>
                <w:p w14:paraId="2155FA38">
                  <w:pPr>
                    <w:keepNext w:val="0"/>
                    <w:keepLines w:val="0"/>
                    <w:widowControl/>
                    <w:suppressLineNumbers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lang w:val="en-US" w:eastAsia="zh-CN" w:bidi="ar"/>
                    </w:rPr>
                    <w:t>mg/m</w:t>
                  </w:r>
                  <w:r>
                    <w:rPr>
                      <w:rFonts w:hint="eastAsia" w:eastAsia="宋体" w:cs="Times New Roman"/>
                      <w:b/>
                      <w:bCs/>
                      <w:color w:val="auto"/>
                      <w:kern w:val="0"/>
                      <w:sz w:val="21"/>
                      <w:szCs w:val="21"/>
                      <w:vertAlign w:val="superscript"/>
                      <w:lang w:val="en-US" w:eastAsia="zh-CN" w:bidi="ar"/>
                    </w:rPr>
                    <w:t>3</w:t>
                  </w:r>
                </w:p>
              </w:tc>
              <w:tc>
                <w:tcPr>
                  <w:tcW w:w="696" w:type="dxa"/>
                  <w:tcBorders>
                    <w:tl2br w:val="nil"/>
                    <w:tr2bl w:val="nil"/>
                  </w:tcBorders>
                  <w:vAlign w:val="center"/>
                </w:tcPr>
                <w:p w14:paraId="18A52C39">
                  <w:pPr>
                    <w:keepNext w:val="0"/>
                    <w:keepLines w:val="0"/>
                    <w:widowControl/>
                    <w:suppressLineNumbers w:val="0"/>
                    <w:jc w:val="center"/>
                    <w:rPr>
                      <w:b/>
                      <w:bCs/>
                      <w:color w:val="auto"/>
                      <w:sz w:val="21"/>
                      <w:szCs w:val="21"/>
                    </w:rPr>
                  </w:pPr>
                  <w:r>
                    <w:rPr>
                      <w:rFonts w:hint="eastAsia" w:ascii="宋体" w:hAnsi="宋体" w:eastAsia="宋体" w:cs="宋体"/>
                      <w:b/>
                      <w:bCs/>
                      <w:color w:val="auto"/>
                      <w:kern w:val="0"/>
                      <w:sz w:val="21"/>
                      <w:szCs w:val="21"/>
                      <w:lang w:val="en-US" w:eastAsia="zh-CN" w:bidi="ar"/>
                    </w:rPr>
                    <w:t>产生速率</w:t>
                  </w:r>
                </w:p>
                <w:p w14:paraId="2A42E554">
                  <w:pPr>
                    <w:keepNext w:val="0"/>
                    <w:keepLines w:val="0"/>
                    <w:widowControl/>
                    <w:suppressLineNumbers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lang w:val="en-US" w:eastAsia="zh-CN" w:bidi="ar"/>
                    </w:rPr>
                    <w:t>kg/h</w:t>
                  </w:r>
                </w:p>
              </w:tc>
              <w:tc>
                <w:tcPr>
                  <w:tcW w:w="735" w:type="dxa"/>
                  <w:tcBorders>
                    <w:tl2br w:val="nil"/>
                    <w:tr2bl w:val="nil"/>
                  </w:tcBorders>
                  <w:vAlign w:val="center"/>
                </w:tcPr>
                <w:p w14:paraId="02550FD9">
                  <w:pPr>
                    <w:keepNext w:val="0"/>
                    <w:keepLines w:val="0"/>
                    <w:widowControl/>
                    <w:suppressLineNumbers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风机风量</w:t>
                  </w:r>
                  <w:r>
                    <w:rPr>
                      <w:rFonts w:hint="default" w:ascii="Times New Roman" w:hAnsi="Times New Roman" w:eastAsia="宋体" w:cs="Times New Roman"/>
                      <w:b/>
                      <w:bCs/>
                      <w:color w:val="auto"/>
                      <w:kern w:val="0"/>
                      <w:sz w:val="21"/>
                      <w:szCs w:val="21"/>
                      <w:lang w:val="en-US" w:eastAsia="zh-CN" w:bidi="ar"/>
                    </w:rPr>
                    <w:t>m</w:t>
                  </w:r>
                  <w:r>
                    <w:rPr>
                      <w:rFonts w:hint="default" w:ascii="Times New Roman" w:hAnsi="Times New Roman" w:eastAsia="宋体" w:cs="Times New Roman"/>
                      <w:b/>
                      <w:bCs/>
                      <w:color w:val="auto"/>
                      <w:kern w:val="0"/>
                      <w:sz w:val="21"/>
                      <w:szCs w:val="21"/>
                      <w:vertAlign w:val="superscript"/>
                      <w:lang w:val="en-US" w:eastAsia="zh-CN" w:bidi="ar"/>
                    </w:rPr>
                    <w:t>3</w:t>
                  </w:r>
                  <w:r>
                    <w:rPr>
                      <w:rFonts w:hint="default" w:ascii="Times New Roman" w:hAnsi="Times New Roman" w:eastAsia="宋体" w:cs="Times New Roman"/>
                      <w:b/>
                      <w:bCs/>
                      <w:color w:val="auto"/>
                      <w:kern w:val="0"/>
                      <w:sz w:val="21"/>
                      <w:szCs w:val="21"/>
                      <w:lang w:val="en-US" w:eastAsia="zh-CN" w:bidi="ar"/>
                    </w:rPr>
                    <w:t xml:space="preserve"> /h</w:t>
                  </w:r>
                </w:p>
              </w:tc>
              <w:tc>
                <w:tcPr>
                  <w:tcW w:w="756" w:type="dxa"/>
                  <w:tcBorders>
                    <w:tl2br w:val="nil"/>
                    <w:tr2bl w:val="nil"/>
                  </w:tcBorders>
                  <w:vAlign w:val="center"/>
                </w:tcPr>
                <w:p w14:paraId="73AE3D0C">
                  <w:pPr>
                    <w:keepNext w:val="0"/>
                    <w:keepLines w:val="0"/>
                    <w:widowControl/>
                    <w:suppressLineNumbers w:val="0"/>
                    <w:jc w:val="center"/>
                    <w:rPr>
                      <w:b/>
                      <w:bCs/>
                      <w:color w:val="auto"/>
                      <w:sz w:val="21"/>
                      <w:szCs w:val="21"/>
                    </w:rPr>
                  </w:pPr>
                  <w:r>
                    <w:rPr>
                      <w:rFonts w:hint="eastAsia" w:ascii="宋体" w:hAnsi="宋体" w:eastAsia="宋体" w:cs="宋体"/>
                      <w:b/>
                      <w:bCs/>
                      <w:color w:val="auto"/>
                      <w:kern w:val="0"/>
                      <w:sz w:val="21"/>
                      <w:szCs w:val="21"/>
                      <w:lang w:val="en-US" w:eastAsia="zh-CN" w:bidi="ar"/>
                    </w:rPr>
                    <w:t>去除</w:t>
                  </w:r>
                </w:p>
                <w:p w14:paraId="510BEC90">
                  <w:pPr>
                    <w:numPr>
                      <w:ilvl w:val="0"/>
                      <w:numId w:val="0"/>
                    </w:numPr>
                    <w:adjustRightInd w:val="0"/>
                    <w:snapToGrid w:val="0"/>
                    <w:spacing w:line="240" w:lineRule="auto"/>
                    <w:jc w:val="center"/>
                    <w:rPr>
                      <w:rFonts w:hint="eastAsia" w:ascii="宋体" w:hAnsi="宋体" w:eastAsia="宋体" w:cs="宋体"/>
                      <w:b/>
                      <w:bCs/>
                      <w:color w:val="auto"/>
                      <w:kern w:val="0"/>
                      <w:sz w:val="21"/>
                      <w:szCs w:val="21"/>
                      <w:lang w:val="en-US" w:eastAsia="zh-CN" w:bidi="ar"/>
                    </w:rPr>
                  </w:pPr>
                  <w:r>
                    <w:rPr>
                      <w:rFonts w:hint="eastAsia" w:ascii="宋体" w:hAnsi="宋体" w:eastAsia="宋体" w:cs="宋体"/>
                      <w:b/>
                      <w:bCs/>
                      <w:color w:val="auto"/>
                      <w:kern w:val="0"/>
                      <w:sz w:val="21"/>
                      <w:szCs w:val="21"/>
                      <w:lang w:val="en-US" w:eastAsia="zh-CN" w:bidi="ar"/>
                    </w:rPr>
                    <w:t>效率</w:t>
                  </w:r>
                </w:p>
                <w:p w14:paraId="69B2A4D2">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cs="宋体"/>
                      <w:b/>
                      <w:bCs/>
                      <w:color w:val="auto"/>
                      <w:kern w:val="0"/>
                      <w:sz w:val="21"/>
                      <w:szCs w:val="21"/>
                      <w:lang w:val="en-US" w:eastAsia="zh-CN" w:bidi="ar"/>
                    </w:rPr>
                    <w:t>%</w:t>
                  </w:r>
                </w:p>
              </w:tc>
              <w:tc>
                <w:tcPr>
                  <w:tcW w:w="792" w:type="dxa"/>
                  <w:tcBorders>
                    <w:tl2br w:val="nil"/>
                    <w:tr2bl w:val="nil"/>
                  </w:tcBorders>
                  <w:vAlign w:val="center"/>
                </w:tcPr>
                <w:p w14:paraId="44F8D5B2">
                  <w:pPr>
                    <w:keepNext w:val="0"/>
                    <w:keepLines w:val="0"/>
                    <w:widowControl/>
                    <w:suppressLineNumbers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排放量</w:t>
                  </w:r>
                  <w:r>
                    <w:rPr>
                      <w:rFonts w:hint="default" w:ascii="Times New Roman" w:hAnsi="Times New Roman" w:eastAsia="宋体" w:cs="Times New Roman"/>
                      <w:b/>
                      <w:bCs/>
                      <w:color w:val="auto"/>
                      <w:kern w:val="0"/>
                      <w:sz w:val="21"/>
                      <w:szCs w:val="21"/>
                      <w:lang w:val="en-US" w:eastAsia="zh-CN" w:bidi="ar"/>
                    </w:rPr>
                    <w:t>kg/a</w:t>
                  </w:r>
                </w:p>
              </w:tc>
              <w:tc>
                <w:tcPr>
                  <w:tcW w:w="876" w:type="dxa"/>
                  <w:tcBorders>
                    <w:tl2br w:val="nil"/>
                    <w:tr2bl w:val="nil"/>
                  </w:tcBorders>
                  <w:vAlign w:val="center"/>
                </w:tcPr>
                <w:p w14:paraId="591A429B">
                  <w:pPr>
                    <w:keepNext w:val="0"/>
                    <w:keepLines w:val="0"/>
                    <w:widowControl/>
                    <w:suppressLineNumbers w:val="0"/>
                    <w:jc w:val="center"/>
                    <w:rPr>
                      <w:rFonts w:hint="eastAsia" w:ascii="宋体" w:hAnsi="宋体" w:eastAsia="宋体" w:cs="宋体"/>
                      <w:b/>
                      <w:bCs/>
                      <w:color w:val="auto"/>
                      <w:kern w:val="0"/>
                      <w:sz w:val="21"/>
                      <w:szCs w:val="21"/>
                      <w:lang w:val="en-US" w:eastAsia="zh-CN" w:bidi="ar"/>
                    </w:rPr>
                  </w:pPr>
                  <w:r>
                    <w:rPr>
                      <w:rFonts w:hint="eastAsia" w:ascii="宋体" w:hAnsi="宋体" w:eastAsia="宋体" w:cs="宋体"/>
                      <w:b/>
                      <w:bCs/>
                      <w:color w:val="auto"/>
                      <w:kern w:val="0"/>
                      <w:sz w:val="21"/>
                      <w:szCs w:val="21"/>
                      <w:lang w:val="en-US" w:eastAsia="zh-CN" w:bidi="ar"/>
                    </w:rPr>
                    <w:t>排放</w:t>
                  </w:r>
                </w:p>
                <w:p w14:paraId="2F0CC5B6">
                  <w:pPr>
                    <w:keepNext w:val="0"/>
                    <w:keepLines w:val="0"/>
                    <w:widowControl/>
                    <w:suppressLineNumbers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 xml:space="preserve">浓度 </w:t>
                  </w:r>
                  <w:r>
                    <w:rPr>
                      <w:rFonts w:hint="default" w:ascii="Times New Roman" w:hAnsi="Times New Roman" w:eastAsia="宋体" w:cs="Times New Roman"/>
                      <w:b/>
                      <w:bCs/>
                      <w:color w:val="auto"/>
                      <w:kern w:val="0"/>
                      <w:sz w:val="21"/>
                      <w:szCs w:val="21"/>
                      <w:lang w:val="en-US" w:eastAsia="zh-CN" w:bidi="ar"/>
                    </w:rPr>
                    <w:t>mg/m</w:t>
                  </w:r>
                  <w:r>
                    <w:rPr>
                      <w:rFonts w:hint="default" w:ascii="Times New Roman" w:hAnsi="Times New Roman" w:eastAsia="宋体" w:cs="Times New Roman"/>
                      <w:b/>
                      <w:bCs/>
                      <w:color w:val="auto"/>
                      <w:kern w:val="0"/>
                      <w:sz w:val="21"/>
                      <w:szCs w:val="21"/>
                      <w:vertAlign w:val="superscript"/>
                      <w:lang w:val="en-US" w:eastAsia="zh-CN" w:bidi="ar"/>
                    </w:rPr>
                    <w:t>3</w:t>
                  </w:r>
                </w:p>
              </w:tc>
              <w:tc>
                <w:tcPr>
                  <w:tcW w:w="638" w:type="dxa"/>
                  <w:tcBorders>
                    <w:tl2br w:val="nil"/>
                    <w:tr2bl w:val="nil"/>
                  </w:tcBorders>
                  <w:vAlign w:val="center"/>
                </w:tcPr>
                <w:p w14:paraId="050BE38A">
                  <w:pPr>
                    <w:keepNext w:val="0"/>
                    <w:keepLines w:val="0"/>
                    <w:widowControl/>
                    <w:suppressLineNumbers w:val="0"/>
                    <w:jc w:val="center"/>
                    <w:rPr>
                      <w:b/>
                      <w:bCs/>
                      <w:color w:val="auto"/>
                      <w:sz w:val="21"/>
                      <w:szCs w:val="21"/>
                    </w:rPr>
                  </w:pPr>
                  <w:r>
                    <w:rPr>
                      <w:rFonts w:hint="eastAsia" w:ascii="宋体" w:hAnsi="宋体" w:eastAsia="宋体" w:cs="宋体"/>
                      <w:b/>
                      <w:bCs/>
                      <w:color w:val="auto"/>
                      <w:kern w:val="0"/>
                      <w:sz w:val="21"/>
                      <w:szCs w:val="21"/>
                      <w:lang w:val="en-US" w:eastAsia="zh-CN" w:bidi="ar"/>
                    </w:rPr>
                    <w:t>排放速率</w:t>
                  </w:r>
                </w:p>
                <w:p w14:paraId="115FA9B8">
                  <w:pPr>
                    <w:keepNext w:val="0"/>
                    <w:keepLines w:val="0"/>
                    <w:widowControl/>
                    <w:suppressLineNumbers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lang w:val="en-US" w:eastAsia="zh-CN" w:bidi="ar"/>
                    </w:rPr>
                    <w:t>kg/h</w:t>
                  </w:r>
                </w:p>
              </w:tc>
            </w:tr>
            <w:tr w14:paraId="0310D3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5" w:type="dxa"/>
                  <w:vMerge w:val="restart"/>
                  <w:tcBorders>
                    <w:tl2br w:val="nil"/>
                    <w:tr2bl w:val="nil"/>
                  </w:tcBorders>
                  <w:vAlign w:val="center"/>
                </w:tcPr>
                <w:p w14:paraId="3088EA74">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DA001</w:t>
                  </w:r>
                </w:p>
              </w:tc>
              <w:tc>
                <w:tcPr>
                  <w:tcW w:w="1008" w:type="dxa"/>
                  <w:tcBorders>
                    <w:tl2br w:val="nil"/>
                    <w:tr2bl w:val="nil"/>
                  </w:tcBorders>
                  <w:shd w:val="clear"/>
                  <w:vAlign w:val="center"/>
                </w:tcPr>
                <w:p w14:paraId="7292A1DC">
                  <w:pPr>
                    <w:spacing w:before="51" w:line="227"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甲醇</w:t>
                  </w:r>
                </w:p>
              </w:tc>
              <w:tc>
                <w:tcPr>
                  <w:tcW w:w="852" w:type="dxa"/>
                  <w:tcBorders>
                    <w:tl2br w:val="nil"/>
                    <w:tr2bl w:val="nil"/>
                  </w:tcBorders>
                  <w:shd w:val="clear" w:color="auto" w:fill="auto"/>
                  <w:vAlign w:val="center"/>
                </w:tcPr>
                <w:p w14:paraId="477A07DF">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eastAsia="宋体" w:cs="Times New Roman"/>
                      <w:color w:val="auto"/>
                      <w:kern w:val="0"/>
                      <w:sz w:val="21"/>
                      <w:szCs w:val="21"/>
                      <w:highlight w:val="none"/>
                      <w:vertAlign w:val="baseline"/>
                      <w:lang w:val="en-US" w:eastAsia="zh-CN"/>
                    </w:rPr>
                    <w:t xml:space="preserve">0.1584 </w:t>
                  </w:r>
                </w:p>
              </w:tc>
              <w:tc>
                <w:tcPr>
                  <w:tcW w:w="813" w:type="dxa"/>
                  <w:tcBorders>
                    <w:tl2br w:val="nil"/>
                    <w:tr2bl w:val="nil"/>
                  </w:tcBorders>
                  <w:vAlign w:val="center"/>
                </w:tcPr>
                <w:p w14:paraId="5DE244EF">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0.02</w:t>
                  </w:r>
                </w:p>
              </w:tc>
              <w:tc>
                <w:tcPr>
                  <w:tcW w:w="696" w:type="dxa"/>
                  <w:tcBorders>
                    <w:tl2br w:val="nil"/>
                    <w:tr2bl w:val="nil"/>
                  </w:tcBorders>
                  <w:shd w:val="clear" w:color="auto" w:fill="auto"/>
                  <w:vAlign w:val="center"/>
                </w:tcPr>
                <w:p w14:paraId="632DE627">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eastAsia="宋体" w:cs="Times New Roman"/>
                      <w:color w:val="auto"/>
                      <w:kern w:val="0"/>
                      <w:sz w:val="21"/>
                      <w:szCs w:val="21"/>
                      <w:highlight w:val="none"/>
                      <w:vertAlign w:val="baseline"/>
                      <w:lang w:val="en-US" w:eastAsia="zh-CN"/>
                    </w:rPr>
                    <w:t>0.0002</w:t>
                  </w:r>
                </w:p>
              </w:tc>
              <w:tc>
                <w:tcPr>
                  <w:tcW w:w="735" w:type="dxa"/>
                  <w:vMerge w:val="restart"/>
                  <w:tcBorders>
                    <w:tl2br w:val="nil"/>
                    <w:tr2bl w:val="nil"/>
                  </w:tcBorders>
                  <w:vAlign w:val="center"/>
                </w:tcPr>
                <w:p w14:paraId="70C652DA">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r>
                    <w:rPr>
                      <w:rFonts w:hint="eastAsia" w:eastAsia="宋体" w:cs="Times New Roman"/>
                      <w:color w:val="auto"/>
                      <w:kern w:val="0"/>
                      <w:sz w:val="21"/>
                      <w:szCs w:val="21"/>
                      <w:highlight w:val="none"/>
                      <w:vertAlign w:val="baseline"/>
                      <w:lang w:val="en-US" w:eastAsia="zh-CN"/>
                    </w:rPr>
                    <w:t>10000</w:t>
                  </w:r>
                </w:p>
              </w:tc>
              <w:tc>
                <w:tcPr>
                  <w:tcW w:w="756" w:type="dxa"/>
                  <w:vMerge w:val="restart"/>
                  <w:tcBorders>
                    <w:tl2br w:val="nil"/>
                    <w:tr2bl w:val="nil"/>
                  </w:tcBorders>
                  <w:vAlign w:val="center"/>
                </w:tcPr>
                <w:p w14:paraId="7775E206">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r>
                    <w:rPr>
                      <w:rFonts w:hint="eastAsia" w:eastAsia="宋体" w:cs="Times New Roman"/>
                      <w:color w:val="auto"/>
                      <w:kern w:val="0"/>
                      <w:sz w:val="21"/>
                      <w:szCs w:val="21"/>
                      <w:highlight w:val="none"/>
                      <w:vertAlign w:val="baseline"/>
                      <w:lang w:val="en-US" w:eastAsia="zh-CN"/>
                    </w:rPr>
                    <w:t>15</w:t>
                  </w:r>
                </w:p>
              </w:tc>
              <w:tc>
                <w:tcPr>
                  <w:tcW w:w="792" w:type="dxa"/>
                  <w:tcBorders>
                    <w:tl2br w:val="nil"/>
                    <w:tr2bl w:val="nil"/>
                  </w:tcBorders>
                  <w:vAlign w:val="center"/>
                </w:tcPr>
                <w:p w14:paraId="3C68402A">
                  <w:pPr>
                    <w:keepNext w:val="0"/>
                    <w:keepLines w:val="0"/>
                    <w:widowControl/>
                    <w:suppressLineNumbers w:val="0"/>
                    <w:jc w:val="center"/>
                    <w:textAlignment w:val="center"/>
                    <w:rPr>
                      <w:rFonts w:hint="default"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0.1346 </w:t>
                  </w:r>
                </w:p>
              </w:tc>
              <w:tc>
                <w:tcPr>
                  <w:tcW w:w="876" w:type="dxa"/>
                  <w:tcBorders>
                    <w:tl2br w:val="nil"/>
                    <w:tr2bl w:val="nil"/>
                  </w:tcBorders>
                  <w:vAlign w:val="center"/>
                </w:tcPr>
                <w:p w14:paraId="21BBD8BF">
                  <w:pPr>
                    <w:keepNext w:val="0"/>
                    <w:keepLines w:val="0"/>
                    <w:widowControl/>
                    <w:suppressLineNumbers w:val="0"/>
                    <w:jc w:val="center"/>
                    <w:textAlignment w:val="center"/>
                    <w:rPr>
                      <w:rFonts w:hint="default"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0.01 </w:t>
                  </w:r>
                </w:p>
              </w:tc>
              <w:tc>
                <w:tcPr>
                  <w:tcW w:w="638" w:type="dxa"/>
                  <w:tcBorders>
                    <w:tl2br w:val="nil"/>
                    <w:tr2bl w:val="nil"/>
                  </w:tcBorders>
                  <w:vAlign w:val="center"/>
                </w:tcPr>
                <w:p w14:paraId="7CBD8E18">
                  <w:pPr>
                    <w:keepNext w:val="0"/>
                    <w:keepLines w:val="0"/>
                    <w:widowControl/>
                    <w:suppressLineNumbers w:val="0"/>
                    <w:jc w:val="center"/>
                    <w:textAlignment w:val="center"/>
                    <w:rPr>
                      <w:rFonts w:hint="default"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0.0001 </w:t>
                  </w:r>
                </w:p>
              </w:tc>
            </w:tr>
            <w:tr w14:paraId="0CA8CE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tl2br w:val="nil"/>
                    <w:tr2bl w:val="nil"/>
                  </w:tcBorders>
                  <w:vAlign w:val="center"/>
                </w:tcPr>
                <w:p w14:paraId="427B5899">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08" w:type="dxa"/>
                  <w:tcBorders>
                    <w:tl2br w:val="nil"/>
                    <w:tr2bl w:val="nil"/>
                  </w:tcBorders>
                  <w:shd w:val="clear"/>
                  <w:vAlign w:val="center"/>
                </w:tcPr>
                <w:p w14:paraId="3D876281">
                  <w:pPr>
                    <w:spacing w:before="53" w:line="228"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eastAsia="宋体" w:cs="Times New Roman"/>
                      <w:color w:val="auto"/>
                      <w:kern w:val="2"/>
                      <w:sz w:val="21"/>
                      <w:szCs w:val="21"/>
                      <w:highlight w:val="none"/>
                      <w:lang w:val="en-US" w:eastAsia="zh-CN" w:bidi="ar-SA"/>
                    </w:rPr>
                    <w:t>其他A类物质（</w:t>
                  </w:r>
                  <w:r>
                    <w:rPr>
                      <w:rFonts w:hint="default" w:ascii="Times New Roman" w:hAnsi="Times New Roman" w:eastAsia="宋体" w:cs="Times New Roman"/>
                      <w:color w:val="auto"/>
                      <w:kern w:val="2"/>
                      <w:sz w:val="21"/>
                      <w:szCs w:val="21"/>
                      <w:highlight w:val="none"/>
                      <w:lang w:val="en-US" w:eastAsia="zh-CN" w:bidi="ar-SA"/>
                    </w:rPr>
                    <w:t>乙酸</w:t>
                  </w:r>
                  <w:r>
                    <w:rPr>
                      <w:rFonts w:hint="eastAsia" w:eastAsia="宋体" w:cs="Times New Roman"/>
                      <w:color w:val="auto"/>
                      <w:kern w:val="2"/>
                      <w:sz w:val="21"/>
                      <w:szCs w:val="21"/>
                      <w:highlight w:val="none"/>
                      <w:lang w:val="en-US" w:eastAsia="zh-CN" w:bidi="ar-SA"/>
                    </w:rPr>
                    <w:t>）</w:t>
                  </w:r>
                </w:p>
              </w:tc>
              <w:tc>
                <w:tcPr>
                  <w:tcW w:w="852" w:type="dxa"/>
                  <w:tcBorders>
                    <w:tl2br w:val="nil"/>
                    <w:tr2bl w:val="nil"/>
                  </w:tcBorders>
                  <w:shd w:val="clear" w:color="auto" w:fill="auto"/>
                  <w:vAlign w:val="center"/>
                </w:tcPr>
                <w:p w14:paraId="02E5DE37">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eastAsia="宋体" w:cs="Times New Roman"/>
                      <w:color w:val="auto"/>
                      <w:kern w:val="0"/>
                      <w:sz w:val="21"/>
                      <w:szCs w:val="21"/>
                      <w:highlight w:val="none"/>
                      <w:vertAlign w:val="baseline"/>
                      <w:lang w:val="en-US" w:eastAsia="zh-CN"/>
                    </w:rPr>
                    <w:t xml:space="preserve">0.2098 </w:t>
                  </w:r>
                </w:p>
              </w:tc>
              <w:tc>
                <w:tcPr>
                  <w:tcW w:w="813" w:type="dxa"/>
                  <w:tcBorders>
                    <w:tl2br w:val="nil"/>
                    <w:tr2bl w:val="nil"/>
                  </w:tcBorders>
                  <w:vAlign w:val="center"/>
                </w:tcPr>
                <w:p w14:paraId="44F350B1">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0.02</w:t>
                  </w:r>
                </w:p>
              </w:tc>
              <w:tc>
                <w:tcPr>
                  <w:tcW w:w="696" w:type="dxa"/>
                  <w:tcBorders>
                    <w:tl2br w:val="nil"/>
                    <w:tr2bl w:val="nil"/>
                  </w:tcBorders>
                  <w:shd w:val="clear" w:color="auto" w:fill="auto"/>
                  <w:vAlign w:val="center"/>
                </w:tcPr>
                <w:p w14:paraId="0EF3C500">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eastAsia="宋体" w:cs="Times New Roman"/>
                      <w:color w:val="auto"/>
                      <w:kern w:val="0"/>
                      <w:sz w:val="21"/>
                      <w:szCs w:val="21"/>
                      <w:highlight w:val="none"/>
                      <w:vertAlign w:val="baseline"/>
                      <w:lang w:val="en-US" w:eastAsia="zh-CN"/>
                    </w:rPr>
                    <w:t>0.0002</w:t>
                  </w:r>
                </w:p>
              </w:tc>
              <w:tc>
                <w:tcPr>
                  <w:tcW w:w="735" w:type="dxa"/>
                  <w:vMerge w:val="continue"/>
                  <w:tcBorders>
                    <w:tl2br w:val="nil"/>
                    <w:tr2bl w:val="nil"/>
                  </w:tcBorders>
                  <w:vAlign w:val="center"/>
                </w:tcPr>
                <w:p w14:paraId="437108A8">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56" w:type="dxa"/>
                  <w:vMerge w:val="continue"/>
                  <w:tcBorders>
                    <w:tl2br w:val="nil"/>
                    <w:tr2bl w:val="nil"/>
                  </w:tcBorders>
                  <w:vAlign w:val="center"/>
                </w:tcPr>
                <w:p w14:paraId="7EF23558">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92" w:type="dxa"/>
                  <w:tcBorders>
                    <w:tl2br w:val="nil"/>
                    <w:tr2bl w:val="nil"/>
                  </w:tcBorders>
                  <w:vAlign w:val="center"/>
                </w:tcPr>
                <w:p w14:paraId="603F3E58">
                  <w:pPr>
                    <w:keepNext w:val="0"/>
                    <w:keepLines w:val="0"/>
                    <w:widowControl/>
                    <w:suppressLineNumbers w:val="0"/>
                    <w:jc w:val="center"/>
                    <w:textAlignment w:val="center"/>
                    <w:rPr>
                      <w:rFonts w:hint="default"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0.1783 </w:t>
                  </w:r>
                </w:p>
              </w:tc>
              <w:tc>
                <w:tcPr>
                  <w:tcW w:w="876" w:type="dxa"/>
                  <w:tcBorders>
                    <w:tl2br w:val="nil"/>
                    <w:tr2bl w:val="nil"/>
                  </w:tcBorders>
                  <w:vAlign w:val="center"/>
                </w:tcPr>
                <w:p w14:paraId="039443F6">
                  <w:pPr>
                    <w:keepNext w:val="0"/>
                    <w:keepLines w:val="0"/>
                    <w:widowControl/>
                    <w:suppressLineNumbers w:val="0"/>
                    <w:jc w:val="center"/>
                    <w:textAlignment w:val="center"/>
                    <w:rPr>
                      <w:rFonts w:hint="default"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638" w:type="dxa"/>
                  <w:tcBorders>
                    <w:tl2br w:val="nil"/>
                    <w:tr2bl w:val="nil"/>
                  </w:tcBorders>
                  <w:vAlign w:val="center"/>
                </w:tcPr>
                <w:p w14:paraId="30135D49">
                  <w:pPr>
                    <w:keepNext w:val="0"/>
                    <w:keepLines w:val="0"/>
                    <w:widowControl/>
                    <w:suppressLineNumbers w:val="0"/>
                    <w:jc w:val="center"/>
                    <w:textAlignment w:val="center"/>
                    <w:rPr>
                      <w:rFonts w:hint="default"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0.0002 </w:t>
                  </w:r>
                </w:p>
              </w:tc>
            </w:tr>
            <w:tr w14:paraId="0AEEF1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tl2br w:val="nil"/>
                    <w:tr2bl w:val="nil"/>
                  </w:tcBorders>
                  <w:vAlign w:val="center"/>
                </w:tcPr>
                <w:p w14:paraId="4C26F480">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08" w:type="dxa"/>
                  <w:tcBorders>
                    <w:tl2br w:val="nil"/>
                    <w:tr2bl w:val="nil"/>
                  </w:tcBorders>
                  <w:shd w:val="clear"/>
                  <w:vAlign w:val="center"/>
                </w:tcPr>
                <w:p w14:paraId="1A589BDA">
                  <w:pPr>
                    <w:spacing w:before="53"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olor w:val="auto"/>
                      <w:spacing w:val="6"/>
                      <w:szCs w:val="21"/>
                      <w:highlight w:val="none"/>
                      <w:lang w:val="en-US" w:eastAsia="zh-CN"/>
                    </w:rPr>
                    <w:t>其他C类物质（</w:t>
                  </w:r>
                  <w:r>
                    <w:rPr>
                      <w:rFonts w:hint="default"/>
                      <w:color w:val="auto"/>
                      <w:spacing w:val="6"/>
                      <w:szCs w:val="21"/>
                      <w:highlight w:val="none"/>
                    </w:rPr>
                    <w:t>乙酸乙酯</w:t>
                  </w:r>
                  <w:r>
                    <w:rPr>
                      <w:rFonts w:hint="eastAsia"/>
                      <w:color w:val="auto"/>
                      <w:spacing w:val="6"/>
                      <w:szCs w:val="21"/>
                      <w:highlight w:val="none"/>
                      <w:lang w:val="en-US" w:eastAsia="zh-CN"/>
                    </w:rPr>
                    <w:t>）</w:t>
                  </w:r>
                </w:p>
              </w:tc>
              <w:tc>
                <w:tcPr>
                  <w:tcW w:w="852" w:type="dxa"/>
                  <w:tcBorders>
                    <w:tl2br w:val="nil"/>
                    <w:tr2bl w:val="nil"/>
                  </w:tcBorders>
                  <w:shd w:val="clear" w:color="auto" w:fill="auto"/>
                  <w:vAlign w:val="center"/>
                </w:tcPr>
                <w:p w14:paraId="732BD276">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eastAsia="宋体" w:cs="Times New Roman"/>
                      <w:color w:val="auto"/>
                      <w:kern w:val="0"/>
                      <w:sz w:val="21"/>
                      <w:szCs w:val="21"/>
                      <w:highlight w:val="none"/>
                      <w:vertAlign w:val="baseline"/>
                      <w:lang w:val="en-US" w:eastAsia="zh-CN"/>
                    </w:rPr>
                    <w:t xml:space="preserve">0.2701 </w:t>
                  </w:r>
                </w:p>
              </w:tc>
              <w:tc>
                <w:tcPr>
                  <w:tcW w:w="813" w:type="dxa"/>
                  <w:tcBorders>
                    <w:tl2br w:val="nil"/>
                    <w:tr2bl w:val="nil"/>
                  </w:tcBorders>
                  <w:vAlign w:val="center"/>
                </w:tcPr>
                <w:p w14:paraId="70C2106F">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0.03</w:t>
                  </w:r>
                </w:p>
              </w:tc>
              <w:tc>
                <w:tcPr>
                  <w:tcW w:w="696" w:type="dxa"/>
                  <w:tcBorders>
                    <w:tl2br w:val="nil"/>
                    <w:tr2bl w:val="nil"/>
                  </w:tcBorders>
                  <w:shd w:val="clear" w:color="auto" w:fill="auto"/>
                  <w:vAlign w:val="center"/>
                </w:tcPr>
                <w:p w14:paraId="1BCF6726">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eastAsia="宋体" w:cs="Times New Roman"/>
                      <w:color w:val="auto"/>
                      <w:kern w:val="0"/>
                      <w:sz w:val="21"/>
                      <w:szCs w:val="21"/>
                      <w:highlight w:val="none"/>
                      <w:vertAlign w:val="baseline"/>
                      <w:lang w:val="en-US" w:eastAsia="zh-CN"/>
                    </w:rPr>
                    <w:t xml:space="preserve">0.0003 </w:t>
                  </w:r>
                </w:p>
              </w:tc>
              <w:tc>
                <w:tcPr>
                  <w:tcW w:w="735" w:type="dxa"/>
                  <w:vMerge w:val="continue"/>
                  <w:tcBorders>
                    <w:tl2br w:val="nil"/>
                    <w:tr2bl w:val="nil"/>
                  </w:tcBorders>
                  <w:vAlign w:val="center"/>
                </w:tcPr>
                <w:p w14:paraId="2DA61139">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56" w:type="dxa"/>
                  <w:vMerge w:val="continue"/>
                  <w:tcBorders>
                    <w:tl2br w:val="nil"/>
                    <w:tr2bl w:val="nil"/>
                  </w:tcBorders>
                  <w:vAlign w:val="center"/>
                </w:tcPr>
                <w:p w14:paraId="5607E1D5">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92" w:type="dxa"/>
                  <w:tcBorders>
                    <w:tl2br w:val="nil"/>
                    <w:tr2bl w:val="nil"/>
                  </w:tcBorders>
                  <w:vAlign w:val="center"/>
                </w:tcPr>
                <w:p w14:paraId="75EBE6FE">
                  <w:pPr>
                    <w:keepNext w:val="0"/>
                    <w:keepLines w:val="0"/>
                    <w:widowControl/>
                    <w:suppressLineNumbers w:val="0"/>
                    <w:jc w:val="center"/>
                    <w:textAlignment w:val="center"/>
                    <w:rPr>
                      <w:rFonts w:hint="default"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0.2296 </w:t>
                  </w:r>
                </w:p>
              </w:tc>
              <w:tc>
                <w:tcPr>
                  <w:tcW w:w="876" w:type="dxa"/>
                  <w:tcBorders>
                    <w:tl2br w:val="nil"/>
                    <w:tr2bl w:val="nil"/>
                  </w:tcBorders>
                  <w:vAlign w:val="center"/>
                </w:tcPr>
                <w:p w14:paraId="6E5C1D0F">
                  <w:pPr>
                    <w:keepNext w:val="0"/>
                    <w:keepLines w:val="0"/>
                    <w:widowControl/>
                    <w:suppressLineNumbers w:val="0"/>
                    <w:jc w:val="center"/>
                    <w:textAlignment w:val="center"/>
                    <w:rPr>
                      <w:rFonts w:hint="default"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0.02 </w:t>
                  </w:r>
                </w:p>
              </w:tc>
              <w:tc>
                <w:tcPr>
                  <w:tcW w:w="638" w:type="dxa"/>
                  <w:tcBorders>
                    <w:tl2br w:val="nil"/>
                    <w:tr2bl w:val="nil"/>
                  </w:tcBorders>
                  <w:vAlign w:val="center"/>
                </w:tcPr>
                <w:p w14:paraId="0DEFF245">
                  <w:pPr>
                    <w:keepNext w:val="0"/>
                    <w:keepLines w:val="0"/>
                    <w:widowControl/>
                    <w:suppressLineNumbers w:val="0"/>
                    <w:jc w:val="center"/>
                    <w:textAlignment w:val="center"/>
                    <w:rPr>
                      <w:rFonts w:hint="default"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0.0002 </w:t>
                  </w:r>
                </w:p>
              </w:tc>
            </w:tr>
            <w:tr w14:paraId="09FFB0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tl2br w:val="nil"/>
                    <w:tr2bl w:val="nil"/>
                  </w:tcBorders>
                  <w:vAlign w:val="center"/>
                </w:tcPr>
                <w:p w14:paraId="2C625D0B">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08" w:type="dxa"/>
                  <w:tcBorders>
                    <w:tl2br w:val="nil"/>
                    <w:tr2bl w:val="nil"/>
                  </w:tcBorders>
                  <w:shd w:val="clear"/>
                  <w:vAlign w:val="center"/>
                </w:tcPr>
                <w:p w14:paraId="3F0C13A5">
                  <w:pPr>
                    <w:spacing w:before="51"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olor w:val="auto"/>
                      <w:spacing w:val="6"/>
                      <w:szCs w:val="21"/>
                      <w:highlight w:val="none"/>
                      <w:lang w:val="en-US" w:eastAsia="zh-CN"/>
                    </w:rPr>
                    <w:t>其他C类物质（</w:t>
                  </w:r>
                  <w:r>
                    <w:rPr>
                      <w:color w:val="auto"/>
                      <w:spacing w:val="-6"/>
                      <w:szCs w:val="21"/>
                      <w:highlight w:val="none"/>
                    </w:rPr>
                    <w:t>乙</w:t>
                  </w:r>
                  <w:r>
                    <w:rPr>
                      <w:color w:val="auto"/>
                      <w:spacing w:val="-5"/>
                      <w:szCs w:val="21"/>
                      <w:highlight w:val="none"/>
                    </w:rPr>
                    <w:t>醚</w:t>
                  </w:r>
                  <w:r>
                    <w:rPr>
                      <w:rFonts w:hint="eastAsia"/>
                      <w:color w:val="auto"/>
                      <w:spacing w:val="6"/>
                      <w:szCs w:val="21"/>
                      <w:highlight w:val="none"/>
                      <w:lang w:val="en-US" w:eastAsia="zh-CN"/>
                    </w:rPr>
                    <w:t>）</w:t>
                  </w:r>
                </w:p>
              </w:tc>
              <w:tc>
                <w:tcPr>
                  <w:tcW w:w="852" w:type="dxa"/>
                  <w:tcBorders>
                    <w:tl2br w:val="nil"/>
                    <w:tr2bl w:val="nil"/>
                  </w:tcBorders>
                  <w:shd w:val="clear" w:color="auto" w:fill="auto"/>
                  <w:vAlign w:val="center"/>
                </w:tcPr>
                <w:p w14:paraId="28203E7E">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eastAsia="宋体" w:cs="Times New Roman"/>
                      <w:color w:val="auto"/>
                      <w:kern w:val="0"/>
                      <w:sz w:val="21"/>
                      <w:szCs w:val="21"/>
                      <w:highlight w:val="none"/>
                      <w:vertAlign w:val="baseline"/>
                      <w:lang w:val="en-US" w:eastAsia="zh-CN"/>
                    </w:rPr>
                    <w:t xml:space="preserve">0.2140 </w:t>
                  </w:r>
                </w:p>
              </w:tc>
              <w:tc>
                <w:tcPr>
                  <w:tcW w:w="813" w:type="dxa"/>
                  <w:tcBorders>
                    <w:tl2br w:val="nil"/>
                    <w:tr2bl w:val="nil"/>
                  </w:tcBorders>
                  <w:vAlign w:val="center"/>
                </w:tcPr>
                <w:p w14:paraId="23BE7D82">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0.02</w:t>
                  </w:r>
                </w:p>
              </w:tc>
              <w:tc>
                <w:tcPr>
                  <w:tcW w:w="696" w:type="dxa"/>
                  <w:tcBorders>
                    <w:tl2br w:val="nil"/>
                    <w:tr2bl w:val="nil"/>
                  </w:tcBorders>
                  <w:shd w:val="clear" w:color="auto" w:fill="auto"/>
                  <w:vAlign w:val="center"/>
                </w:tcPr>
                <w:p w14:paraId="56745D93">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eastAsia="宋体" w:cs="Times New Roman"/>
                      <w:color w:val="auto"/>
                      <w:kern w:val="0"/>
                      <w:sz w:val="21"/>
                      <w:szCs w:val="21"/>
                      <w:highlight w:val="none"/>
                      <w:vertAlign w:val="baseline"/>
                      <w:lang w:val="en-US" w:eastAsia="zh-CN"/>
                    </w:rPr>
                    <w:t>0.0002</w:t>
                  </w:r>
                </w:p>
              </w:tc>
              <w:tc>
                <w:tcPr>
                  <w:tcW w:w="735" w:type="dxa"/>
                  <w:vMerge w:val="continue"/>
                  <w:tcBorders>
                    <w:tl2br w:val="nil"/>
                    <w:tr2bl w:val="nil"/>
                  </w:tcBorders>
                  <w:vAlign w:val="center"/>
                </w:tcPr>
                <w:p w14:paraId="098F4D92">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56" w:type="dxa"/>
                  <w:vMerge w:val="continue"/>
                  <w:tcBorders>
                    <w:tl2br w:val="nil"/>
                    <w:tr2bl w:val="nil"/>
                  </w:tcBorders>
                  <w:vAlign w:val="center"/>
                </w:tcPr>
                <w:p w14:paraId="12F83454">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92" w:type="dxa"/>
                  <w:tcBorders>
                    <w:tl2br w:val="nil"/>
                    <w:tr2bl w:val="nil"/>
                  </w:tcBorders>
                  <w:vAlign w:val="center"/>
                </w:tcPr>
                <w:p w14:paraId="1E47A799">
                  <w:pPr>
                    <w:keepNext w:val="0"/>
                    <w:keepLines w:val="0"/>
                    <w:widowControl/>
                    <w:suppressLineNumbers w:val="0"/>
                    <w:jc w:val="center"/>
                    <w:textAlignment w:val="center"/>
                    <w:rPr>
                      <w:rFonts w:hint="default"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0.1819 </w:t>
                  </w:r>
                </w:p>
              </w:tc>
              <w:tc>
                <w:tcPr>
                  <w:tcW w:w="876" w:type="dxa"/>
                  <w:tcBorders>
                    <w:tl2br w:val="nil"/>
                    <w:tr2bl w:val="nil"/>
                  </w:tcBorders>
                  <w:vAlign w:val="center"/>
                </w:tcPr>
                <w:p w14:paraId="762CFD15">
                  <w:pPr>
                    <w:keepNext w:val="0"/>
                    <w:keepLines w:val="0"/>
                    <w:widowControl/>
                    <w:suppressLineNumbers w:val="0"/>
                    <w:jc w:val="center"/>
                    <w:textAlignment w:val="center"/>
                    <w:rPr>
                      <w:rFonts w:hint="default"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0.02 </w:t>
                  </w:r>
                </w:p>
              </w:tc>
              <w:tc>
                <w:tcPr>
                  <w:tcW w:w="638" w:type="dxa"/>
                  <w:tcBorders>
                    <w:tl2br w:val="nil"/>
                    <w:tr2bl w:val="nil"/>
                  </w:tcBorders>
                  <w:vAlign w:val="center"/>
                </w:tcPr>
                <w:p w14:paraId="7D3E91E8">
                  <w:pPr>
                    <w:keepNext w:val="0"/>
                    <w:keepLines w:val="0"/>
                    <w:widowControl/>
                    <w:suppressLineNumbers w:val="0"/>
                    <w:jc w:val="center"/>
                    <w:textAlignment w:val="center"/>
                    <w:rPr>
                      <w:rFonts w:hint="default"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0.0002 </w:t>
                  </w:r>
                </w:p>
              </w:tc>
            </w:tr>
            <w:tr w14:paraId="10EF0F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tl2br w:val="nil"/>
                    <w:tr2bl w:val="nil"/>
                  </w:tcBorders>
                  <w:vAlign w:val="center"/>
                </w:tcPr>
                <w:p w14:paraId="1AAB6F39">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08" w:type="dxa"/>
                  <w:tcBorders>
                    <w:tl2br w:val="nil"/>
                    <w:tr2bl w:val="nil"/>
                  </w:tcBorders>
                  <w:shd w:val="clear"/>
                  <w:vAlign w:val="center"/>
                </w:tcPr>
                <w:p w14:paraId="01E084D9">
                  <w:pPr>
                    <w:spacing w:before="51"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color w:val="auto"/>
                      <w:spacing w:val="6"/>
                      <w:szCs w:val="21"/>
                      <w:highlight w:val="none"/>
                      <w:lang w:val="en-US" w:eastAsia="zh-CN"/>
                    </w:rPr>
                    <w:t>其他C类物质（</w:t>
                  </w:r>
                  <w:r>
                    <w:rPr>
                      <w:rFonts w:hint="eastAsia"/>
                      <w:color w:val="auto"/>
                      <w:spacing w:val="-6"/>
                      <w:szCs w:val="21"/>
                      <w:highlight w:val="none"/>
                      <w:lang w:val="en-US" w:eastAsia="zh-CN"/>
                    </w:rPr>
                    <w:t>正己烷</w:t>
                  </w:r>
                  <w:r>
                    <w:rPr>
                      <w:rFonts w:hint="eastAsia"/>
                      <w:color w:val="auto"/>
                      <w:spacing w:val="6"/>
                      <w:szCs w:val="21"/>
                      <w:highlight w:val="none"/>
                      <w:lang w:val="en-US" w:eastAsia="zh-CN"/>
                    </w:rPr>
                    <w:t>）</w:t>
                  </w:r>
                </w:p>
              </w:tc>
              <w:tc>
                <w:tcPr>
                  <w:tcW w:w="852" w:type="dxa"/>
                  <w:tcBorders>
                    <w:tl2br w:val="nil"/>
                    <w:tr2bl w:val="nil"/>
                  </w:tcBorders>
                  <w:shd w:val="clear" w:color="auto" w:fill="auto"/>
                  <w:vAlign w:val="center"/>
                </w:tcPr>
                <w:p w14:paraId="2F9B91C0">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eastAsia="宋体" w:cs="Times New Roman"/>
                      <w:color w:val="auto"/>
                      <w:kern w:val="0"/>
                      <w:sz w:val="21"/>
                      <w:szCs w:val="21"/>
                      <w:highlight w:val="none"/>
                      <w:vertAlign w:val="baseline"/>
                      <w:lang w:val="en-US" w:eastAsia="zh-CN"/>
                    </w:rPr>
                    <w:t xml:space="preserve">2.1088 </w:t>
                  </w:r>
                </w:p>
              </w:tc>
              <w:tc>
                <w:tcPr>
                  <w:tcW w:w="813" w:type="dxa"/>
                  <w:tcBorders>
                    <w:tl2br w:val="nil"/>
                    <w:tr2bl w:val="nil"/>
                  </w:tcBorders>
                  <w:vAlign w:val="center"/>
                </w:tcPr>
                <w:p w14:paraId="7468BEBF">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0.02</w:t>
                  </w:r>
                </w:p>
              </w:tc>
              <w:tc>
                <w:tcPr>
                  <w:tcW w:w="696" w:type="dxa"/>
                  <w:tcBorders>
                    <w:tl2br w:val="nil"/>
                    <w:tr2bl w:val="nil"/>
                  </w:tcBorders>
                  <w:shd w:val="clear" w:color="auto" w:fill="auto"/>
                  <w:vAlign w:val="center"/>
                </w:tcPr>
                <w:p w14:paraId="6CF66A30">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eastAsia="宋体" w:cs="Times New Roman"/>
                      <w:color w:val="auto"/>
                      <w:kern w:val="0"/>
                      <w:sz w:val="21"/>
                      <w:szCs w:val="21"/>
                      <w:highlight w:val="none"/>
                      <w:vertAlign w:val="baseline"/>
                      <w:lang w:val="en-US" w:eastAsia="zh-CN"/>
                    </w:rPr>
                    <w:t>0.002</w:t>
                  </w:r>
                </w:p>
              </w:tc>
              <w:tc>
                <w:tcPr>
                  <w:tcW w:w="735" w:type="dxa"/>
                  <w:vMerge w:val="continue"/>
                  <w:tcBorders>
                    <w:tl2br w:val="nil"/>
                    <w:tr2bl w:val="nil"/>
                  </w:tcBorders>
                  <w:vAlign w:val="center"/>
                </w:tcPr>
                <w:p w14:paraId="1A260F09">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56" w:type="dxa"/>
                  <w:vMerge w:val="continue"/>
                  <w:tcBorders>
                    <w:tl2br w:val="nil"/>
                    <w:tr2bl w:val="nil"/>
                  </w:tcBorders>
                  <w:vAlign w:val="center"/>
                </w:tcPr>
                <w:p w14:paraId="41A89320">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92" w:type="dxa"/>
                  <w:tcBorders>
                    <w:tl2br w:val="nil"/>
                    <w:tr2bl w:val="nil"/>
                  </w:tcBorders>
                  <w:shd w:val="clear" w:color="auto" w:fill="auto"/>
                  <w:vAlign w:val="center"/>
                </w:tcPr>
                <w:p w14:paraId="2C6031C1">
                  <w:pPr>
                    <w:keepNext w:val="0"/>
                    <w:keepLines w:val="0"/>
                    <w:widowControl/>
                    <w:suppressLineNumbers w:val="0"/>
                    <w:jc w:val="center"/>
                    <w:textAlignment w:val="center"/>
                    <w:rPr>
                      <w:rFonts w:hint="default"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1.7925 </w:t>
                  </w:r>
                </w:p>
              </w:tc>
              <w:tc>
                <w:tcPr>
                  <w:tcW w:w="876" w:type="dxa"/>
                  <w:tcBorders>
                    <w:tl2br w:val="nil"/>
                    <w:tr2bl w:val="nil"/>
                  </w:tcBorders>
                  <w:shd w:val="clear" w:color="auto" w:fill="auto"/>
                  <w:vAlign w:val="center"/>
                </w:tcPr>
                <w:p w14:paraId="7670AFFA">
                  <w:pPr>
                    <w:keepNext w:val="0"/>
                    <w:keepLines w:val="0"/>
                    <w:widowControl/>
                    <w:suppressLineNumbers w:val="0"/>
                    <w:jc w:val="center"/>
                    <w:textAlignment w:val="center"/>
                    <w:rPr>
                      <w:rFonts w:hint="default"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0.17 </w:t>
                  </w:r>
                </w:p>
              </w:tc>
              <w:tc>
                <w:tcPr>
                  <w:tcW w:w="638" w:type="dxa"/>
                  <w:tcBorders>
                    <w:tl2br w:val="nil"/>
                    <w:tr2bl w:val="nil"/>
                  </w:tcBorders>
                  <w:shd w:val="clear" w:color="auto" w:fill="auto"/>
                  <w:vAlign w:val="center"/>
                </w:tcPr>
                <w:p w14:paraId="56756DB0">
                  <w:pPr>
                    <w:keepNext w:val="0"/>
                    <w:keepLines w:val="0"/>
                    <w:widowControl/>
                    <w:suppressLineNumbers w:val="0"/>
                    <w:jc w:val="center"/>
                    <w:textAlignment w:val="center"/>
                    <w:rPr>
                      <w:rFonts w:hint="default"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0.0018 </w:t>
                  </w:r>
                </w:p>
              </w:tc>
            </w:tr>
            <w:tr w14:paraId="16F310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tl2br w:val="nil"/>
                    <w:tr2bl w:val="nil"/>
                  </w:tcBorders>
                  <w:vAlign w:val="center"/>
                </w:tcPr>
                <w:p w14:paraId="2F0F9607">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08" w:type="dxa"/>
                  <w:tcBorders>
                    <w:tl2br w:val="nil"/>
                    <w:tr2bl w:val="nil"/>
                  </w:tcBorders>
                  <w:shd w:val="clear"/>
                  <w:vAlign w:val="center"/>
                </w:tcPr>
                <w:p w14:paraId="3891C566">
                  <w:pPr>
                    <w:spacing w:before="51"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olor w:val="auto"/>
                      <w:spacing w:val="6"/>
                      <w:szCs w:val="21"/>
                      <w:highlight w:val="none"/>
                      <w:lang w:val="en-US" w:eastAsia="zh-CN"/>
                    </w:rPr>
                    <w:t>其他C类物质（</w:t>
                  </w:r>
                  <w:r>
                    <w:rPr>
                      <w:rFonts w:hint="eastAsia"/>
                      <w:color w:val="auto"/>
                      <w:spacing w:val="-6"/>
                      <w:szCs w:val="21"/>
                      <w:highlight w:val="none"/>
                      <w:lang w:val="en-US" w:eastAsia="zh-CN"/>
                    </w:rPr>
                    <w:t>丙酮</w:t>
                  </w:r>
                  <w:r>
                    <w:rPr>
                      <w:rFonts w:hint="eastAsia"/>
                      <w:color w:val="auto"/>
                      <w:spacing w:val="6"/>
                      <w:szCs w:val="21"/>
                      <w:highlight w:val="none"/>
                      <w:lang w:val="en-US" w:eastAsia="zh-CN"/>
                    </w:rPr>
                    <w:t>）</w:t>
                  </w:r>
                </w:p>
              </w:tc>
              <w:tc>
                <w:tcPr>
                  <w:tcW w:w="852" w:type="dxa"/>
                  <w:tcBorders>
                    <w:tl2br w:val="nil"/>
                    <w:tr2bl w:val="nil"/>
                  </w:tcBorders>
                  <w:shd w:val="clear" w:color="auto" w:fill="auto"/>
                  <w:vAlign w:val="center"/>
                </w:tcPr>
                <w:p w14:paraId="57B27394">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eastAsia="宋体" w:cs="Times New Roman"/>
                      <w:color w:val="auto"/>
                      <w:kern w:val="0"/>
                      <w:sz w:val="21"/>
                      <w:szCs w:val="21"/>
                      <w:highlight w:val="none"/>
                      <w:vertAlign w:val="baseline"/>
                      <w:lang w:val="en-US" w:eastAsia="zh-CN"/>
                    </w:rPr>
                    <w:t xml:space="preserve">1.5149 </w:t>
                  </w:r>
                </w:p>
              </w:tc>
              <w:tc>
                <w:tcPr>
                  <w:tcW w:w="813" w:type="dxa"/>
                  <w:tcBorders>
                    <w:tl2br w:val="nil"/>
                    <w:tr2bl w:val="nil"/>
                  </w:tcBorders>
                  <w:vAlign w:val="center"/>
                </w:tcPr>
                <w:p w14:paraId="020F4D38">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0.15</w:t>
                  </w:r>
                </w:p>
              </w:tc>
              <w:tc>
                <w:tcPr>
                  <w:tcW w:w="696" w:type="dxa"/>
                  <w:tcBorders>
                    <w:tl2br w:val="nil"/>
                    <w:tr2bl w:val="nil"/>
                  </w:tcBorders>
                  <w:shd w:val="clear" w:color="auto" w:fill="auto"/>
                  <w:vAlign w:val="center"/>
                </w:tcPr>
                <w:p w14:paraId="3A7D3328">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eastAsia="宋体" w:cs="Times New Roman"/>
                      <w:color w:val="auto"/>
                      <w:kern w:val="0"/>
                      <w:sz w:val="21"/>
                      <w:szCs w:val="21"/>
                      <w:highlight w:val="none"/>
                      <w:vertAlign w:val="baseline"/>
                      <w:lang w:val="en-US" w:eastAsia="zh-CN"/>
                    </w:rPr>
                    <w:t>0.0015</w:t>
                  </w:r>
                </w:p>
              </w:tc>
              <w:tc>
                <w:tcPr>
                  <w:tcW w:w="735" w:type="dxa"/>
                  <w:vMerge w:val="continue"/>
                  <w:tcBorders>
                    <w:tl2br w:val="nil"/>
                    <w:tr2bl w:val="nil"/>
                  </w:tcBorders>
                  <w:vAlign w:val="center"/>
                </w:tcPr>
                <w:p w14:paraId="10EB549E">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56" w:type="dxa"/>
                  <w:vMerge w:val="continue"/>
                  <w:tcBorders>
                    <w:tl2br w:val="nil"/>
                    <w:tr2bl w:val="nil"/>
                  </w:tcBorders>
                  <w:vAlign w:val="center"/>
                </w:tcPr>
                <w:p w14:paraId="13285F7C">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92" w:type="dxa"/>
                  <w:tcBorders>
                    <w:tl2br w:val="nil"/>
                    <w:tr2bl w:val="nil"/>
                  </w:tcBorders>
                  <w:shd w:val="clear" w:color="auto" w:fill="auto"/>
                  <w:vAlign w:val="center"/>
                </w:tcPr>
                <w:p w14:paraId="65E96D65">
                  <w:pPr>
                    <w:keepNext w:val="0"/>
                    <w:keepLines w:val="0"/>
                    <w:widowControl/>
                    <w:suppressLineNumbers w:val="0"/>
                    <w:jc w:val="center"/>
                    <w:textAlignment w:val="center"/>
                    <w:rPr>
                      <w:rFonts w:hint="default"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1.2877 </w:t>
                  </w:r>
                </w:p>
              </w:tc>
              <w:tc>
                <w:tcPr>
                  <w:tcW w:w="876" w:type="dxa"/>
                  <w:tcBorders>
                    <w:tl2br w:val="nil"/>
                    <w:tr2bl w:val="nil"/>
                  </w:tcBorders>
                  <w:shd w:val="clear" w:color="auto" w:fill="auto"/>
                  <w:vAlign w:val="center"/>
                </w:tcPr>
                <w:p w14:paraId="00971F01">
                  <w:pPr>
                    <w:keepNext w:val="0"/>
                    <w:keepLines w:val="0"/>
                    <w:widowControl/>
                    <w:suppressLineNumbers w:val="0"/>
                    <w:jc w:val="center"/>
                    <w:textAlignment w:val="center"/>
                    <w:rPr>
                      <w:rFonts w:hint="default"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0.12 </w:t>
                  </w:r>
                </w:p>
              </w:tc>
              <w:tc>
                <w:tcPr>
                  <w:tcW w:w="638" w:type="dxa"/>
                  <w:tcBorders>
                    <w:tl2br w:val="nil"/>
                    <w:tr2bl w:val="nil"/>
                  </w:tcBorders>
                  <w:shd w:val="clear" w:color="auto" w:fill="auto"/>
                  <w:vAlign w:val="center"/>
                </w:tcPr>
                <w:p w14:paraId="630340D1">
                  <w:pPr>
                    <w:keepNext w:val="0"/>
                    <w:keepLines w:val="0"/>
                    <w:widowControl/>
                    <w:suppressLineNumbers w:val="0"/>
                    <w:jc w:val="center"/>
                    <w:textAlignment w:val="center"/>
                    <w:rPr>
                      <w:rFonts w:hint="default"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0.0013 </w:t>
                  </w:r>
                </w:p>
              </w:tc>
            </w:tr>
            <w:tr w14:paraId="560B6C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tl2br w:val="nil"/>
                    <w:tr2bl w:val="nil"/>
                  </w:tcBorders>
                  <w:vAlign w:val="center"/>
                </w:tcPr>
                <w:p w14:paraId="62AC1661">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08" w:type="dxa"/>
                  <w:tcBorders>
                    <w:tl2br w:val="nil"/>
                    <w:tr2bl w:val="nil"/>
                  </w:tcBorders>
                  <w:shd w:val="clear" w:color="auto" w:fill="auto"/>
                  <w:vAlign w:val="center"/>
                </w:tcPr>
                <w:p w14:paraId="0C0551E6">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rPr>
                    <w:t>非甲烷总烃</w:t>
                  </w:r>
                </w:p>
              </w:tc>
              <w:tc>
                <w:tcPr>
                  <w:tcW w:w="852" w:type="dxa"/>
                  <w:tcBorders>
                    <w:tl2br w:val="nil"/>
                    <w:tr2bl w:val="nil"/>
                  </w:tcBorders>
                  <w:shd w:val="clear" w:color="auto" w:fill="auto"/>
                  <w:vAlign w:val="center"/>
                </w:tcPr>
                <w:p w14:paraId="7E92DE11">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eastAsia="宋体" w:cs="Times New Roman"/>
                      <w:color w:val="auto"/>
                      <w:kern w:val="0"/>
                      <w:sz w:val="21"/>
                      <w:szCs w:val="21"/>
                      <w:highlight w:val="none"/>
                      <w:vertAlign w:val="baseline"/>
                      <w:lang w:val="en-US" w:eastAsia="zh-CN"/>
                    </w:rPr>
                    <w:t xml:space="preserve">5.1072 </w:t>
                  </w:r>
                </w:p>
              </w:tc>
              <w:tc>
                <w:tcPr>
                  <w:tcW w:w="813" w:type="dxa"/>
                  <w:tcBorders>
                    <w:tl2br w:val="nil"/>
                    <w:tr2bl w:val="nil"/>
                  </w:tcBorders>
                  <w:shd w:val="clear"/>
                  <w:vAlign w:val="center"/>
                </w:tcPr>
                <w:p w14:paraId="0214CAD8">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0.51</w:t>
                  </w:r>
                </w:p>
              </w:tc>
              <w:tc>
                <w:tcPr>
                  <w:tcW w:w="696" w:type="dxa"/>
                  <w:tcBorders>
                    <w:tl2br w:val="nil"/>
                    <w:tr2bl w:val="nil"/>
                  </w:tcBorders>
                  <w:shd w:val="clear" w:color="auto" w:fill="auto"/>
                  <w:vAlign w:val="center"/>
                </w:tcPr>
                <w:p w14:paraId="521B237D">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eastAsia="宋体" w:cs="Times New Roman"/>
                      <w:color w:val="auto"/>
                      <w:kern w:val="0"/>
                      <w:sz w:val="21"/>
                      <w:szCs w:val="21"/>
                      <w:highlight w:val="none"/>
                      <w:vertAlign w:val="baseline"/>
                      <w:lang w:val="en-US" w:eastAsia="zh-CN"/>
                    </w:rPr>
                    <w:t>0.0051</w:t>
                  </w:r>
                </w:p>
              </w:tc>
              <w:tc>
                <w:tcPr>
                  <w:tcW w:w="735" w:type="dxa"/>
                  <w:vMerge w:val="continue"/>
                  <w:tcBorders>
                    <w:tl2br w:val="nil"/>
                    <w:tr2bl w:val="nil"/>
                  </w:tcBorders>
                  <w:shd w:val="clear"/>
                  <w:vAlign w:val="center"/>
                </w:tcPr>
                <w:p w14:paraId="795F2399">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p>
              </w:tc>
              <w:tc>
                <w:tcPr>
                  <w:tcW w:w="756" w:type="dxa"/>
                  <w:vMerge w:val="continue"/>
                  <w:tcBorders>
                    <w:tl2br w:val="nil"/>
                    <w:tr2bl w:val="nil"/>
                  </w:tcBorders>
                  <w:shd w:val="clear"/>
                  <w:vAlign w:val="center"/>
                </w:tcPr>
                <w:p w14:paraId="796065D5">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p>
              </w:tc>
              <w:tc>
                <w:tcPr>
                  <w:tcW w:w="792" w:type="dxa"/>
                  <w:tcBorders>
                    <w:tl2br w:val="nil"/>
                    <w:tr2bl w:val="nil"/>
                  </w:tcBorders>
                  <w:shd w:val="clear" w:color="auto" w:fill="auto"/>
                  <w:vAlign w:val="center"/>
                </w:tcPr>
                <w:p w14:paraId="36D06B89">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4.3411 </w:t>
                  </w:r>
                </w:p>
              </w:tc>
              <w:tc>
                <w:tcPr>
                  <w:tcW w:w="876" w:type="dxa"/>
                  <w:tcBorders>
                    <w:tl2br w:val="nil"/>
                    <w:tr2bl w:val="nil"/>
                  </w:tcBorders>
                  <w:shd w:val="clear" w:color="auto" w:fill="auto"/>
                  <w:vAlign w:val="center"/>
                </w:tcPr>
                <w:p w14:paraId="2E84EFE6">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0.40 </w:t>
                  </w:r>
                </w:p>
              </w:tc>
              <w:tc>
                <w:tcPr>
                  <w:tcW w:w="638" w:type="dxa"/>
                  <w:tcBorders>
                    <w:tl2br w:val="nil"/>
                    <w:tr2bl w:val="nil"/>
                  </w:tcBorders>
                  <w:shd w:val="clear" w:color="auto" w:fill="auto"/>
                  <w:vAlign w:val="center"/>
                </w:tcPr>
                <w:p w14:paraId="36A6335B">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0.0043 </w:t>
                  </w:r>
                </w:p>
              </w:tc>
            </w:tr>
            <w:tr w14:paraId="334148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tl2br w:val="nil"/>
                    <w:tr2bl w:val="nil"/>
                  </w:tcBorders>
                  <w:vAlign w:val="center"/>
                </w:tcPr>
                <w:p w14:paraId="0BBD1524">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08" w:type="dxa"/>
                  <w:tcBorders>
                    <w:tl2br w:val="nil"/>
                    <w:tr2bl w:val="nil"/>
                  </w:tcBorders>
                  <w:shd w:val="clear"/>
                  <w:vAlign w:val="center"/>
                </w:tcPr>
                <w:p w14:paraId="0F54B5D7">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氯化氢</w:t>
                  </w:r>
                </w:p>
              </w:tc>
              <w:tc>
                <w:tcPr>
                  <w:tcW w:w="852" w:type="dxa"/>
                  <w:tcBorders>
                    <w:tl2br w:val="nil"/>
                    <w:tr2bl w:val="nil"/>
                  </w:tcBorders>
                  <w:shd w:val="clear"/>
                  <w:vAlign w:val="center"/>
                </w:tcPr>
                <w:p w14:paraId="2EA8E355">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1.135</w:t>
                  </w:r>
                </w:p>
              </w:tc>
              <w:tc>
                <w:tcPr>
                  <w:tcW w:w="813" w:type="dxa"/>
                  <w:tcBorders>
                    <w:tl2br w:val="nil"/>
                    <w:tr2bl w:val="nil"/>
                  </w:tcBorders>
                  <w:vAlign w:val="center"/>
                </w:tcPr>
                <w:p w14:paraId="269F17E6">
                  <w:pPr>
                    <w:numPr>
                      <w:ilvl w:val="0"/>
                      <w:numId w:val="0"/>
                    </w:numPr>
                    <w:adjustRightInd w:val="0"/>
                    <w:snapToGrid w:val="0"/>
                    <w:spacing w:line="24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0.23</w:t>
                  </w:r>
                </w:p>
              </w:tc>
              <w:tc>
                <w:tcPr>
                  <w:tcW w:w="696" w:type="dxa"/>
                  <w:tcBorders>
                    <w:tl2br w:val="nil"/>
                    <w:tr2bl w:val="nil"/>
                  </w:tcBorders>
                  <w:shd w:val="clear"/>
                  <w:vAlign w:val="center"/>
                </w:tcPr>
                <w:p w14:paraId="4E9C145D">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0.00227</w:t>
                  </w:r>
                </w:p>
              </w:tc>
              <w:tc>
                <w:tcPr>
                  <w:tcW w:w="735" w:type="dxa"/>
                  <w:vMerge w:val="continue"/>
                  <w:tcBorders>
                    <w:tl2br w:val="nil"/>
                    <w:tr2bl w:val="nil"/>
                  </w:tcBorders>
                  <w:vAlign w:val="center"/>
                </w:tcPr>
                <w:p w14:paraId="45CB560D">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56" w:type="dxa"/>
                  <w:vMerge w:val="restart"/>
                  <w:tcBorders>
                    <w:tl2br w:val="nil"/>
                    <w:tr2bl w:val="nil"/>
                  </w:tcBorders>
                  <w:vAlign w:val="center"/>
                </w:tcPr>
                <w:p w14:paraId="55192F4F">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r>
                    <w:rPr>
                      <w:rFonts w:hint="eastAsia" w:eastAsia="宋体" w:cs="Times New Roman"/>
                      <w:color w:val="auto"/>
                      <w:kern w:val="0"/>
                      <w:sz w:val="21"/>
                      <w:szCs w:val="21"/>
                      <w:highlight w:val="none"/>
                      <w:vertAlign w:val="baseline"/>
                      <w:lang w:val="en-US" w:eastAsia="zh-CN"/>
                    </w:rPr>
                    <w:t>30</w:t>
                  </w:r>
                </w:p>
              </w:tc>
              <w:tc>
                <w:tcPr>
                  <w:tcW w:w="792" w:type="dxa"/>
                  <w:tcBorders>
                    <w:tl2br w:val="nil"/>
                    <w:tr2bl w:val="nil"/>
                  </w:tcBorders>
                  <w:shd w:val="clear" w:color="auto" w:fill="auto"/>
                  <w:vAlign w:val="center"/>
                </w:tcPr>
                <w:p w14:paraId="7EEE49A2">
                  <w:pPr>
                    <w:keepNext w:val="0"/>
                    <w:keepLines w:val="0"/>
                    <w:widowControl/>
                    <w:suppressLineNumbers w:val="0"/>
                    <w:jc w:val="center"/>
                    <w:textAlignment w:val="center"/>
                    <w:rPr>
                      <w:rFonts w:hint="eastAsia" w:eastAsia="宋体" w:cs="Times New Roman"/>
                      <w:color w:val="auto"/>
                      <w:kern w:val="0"/>
                      <w:sz w:val="21"/>
                      <w:szCs w:val="21"/>
                      <w:highlight w:val="none"/>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0.7945 </w:t>
                  </w:r>
                </w:p>
              </w:tc>
              <w:tc>
                <w:tcPr>
                  <w:tcW w:w="876" w:type="dxa"/>
                  <w:tcBorders>
                    <w:tl2br w:val="nil"/>
                    <w:tr2bl w:val="nil"/>
                  </w:tcBorders>
                  <w:shd w:val="clear" w:color="auto" w:fill="auto"/>
                  <w:vAlign w:val="center"/>
                </w:tcPr>
                <w:p w14:paraId="0A965407">
                  <w:pPr>
                    <w:jc w:val="center"/>
                    <w:rPr>
                      <w:rFonts w:hint="default" w:eastAsia="宋体" w:cs="Times New Roman"/>
                      <w:color w:val="auto"/>
                      <w:kern w:val="0"/>
                      <w:sz w:val="21"/>
                      <w:szCs w:val="21"/>
                      <w:highlight w:val="none"/>
                      <w:vertAlign w:val="baseline"/>
                      <w:lang w:val="en-US" w:eastAsia="zh-CN"/>
                    </w:rPr>
                  </w:pPr>
                  <w:r>
                    <w:rPr>
                      <w:rFonts w:hint="eastAsia" w:eastAsia="宋体" w:cs="Times New Roman"/>
                      <w:color w:val="auto"/>
                      <w:kern w:val="0"/>
                      <w:sz w:val="21"/>
                      <w:szCs w:val="21"/>
                      <w:highlight w:val="none"/>
                      <w:vertAlign w:val="baseline"/>
                      <w:lang w:val="en-US" w:eastAsia="zh-CN"/>
                    </w:rPr>
                    <w:t>0.08</w:t>
                  </w:r>
                </w:p>
              </w:tc>
              <w:tc>
                <w:tcPr>
                  <w:tcW w:w="638" w:type="dxa"/>
                  <w:tcBorders>
                    <w:tl2br w:val="nil"/>
                    <w:tr2bl w:val="nil"/>
                  </w:tcBorders>
                  <w:shd w:val="clear" w:color="auto" w:fill="auto"/>
                  <w:vAlign w:val="center"/>
                </w:tcPr>
                <w:p w14:paraId="11540072">
                  <w:pPr>
                    <w:keepNext w:val="0"/>
                    <w:keepLines w:val="0"/>
                    <w:widowControl/>
                    <w:suppressLineNumbers w:val="0"/>
                    <w:jc w:val="center"/>
                    <w:textAlignment w:val="center"/>
                    <w:rPr>
                      <w:rFonts w:hint="eastAsia"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0.0008 </w:t>
                  </w:r>
                </w:p>
              </w:tc>
            </w:tr>
            <w:tr w14:paraId="057E4E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tl2br w:val="nil"/>
                    <w:tr2bl w:val="nil"/>
                  </w:tcBorders>
                  <w:vAlign w:val="center"/>
                </w:tcPr>
                <w:p w14:paraId="61BDEECA">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08" w:type="dxa"/>
                  <w:tcBorders>
                    <w:tl2br w:val="nil"/>
                    <w:tr2bl w:val="nil"/>
                  </w:tcBorders>
                  <w:shd w:val="clear"/>
                  <w:vAlign w:val="center"/>
                </w:tcPr>
                <w:p w14:paraId="187D5C78">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氮氧化物</w:t>
                  </w:r>
                </w:p>
              </w:tc>
              <w:tc>
                <w:tcPr>
                  <w:tcW w:w="852" w:type="dxa"/>
                  <w:tcBorders>
                    <w:tl2br w:val="nil"/>
                    <w:tr2bl w:val="nil"/>
                  </w:tcBorders>
                  <w:shd w:val="clear"/>
                  <w:vAlign w:val="center"/>
                </w:tcPr>
                <w:p w14:paraId="10FCE7DB">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0.35</w:t>
                  </w:r>
                </w:p>
              </w:tc>
              <w:tc>
                <w:tcPr>
                  <w:tcW w:w="813" w:type="dxa"/>
                  <w:tcBorders>
                    <w:tl2br w:val="nil"/>
                    <w:tr2bl w:val="nil"/>
                  </w:tcBorders>
                  <w:vAlign w:val="center"/>
                </w:tcPr>
                <w:p w14:paraId="72680F1B">
                  <w:pPr>
                    <w:numPr>
                      <w:ilvl w:val="0"/>
                      <w:numId w:val="0"/>
                    </w:numPr>
                    <w:adjustRightInd w:val="0"/>
                    <w:snapToGrid w:val="0"/>
                    <w:spacing w:line="24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0.07</w:t>
                  </w:r>
                </w:p>
              </w:tc>
              <w:tc>
                <w:tcPr>
                  <w:tcW w:w="696" w:type="dxa"/>
                  <w:tcBorders>
                    <w:tl2br w:val="nil"/>
                    <w:tr2bl w:val="nil"/>
                  </w:tcBorders>
                  <w:shd w:val="clear"/>
                  <w:vAlign w:val="center"/>
                </w:tcPr>
                <w:p w14:paraId="41626F2B">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0.0007</w:t>
                  </w:r>
                </w:p>
              </w:tc>
              <w:tc>
                <w:tcPr>
                  <w:tcW w:w="735" w:type="dxa"/>
                  <w:vMerge w:val="continue"/>
                  <w:tcBorders>
                    <w:tl2br w:val="nil"/>
                    <w:tr2bl w:val="nil"/>
                  </w:tcBorders>
                  <w:vAlign w:val="center"/>
                </w:tcPr>
                <w:p w14:paraId="5E8716F6">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56" w:type="dxa"/>
                  <w:vMerge w:val="continue"/>
                  <w:tcBorders>
                    <w:tl2br w:val="nil"/>
                    <w:tr2bl w:val="nil"/>
                  </w:tcBorders>
                  <w:vAlign w:val="center"/>
                </w:tcPr>
                <w:p w14:paraId="2D992740">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92" w:type="dxa"/>
                  <w:tcBorders>
                    <w:tl2br w:val="nil"/>
                    <w:tr2bl w:val="nil"/>
                  </w:tcBorders>
                  <w:shd w:val="clear" w:color="auto" w:fill="auto"/>
                  <w:vAlign w:val="center"/>
                </w:tcPr>
                <w:p w14:paraId="23B6B0C5">
                  <w:pPr>
                    <w:keepNext w:val="0"/>
                    <w:keepLines w:val="0"/>
                    <w:widowControl/>
                    <w:suppressLineNumbers w:val="0"/>
                    <w:jc w:val="center"/>
                    <w:textAlignment w:val="center"/>
                    <w:rPr>
                      <w:rFonts w:hint="eastAsia" w:eastAsia="宋体" w:cs="Times New Roman"/>
                      <w:color w:val="auto"/>
                      <w:kern w:val="0"/>
                      <w:sz w:val="21"/>
                      <w:szCs w:val="21"/>
                      <w:highlight w:val="none"/>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0.2450 </w:t>
                  </w:r>
                </w:p>
              </w:tc>
              <w:tc>
                <w:tcPr>
                  <w:tcW w:w="876" w:type="dxa"/>
                  <w:tcBorders>
                    <w:tl2br w:val="nil"/>
                    <w:tr2bl w:val="nil"/>
                  </w:tcBorders>
                  <w:shd w:val="clear" w:color="auto" w:fill="auto"/>
                  <w:vAlign w:val="center"/>
                </w:tcPr>
                <w:p w14:paraId="62A7F64E">
                  <w:pPr>
                    <w:jc w:val="center"/>
                    <w:rPr>
                      <w:rFonts w:hint="default" w:eastAsia="宋体" w:cs="Times New Roman"/>
                      <w:color w:val="auto"/>
                      <w:kern w:val="0"/>
                      <w:sz w:val="21"/>
                      <w:szCs w:val="21"/>
                      <w:highlight w:val="none"/>
                      <w:vertAlign w:val="baseline"/>
                      <w:lang w:val="en-US" w:eastAsia="zh-CN"/>
                    </w:rPr>
                  </w:pPr>
                  <w:r>
                    <w:rPr>
                      <w:rFonts w:hint="eastAsia" w:eastAsia="宋体" w:cs="Times New Roman"/>
                      <w:color w:val="auto"/>
                      <w:kern w:val="0"/>
                      <w:sz w:val="21"/>
                      <w:szCs w:val="21"/>
                      <w:highlight w:val="none"/>
                      <w:vertAlign w:val="baseline"/>
                      <w:lang w:val="en-US" w:eastAsia="zh-CN"/>
                    </w:rPr>
                    <w:t>0.02</w:t>
                  </w:r>
                </w:p>
              </w:tc>
              <w:tc>
                <w:tcPr>
                  <w:tcW w:w="638" w:type="dxa"/>
                  <w:tcBorders>
                    <w:tl2br w:val="nil"/>
                    <w:tr2bl w:val="nil"/>
                  </w:tcBorders>
                  <w:shd w:val="clear" w:color="auto" w:fill="auto"/>
                  <w:vAlign w:val="center"/>
                </w:tcPr>
                <w:p w14:paraId="18E56C7E">
                  <w:pPr>
                    <w:keepNext w:val="0"/>
                    <w:keepLines w:val="0"/>
                    <w:widowControl/>
                    <w:suppressLineNumbers w:val="0"/>
                    <w:jc w:val="center"/>
                    <w:textAlignment w:val="center"/>
                    <w:rPr>
                      <w:rFonts w:hint="eastAsia"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0.0002 </w:t>
                  </w:r>
                </w:p>
              </w:tc>
            </w:tr>
            <w:tr w14:paraId="54AADB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tl2br w:val="nil"/>
                    <w:tr2bl w:val="nil"/>
                  </w:tcBorders>
                  <w:vAlign w:val="center"/>
                </w:tcPr>
                <w:p w14:paraId="0F2C23DE">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08" w:type="dxa"/>
                  <w:tcBorders>
                    <w:tl2br w:val="nil"/>
                    <w:tr2bl w:val="nil"/>
                  </w:tcBorders>
                  <w:shd w:val="clear"/>
                  <w:vAlign w:val="center"/>
                </w:tcPr>
                <w:p w14:paraId="4BD5F07F">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硫酸雾</w:t>
                  </w:r>
                </w:p>
              </w:tc>
              <w:tc>
                <w:tcPr>
                  <w:tcW w:w="852" w:type="dxa"/>
                  <w:tcBorders>
                    <w:tl2br w:val="nil"/>
                    <w:tr2bl w:val="nil"/>
                  </w:tcBorders>
                  <w:shd w:val="clear"/>
                  <w:vAlign w:val="center"/>
                </w:tcPr>
                <w:p w14:paraId="46B0FC55">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0.025</w:t>
                  </w:r>
                </w:p>
              </w:tc>
              <w:tc>
                <w:tcPr>
                  <w:tcW w:w="813" w:type="dxa"/>
                  <w:tcBorders>
                    <w:tl2br w:val="nil"/>
                    <w:tr2bl w:val="nil"/>
                  </w:tcBorders>
                  <w:vAlign w:val="center"/>
                </w:tcPr>
                <w:p w14:paraId="3CB91A41">
                  <w:pPr>
                    <w:numPr>
                      <w:ilvl w:val="0"/>
                      <w:numId w:val="0"/>
                    </w:numPr>
                    <w:adjustRightInd w:val="0"/>
                    <w:snapToGrid w:val="0"/>
                    <w:spacing w:line="24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0.01</w:t>
                  </w:r>
                </w:p>
              </w:tc>
              <w:tc>
                <w:tcPr>
                  <w:tcW w:w="696" w:type="dxa"/>
                  <w:tcBorders>
                    <w:tl2br w:val="nil"/>
                    <w:tr2bl w:val="nil"/>
                  </w:tcBorders>
                  <w:shd w:val="clear"/>
                  <w:vAlign w:val="center"/>
                </w:tcPr>
                <w:p w14:paraId="6D5D95F9">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0.00005</w:t>
                  </w:r>
                </w:p>
              </w:tc>
              <w:tc>
                <w:tcPr>
                  <w:tcW w:w="735" w:type="dxa"/>
                  <w:vMerge w:val="continue"/>
                  <w:tcBorders>
                    <w:tl2br w:val="nil"/>
                    <w:tr2bl w:val="nil"/>
                  </w:tcBorders>
                  <w:vAlign w:val="center"/>
                </w:tcPr>
                <w:p w14:paraId="32A7F131">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56" w:type="dxa"/>
                  <w:vMerge w:val="continue"/>
                  <w:tcBorders>
                    <w:tl2br w:val="nil"/>
                    <w:tr2bl w:val="nil"/>
                  </w:tcBorders>
                  <w:vAlign w:val="center"/>
                </w:tcPr>
                <w:p w14:paraId="527B517C">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92" w:type="dxa"/>
                  <w:tcBorders>
                    <w:tl2br w:val="nil"/>
                    <w:tr2bl w:val="nil"/>
                  </w:tcBorders>
                  <w:shd w:val="clear" w:color="auto" w:fill="auto"/>
                  <w:vAlign w:val="center"/>
                </w:tcPr>
                <w:p w14:paraId="0B646D3D">
                  <w:pPr>
                    <w:keepNext w:val="0"/>
                    <w:keepLines w:val="0"/>
                    <w:widowControl/>
                    <w:suppressLineNumbers w:val="0"/>
                    <w:jc w:val="center"/>
                    <w:textAlignment w:val="center"/>
                    <w:rPr>
                      <w:rFonts w:hint="eastAsia" w:eastAsia="宋体" w:cs="Times New Roman"/>
                      <w:color w:val="auto"/>
                      <w:kern w:val="0"/>
                      <w:sz w:val="21"/>
                      <w:szCs w:val="21"/>
                      <w:highlight w:val="none"/>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0.0175 </w:t>
                  </w:r>
                </w:p>
              </w:tc>
              <w:tc>
                <w:tcPr>
                  <w:tcW w:w="876" w:type="dxa"/>
                  <w:tcBorders>
                    <w:tl2br w:val="nil"/>
                    <w:tr2bl w:val="nil"/>
                  </w:tcBorders>
                  <w:shd w:val="clear" w:color="auto" w:fill="auto"/>
                  <w:vAlign w:val="center"/>
                </w:tcPr>
                <w:p w14:paraId="6CDA0BA2">
                  <w:pPr>
                    <w:jc w:val="center"/>
                    <w:rPr>
                      <w:rFonts w:hint="default" w:eastAsia="宋体" w:cs="Times New Roman"/>
                      <w:color w:val="auto"/>
                      <w:kern w:val="0"/>
                      <w:sz w:val="21"/>
                      <w:szCs w:val="21"/>
                      <w:highlight w:val="none"/>
                      <w:vertAlign w:val="baseline"/>
                      <w:lang w:val="en-US" w:eastAsia="zh-CN"/>
                    </w:rPr>
                  </w:pPr>
                  <w:r>
                    <w:rPr>
                      <w:rFonts w:hint="eastAsia" w:eastAsia="宋体" w:cs="Times New Roman"/>
                      <w:color w:val="auto"/>
                      <w:kern w:val="0"/>
                      <w:sz w:val="21"/>
                      <w:szCs w:val="21"/>
                      <w:highlight w:val="none"/>
                      <w:vertAlign w:val="baseline"/>
                      <w:lang w:val="en-US" w:eastAsia="zh-CN"/>
                    </w:rPr>
                    <w:t>0.002</w:t>
                  </w:r>
                </w:p>
              </w:tc>
              <w:tc>
                <w:tcPr>
                  <w:tcW w:w="638" w:type="dxa"/>
                  <w:tcBorders>
                    <w:tl2br w:val="nil"/>
                    <w:tr2bl w:val="nil"/>
                  </w:tcBorders>
                  <w:shd w:val="clear" w:color="auto" w:fill="auto"/>
                  <w:vAlign w:val="center"/>
                </w:tcPr>
                <w:p w14:paraId="1BD176FA">
                  <w:pPr>
                    <w:keepNext w:val="0"/>
                    <w:keepLines w:val="0"/>
                    <w:widowControl/>
                    <w:suppressLineNumbers w:val="0"/>
                    <w:jc w:val="center"/>
                    <w:textAlignment w:val="center"/>
                    <w:rPr>
                      <w:rFonts w:hint="eastAsia"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0.0000</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385045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tl2br w:val="nil"/>
                    <w:tr2bl w:val="nil"/>
                  </w:tcBorders>
                  <w:vAlign w:val="center"/>
                </w:tcPr>
                <w:p w14:paraId="2D9A31FF">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08" w:type="dxa"/>
                  <w:tcBorders>
                    <w:tl2br w:val="nil"/>
                    <w:tr2bl w:val="nil"/>
                  </w:tcBorders>
                  <w:shd w:val="clear"/>
                  <w:vAlign w:val="center"/>
                </w:tcPr>
                <w:p w14:paraId="433222ED">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氨</w:t>
                  </w:r>
                </w:p>
              </w:tc>
              <w:tc>
                <w:tcPr>
                  <w:tcW w:w="852" w:type="dxa"/>
                  <w:tcBorders>
                    <w:tl2br w:val="nil"/>
                    <w:tr2bl w:val="nil"/>
                  </w:tcBorders>
                  <w:shd w:val="clear" w:color="auto" w:fill="auto"/>
                  <w:vAlign w:val="center"/>
                </w:tcPr>
                <w:p w14:paraId="569D0416">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0.0929</w:t>
                  </w:r>
                </w:p>
              </w:tc>
              <w:tc>
                <w:tcPr>
                  <w:tcW w:w="813" w:type="dxa"/>
                  <w:tcBorders>
                    <w:tl2br w:val="nil"/>
                    <w:tr2bl w:val="nil"/>
                  </w:tcBorders>
                  <w:vAlign w:val="center"/>
                </w:tcPr>
                <w:p w14:paraId="1A677AFF">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0.04</w:t>
                  </w:r>
                </w:p>
              </w:tc>
              <w:tc>
                <w:tcPr>
                  <w:tcW w:w="696" w:type="dxa"/>
                  <w:tcBorders>
                    <w:tl2br w:val="nil"/>
                    <w:tr2bl w:val="nil"/>
                  </w:tcBorders>
                  <w:shd w:val="clear" w:color="auto" w:fill="auto"/>
                  <w:vAlign w:val="center"/>
                </w:tcPr>
                <w:p w14:paraId="67DC91BC">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0.0004</w:t>
                  </w:r>
                </w:p>
              </w:tc>
              <w:tc>
                <w:tcPr>
                  <w:tcW w:w="735" w:type="dxa"/>
                  <w:vMerge w:val="continue"/>
                  <w:tcBorders>
                    <w:tl2br w:val="nil"/>
                    <w:tr2bl w:val="nil"/>
                  </w:tcBorders>
                  <w:vAlign w:val="center"/>
                </w:tcPr>
                <w:p w14:paraId="5E286B6D">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56" w:type="dxa"/>
                  <w:vMerge w:val="continue"/>
                  <w:tcBorders>
                    <w:tl2br w:val="nil"/>
                    <w:tr2bl w:val="nil"/>
                  </w:tcBorders>
                  <w:vAlign w:val="center"/>
                </w:tcPr>
                <w:p w14:paraId="60D0BFD0">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92" w:type="dxa"/>
                  <w:tcBorders>
                    <w:tl2br w:val="nil"/>
                    <w:tr2bl w:val="nil"/>
                  </w:tcBorders>
                  <w:shd w:val="clear" w:color="auto" w:fill="auto"/>
                  <w:vAlign w:val="center"/>
                </w:tcPr>
                <w:p w14:paraId="1795C101">
                  <w:pPr>
                    <w:keepNext w:val="0"/>
                    <w:keepLines w:val="0"/>
                    <w:widowControl/>
                    <w:suppressLineNumbers w:val="0"/>
                    <w:jc w:val="center"/>
                    <w:textAlignment w:val="center"/>
                    <w:rPr>
                      <w:rFonts w:hint="default" w:eastAsia="宋体" w:cs="Times New Roman"/>
                      <w:color w:val="auto"/>
                      <w:kern w:val="0"/>
                      <w:sz w:val="21"/>
                      <w:szCs w:val="21"/>
                      <w:highlight w:val="none"/>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0.0650 </w:t>
                  </w:r>
                </w:p>
              </w:tc>
              <w:tc>
                <w:tcPr>
                  <w:tcW w:w="876" w:type="dxa"/>
                  <w:tcBorders>
                    <w:tl2br w:val="nil"/>
                    <w:tr2bl w:val="nil"/>
                  </w:tcBorders>
                  <w:shd w:val="clear" w:color="auto" w:fill="auto"/>
                  <w:vAlign w:val="center"/>
                </w:tcPr>
                <w:p w14:paraId="42C6F841">
                  <w:pPr>
                    <w:jc w:val="center"/>
                    <w:rPr>
                      <w:rFonts w:hint="default" w:eastAsia="宋体" w:cs="Times New Roman"/>
                      <w:color w:val="auto"/>
                      <w:kern w:val="0"/>
                      <w:sz w:val="21"/>
                      <w:szCs w:val="21"/>
                      <w:highlight w:val="none"/>
                      <w:vertAlign w:val="baseline"/>
                      <w:lang w:val="en-US" w:eastAsia="zh-CN"/>
                    </w:rPr>
                  </w:pPr>
                  <w:r>
                    <w:rPr>
                      <w:rFonts w:hint="eastAsia" w:eastAsia="宋体" w:cs="Times New Roman"/>
                      <w:color w:val="auto"/>
                      <w:kern w:val="0"/>
                      <w:sz w:val="21"/>
                      <w:szCs w:val="21"/>
                      <w:highlight w:val="none"/>
                      <w:vertAlign w:val="baseline"/>
                      <w:lang w:val="en-US" w:eastAsia="zh-CN"/>
                    </w:rPr>
                    <w:t>0.01</w:t>
                  </w:r>
                </w:p>
              </w:tc>
              <w:tc>
                <w:tcPr>
                  <w:tcW w:w="638" w:type="dxa"/>
                  <w:tcBorders>
                    <w:tl2br w:val="nil"/>
                    <w:tr2bl w:val="nil"/>
                  </w:tcBorders>
                  <w:shd w:val="clear" w:color="auto" w:fill="auto"/>
                  <w:vAlign w:val="center"/>
                </w:tcPr>
                <w:p w14:paraId="7CA30DDB">
                  <w:pPr>
                    <w:keepNext w:val="0"/>
                    <w:keepLines w:val="0"/>
                    <w:widowControl/>
                    <w:suppressLineNumbers w:val="0"/>
                    <w:jc w:val="center"/>
                    <w:textAlignment w:val="center"/>
                    <w:rPr>
                      <w:rFonts w:hint="default"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0.0001 </w:t>
                  </w:r>
                </w:p>
              </w:tc>
            </w:tr>
          </w:tbl>
          <w:p w14:paraId="402FEDA3">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排放口基本情况</w:t>
            </w:r>
            <w:r>
              <w:rPr>
                <w:rFonts w:hint="eastAsia" w:eastAsia="宋体" w:cs="Times New Roman"/>
                <w:color w:val="auto"/>
                <w:kern w:val="0"/>
                <w:sz w:val="24"/>
                <w:highlight w:val="none"/>
                <w:lang w:val="en-US" w:eastAsia="zh-CN"/>
              </w:rPr>
              <w:t>见下表。</w:t>
            </w:r>
            <w:r>
              <w:rPr>
                <w:rFonts w:hint="eastAsia" w:ascii="Times New Roman" w:hAnsi="Times New Roman" w:eastAsia="宋体" w:cs="Times New Roman"/>
                <w:color w:val="auto"/>
                <w:kern w:val="0"/>
                <w:sz w:val="24"/>
                <w:highlight w:val="none"/>
                <w:lang w:val="en-US" w:eastAsia="zh-CN"/>
              </w:rPr>
              <w:t xml:space="preserve"> </w:t>
            </w:r>
          </w:p>
          <w:p w14:paraId="0C225757">
            <w:pPr>
              <w:keepNext w:val="0"/>
              <w:keepLines w:val="0"/>
              <w:widowControl/>
              <w:numPr>
                <w:ilvl w:val="0"/>
                <w:numId w:val="40"/>
              </w:numPr>
              <w:suppressLineNumbers w:val="0"/>
              <w:ind w:left="425" w:leftChars="0" w:hanging="425" w:firstLineChars="0"/>
              <w:jc w:val="center"/>
              <w:rPr>
                <w:rFonts w:hint="eastAsia"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大气排放口基本情况表</w:t>
            </w:r>
          </w:p>
          <w:tbl>
            <w:tblPr>
              <w:tblStyle w:val="24"/>
              <w:tblW w:w="7534"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8"/>
              <w:gridCol w:w="1386"/>
              <w:gridCol w:w="2200"/>
              <w:gridCol w:w="987"/>
              <w:gridCol w:w="1347"/>
              <w:gridCol w:w="706"/>
            </w:tblGrid>
            <w:tr w14:paraId="00C184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8" w:type="dxa"/>
                  <w:tcBorders>
                    <w:tl2br w:val="nil"/>
                    <w:tr2bl w:val="nil"/>
                  </w:tcBorders>
                  <w:vAlign w:val="center"/>
                </w:tcPr>
                <w:p w14:paraId="084607CE">
                  <w:pPr>
                    <w:keepNext w:val="0"/>
                    <w:keepLines w:val="0"/>
                    <w:widowControl/>
                    <w:suppressLineNumbers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编号</w:t>
                  </w:r>
                </w:p>
              </w:tc>
              <w:tc>
                <w:tcPr>
                  <w:tcW w:w="1386" w:type="dxa"/>
                  <w:tcBorders>
                    <w:tl2br w:val="nil"/>
                    <w:tr2bl w:val="nil"/>
                  </w:tcBorders>
                  <w:vAlign w:val="center"/>
                </w:tcPr>
                <w:p w14:paraId="34057882">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类型</w:t>
                  </w:r>
                </w:p>
              </w:tc>
              <w:tc>
                <w:tcPr>
                  <w:tcW w:w="2200" w:type="dxa"/>
                  <w:tcBorders>
                    <w:tl2br w:val="nil"/>
                    <w:tr2bl w:val="nil"/>
                  </w:tcBorders>
                  <w:vAlign w:val="center"/>
                </w:tcPr>
                <w:p w14:paraId="4A772052">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地理坐标（</w:t>
                  </w:r>
                  <w:r>
                    <w:rPr>
                      <w:rFonts w:hint="default" w:ascii="Times New Roman" w:hAnsi="Times New Roman" w:eastAsia="宋体" w:cs="Times New Roman"/>
                      <w:b/>
                      <w:bCs/>
                      <w:color w:val="auto"/>
                      <w:kern w:val="0"/>
                      <w:sz w:val="21"/>
                      <w:szCs w:val="21"/>
                      <w:lang w:val="en-US" w:eastAsia="zh-CN" w:bidi="ar"/>
                    </w:rPr>
                    <w:t>°</w:t>
                  </w:r>
                  <w:r>
                    <w:rPr>
                      <w:rFonts w:hint="eastAsia" w:ascii="宋体" w:hAnsi="宋体" w:eastAsia="宋体" w:cs="宋体"/>
                      <w:b/>
                      <w:bCs/>
                      <w:color w:val="auto"/>
                      <w:kern w:val="0"/>
                      <w:sz w:val="21"/>
                      <w:szCs w:val="21"/>
                      <w:lang w:val="en-US" w:eastAsia="zh-CN" w:bidi="ar"/>
                    </w:rPr>
                    <w:t>）</w:t>
                  </w:r>
                </w:p>
              </w:tc>
              <w:tc>
                <w:tcPr>
                  <w:tcW w:w="987" w:type="dxa"/>
                  <w:tcBorders>
                    <w:tl2br w:val="nil"/>
                    <w:tr2bl w:val="nil"/>
                  </w:tcBorders>
                  <w:vAlign w:val="center"/>
                </w:tcPr>
                <w:p w14:paraId="537A9813">
                  <w:pPr>
                    <w:keepNext w:val="0"/>
                    <w:keepLines w:val="0"/>
                    <w:widowControl/>
                    <w:suppressLineNumbers w:val="0"/>
                    <w:spacing w:line="240" w:lineRule="auto"/>
                    <w:jc w:val="center"/>
                    <w:rPr>
                      <w:b/>
                      <w:bCs/>
                      <w:color w:val="auto"/>
                      <w:sz w:val="21"/>
                      <w:szCs w:val="21"/>
                    </w:rPr>
                  </w:pPr>
                  <w:r>
                    <w:rPr>
                      <w:rFonts w:hint="eastAsia" w:ascii="宋体" w:hAnsi="宋体" w:eastAsia="宋体" w:cs="宋体"/>
                      <w:b/>
                      <w:bCs/>
                      <w:color w:val="auto"/>
                      <w:kern w:val="0"/>
                      <w:sz w:val="21"/>
                      <w:szCs w:val="21"/>
                      <w:lang w:val="en-US" w:eastAsia="zh-CN" w:bidi="ar"/>
                    </w:rPr>
                    <w:t>高度</w:t>
                  </w:r>
                </w:p>
                <w:p w14:paraId="31D02388">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w:t>
                  </w:r>
                  <w:r>
                    <w:rPr>
                      <w:rFonts w:hint="default" w:ascii="Times New Roman" w:hAnsi="Times New Roman" w:eastAsia="宋体" w:cs="Times New Roman"/>
                      <w:b/>
                      <w:bCs/>
                      <w:color w:val="auto"/>
                      <w:kern w:val="0"/>
                      <w:sz w:val="21"/>
                      <w:szCs w:val="21"/>
                      <w:lang w:val="en-US" w:eastAsia="zh-CN" w:bidi="ar"/>
                    </w:rPr>
                    <w:t>m</w:t>
                  </w:r>
                  <w:r>
                    <w:rPr>
                      <w:rFonts w:hint="eastAsia" w:ascii="宋体" w:hAnsi="宋体" w:eastAsia="宋体" w:cs="宋体"/>
                      <w:b/>
                      <w:bCs/>
                      <w:color w:val="auto"/>
                      <w:kern w:val="0"/>
                      <w:sz w:val="21"/>
                      <w:szCs w:val="21"/>
                      <w:lang w:val="en-US" w:eastAsia="zh-CN" w:bidi="ar"/>
                    </w:rPr>
                    <w:t>）</w:t>
                  </w:r>
                </w:p>
              </w:tc>
              <w:tc>
                <w:tcPr>
                  <w:tcW w:w="1347" w:type="dxa"/>
                  <w:tcBorders>
                    <w:tl2br w:val="nil"/>
                    <w:tr2bl w:val="nil"/>
                  </w:tcBorders>
                  <w:vAlign w:val="center"/>
                </w:tcPr>
                <w:p w14:paraId="44A41018">
                  <w:pPr>
                    <w:keepNext w:val="0"/>
                    <w:keepLines w:val="0"/>
                    <w:widowControl/>
                    <w:suppressLineNumbers w:val="0"/>
                    <w:spacing w:line="240" w:lineRule="auto"/>
                    <w:jc w:val="center"/>
                    <w:rPr>
                      <w:b/>
                      <w:bCs/>
                      <w:color w:val="auto"/>
                      <w:sz w:val="21"/>
                      <w:szCs w:val="21"/>
                    </w:rPr>
                  </w:pPr>
                  <w:r>
                    <w:rPr>
                      <w:rFonts w:hint="eastAsia" w:ascii="宋体" w:hAnsi="宋体" w:eastAsia="宋体" w:cs="宋体"/>
                      <w:b/>
                      <w:bCs/>
                      <w:color w:val="auto"/>
                      <w:kern w:val="0"/>
                      <w:sz w:val="21"/>
                      <w:szCs w:val="21"/>
                      <w:lang w:val="en-US" w:eastAsia="zh-CN" w:bidi="ar"/>
                    </w:rPr>
                    <w:t>排气筒内</w:t>
                  </w:r>
                </w:p>
                <w:p w14:paraId="1AADE5B5">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径（</w:t>
                  </w:r>
                  <w:r>
                    <w:rPr>
                      <w:rFonts w:hint="default" w:ascii="Times New Roman" w:hAnsi="Times New Roman" w:eastAsia="宋体" w:cs="Times New Roman"/>
                      <w:b/>
                      <w:bCs/>
                      <w:color w:val="auto"/>
                      <w:kern w:val="0"/>
                      <w:sz w:val="21"/>
                      <w:szCs w:val="21"/>
                      <w:lang w:val="en-US" w:eastAsia="zh-CN" w:bidi="ar"/>
                    </w:rPr>
                    <w:t>m</w:t>
                  </w:r>
                  <w:r>
                    <w:rPr>
                      <w:rFonts w:hint="eastAsia" w:ascii="宋体" w:hAnsi="宋体" w:eastAsia="宋体" w:cs="宋体"/>
                      <w:b/>
                      <w:bCs/>
                      <w:color w:val="auto"/>
                      <w:kern w:val="0"/>
                      <w:sz w:val="21"/>
                      <w:szCs w:val="21"/>
                      <w:lang w:val="en-US" w:eastAsia="zh-CN" w:bidi="ar"/>
                    </w:rPr>
                    <w:t>）</w:t>
                  </w:r>
                </w:p>
              </w:tc>
              <w:tc>
                <w:tcPr>
                  <w:tcW w:w="706" w:type="dxa"/>
                  <w:tcBorders>
                    <w:tl2br w:val="nil"/>
                    <w:tr2bl w:val="nil"/>
                  </w:tcBorders>
                  <w:vAlign w:val="center"/>
                </w:tcPr>
                <w:p w14:paraId="1FF8A122">
                  <w:pPr>
                    <w:keepNext w:val="0"/>
                    <w:keepLines w:val="0"/>
                    <w:widowControl/>
                    <w:suppressLineNumbers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温度</w:t>
                  </w:r>
                </w:p>
              </w:tc>
            </w:tr>
            <w:tr w14:paraId="6C827F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908" w:type="dxa"/>
                  <w:tcBorders>
                    <w:tl2br w:val="nil"/>
                    <w:tr2bl w:val="nil"/>
                  </w:tcBorders>
                  <w:vAlign w:val="center"/>
                </w:tcPr>
                <w:p w14:paraId="6976F859">
                  <w:pPr>
                    <w:numPr>
                      <w:ilvl w:val="0"/>
                      <w:numId w:val="0"/>
                    </w:numPr>
                    <w:adjustRightInd w:val="0"/>
                    <w:snapToGrid w:val="0"/>
                    <w:spacing w:line="36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DA001</w:t>
                  </w:r>
                </w:p>
              </w:tc>
              <w:tc>
                <w:tcPr>
                  <w:tcW w:w="1386" w:type="dxa"/>
                  <w:tcBorders>
                    <w:tl2br w:val="nil"/>
                    <w:tr2bl w:val="nil"/>
                  </w:tcBorders>
                  <w:vAlign w:val="center"/>
                </w:tcPr>
                <w:p w14:paraId="04C3D927">
                  <w:pPr>
                    <w:numPr>
                      <w:ilvl w:val="0"/>
                      <w:numId w:val="0"/>
                    </w:numPr>
                    <w:adjustRightInd w:val="0"/>
                    <w:snapToGrid w:val="0"/>
                    <w:spacing w:line="36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一般排放口</w:t>
                  </w:r>
                </w:p>
              </w:tc>
              <w:tc>
                <w:tcPr>
                  <w:tcW w:w="2200" w:type="dxa"/>
                  <w:tcBorders>
                    <w:tl2br w:val="nil"/>
                    <w:tr2bl w:val="nil"/>
                  </w:tcBorders>
                  <w:vAlign w:val="center"/>
                </w:tcPr>
                <w:p w14:paraId="765FF916">
                  <w:pPr>
                    <w:numPr>
                      <w:ilvl w:val="0"/>
                      <w:numId w:val="0"/>
                    </w:numPr>
                    <w:adjustRightInd w:val="0"/>
                    <w:snapToGrid w:val="0"/>
                    <w:spacing w:line="36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 xml:space="preserve"> 东经：116.5524766</w:t>
                  </w:r>
                </w:p>
                <w:p w14:paraId="709C3031">
                  <w:pPr>
                    <w:numPr>
                      <w:ilvl w:val="0"/>
                      <w:numId w:val="0"/>
                    </w:numPr>
                    <w:adjustRightInd w:val="0"/>
                    <w:snapToGrid w:val="0"/>
                    <w:spacing w:line="36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北纬：39.7300217</w:t>
                  </w:r>
                </w:p>
              </w:tc>
              <w:tc>
                <w:tcPr>
                  <w:tcW w:w="987" w:type="dxa"/>
                  <w:tcBorders>
                    <w:tl2br w:val="nil"/>
                    <w:tr2bl w:val="nil"/>
                  </w:tcBorders>
                  <w:vAlign w:val="center"/>
                </w:tcPr>
                <w:p w14:paraId="4E8BDBF1">
                  <w:pPr>
                    <w:numPr>
                      <w:ilvl w:val="0"/>
                      <w:numId w:val="0"/>
                    </w:numPr>
                    <w:adjustRightInd w:val="0"/>
                    <w:snapToGrid w:val="0"/>
                    <w:spacing w:line="36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18</w:t>
                  </w:r>
                </w:p>
              </w:tc>
              <w:tc>
                <w:tcPr>
                  <w:tcW w:w="1347" w:type="dxa"/>
                  <w:tcBorders>
                    <w:tl2br w:val="nil"/>
                    <w:tr2bl w:val="nil"/>
                  </w:tcBorders>
                  <w:vAlign w:val="center"/>
                </w:tcPr>
                <w:p w14:paraId="6C943862">
                  <w:pPr>
                    <w:numPr>
                      <w:ilvl w:val="0"/>
                      <w:numId w:val="0"/>
                    </w:numPr>
                    <w:adjustRightInd w:val="0"/>
                    <w:snapToGrid w:val="0"/>
                    <w:spacing w:line="36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0.5</w:t>
                  </w:r>
                </w:p>
              </w:tc>
              <w:tc>
                <w:tcPr>
                  <w:tcW w:w="706" w:type="dxa"/>
                  <w:tcBorders>
                    <w:tl2br w:val="nil"/>
                    <w:tr2bl w:val="nil"/>
                  </w:tcBorders>
                  <w:vAlign w:val="center"/>
                </w:tcPr>
                <w:p w14:paraId="72685F74">
                  <w:pPr>
                    <w:numPr>
                      <w:ilvl w:val="0"/>
                      <w:numId w:val="0"/>
                    </w:numPr>
                    <w:adjustRightInd w:val="0"/>
                    <w:snapToGrid w:val="0"/>
                    <w:spacing w:line="36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常温</w:t>
                  </w:r>
                </w:p>
              </w:tc>
            </w:tr>
          </w:tbl>
          <w:p w14:paraId="0F198D56">
            <w:pPr>
              <w:adjustRightInd w:val="0"/>
              <w:snapToGrid w:val="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w:t>
            </w:r>
            <w:r>
              <w:rPr>
                <w:rFonts w:hint="eastAsia"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lang w:val="en-US" w:eastAsia="zh-CN"/>
              </w:rPr>
              <w:t>）废气治理措施可行性分析</w:t>
            </w:r>
          </w:p>
          <w:p w14:paraId="7D4ECF44">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eastAsia" w:eastAsia="宋体" w:cs="Times New Roman"/>
                <w:color w:val="auto"/>
                <w:sz w:val="24"/>
                <w:highlight w:val="none"/>
                <w:lang w:val="en-US" w:eastAsia="zh-CN"/>
              </w:rPr>
              <w:t>干式过滤器采用三级过滤，分别用酸碱浸渍处理的吸附剂吸收碱性、酸性废气、用活性炭吸附挥发性有机物，</w:t>
            </w:r>
            <w:r>
              <w:rPr>
                <w:rFonts w:hint="default" w:ascii="Times New Roman" w:hAnsi="Times New Roman" w:eastAsia="宋体" w:cs="Times New Roman"/>
                <w:color w:val="auto"/>
                <w:sz w:val="24"/>
                <w:highlight w:val="none"/>
                <w:lang w:val="en-US" w:eastAsia="zh-CN"/>
              </w:rPr>
              <w:t>吸附剂是一种具有大比表面积的固体颗粒无机物，当被净化气体中的酸</w:t>
            </w:r>
            <w:r>
              <w:rPr>
                <w:rFonts w:hint="eastAsia" w:eastAsia="宋体" w:cs="Times New Roman"/>
                <w:color w:val="auto"/>
                <w:sz w:val="24"/>
                <w:highlight w:val="none"/>
                <w:lang w:val="en-US" w:eastAsia="zh-CN"/>
              </w:rPr>
              <w:t>碱</w:t>
            </w:r>
            <w:r>
              <w:rPr>
                <w:rFonts w:hint="default" w:ascii="Times New Roman" w:hAnsi="Times New Roman" w:eastAsia="宋体" w:cs="Times New Roman"/>
                <w:color w:val="auto"/>
                <w:sz w:val="24"/>
                <w:highlight w:val="none"/>
                <w:lang w:val="en-US" w:eastAsia="zh-CN"/>
              </w:rPr>
              <w:t>气体扩散到吸附剂表面的吸附力场时，固定在其表面，然后与其中的活性成分发生化学反应，生成新的中性盐类物质，储存在吸附剂的结构</w:t>
            </w:r>
            <w:r>
              <w:rPr>
                <w:rFonts w:hint="eastAsia"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吸附剂净化酸</w:t>
            </w:r>
            <w:r>
              <w:rPr>
                <w:rFonts w:hint="eastAsia" w:eastAsia="宋体" w:cs="Times New Roman"/>
                <w:color w:val="auto"/>
                <w:sz w:val="24"/>
                <w:highlight w:val="none"/>
                <w:lang w:val="en-US" w:eastAsia="zh-CN"/>
              </w:rPr>
              <w:t>碱</w:t>
            </w:r>
            <w:r>
              <w:rPr>
                <w:rFonts w:hint="default" w:ascii="Times New Roman" w:hAnsi="Times New Roman" w:eastAsia="宋体" w:cs="Times New Roman"/>
                <w:color w:val="auto"/>
                <w:sz w:val="24"/>
                <w:highlight w:val="none"/>
                <w:lang w:val="en-US" w:eastAsia="zh-CN"/>
              </w:rPr>
              <w:t>气体是一种多功能的综合功能，除了一般的物理吸附外，还包括化学吸附、颗粒吸附、催化和化学反应。</w:t>
            </w:r>
            <w:r>
              <w:rPr>
                <w:rFonts w:hint="default" w:ascii="Times New Roman" w:hAnsi="Times New Roman" w:eastAsia="宋体" w:cs="Times New Roman"/>
                <w:color w:val="auto"/>
                <w:sz w:val="24"/>
                <w:highlight w:val="none"/>
              </w:rPr>
              <w:t>活性炭吸附原理</w:t>
            </w:r>
            <w:r>
              <w:rPr>
                <w:rFonts w:hint="default" w:ascii="Times New Roman" w:hAnsi="Times New Roman" w:eastAsia="宋体" w:cs="Times New Roman"/>
                <w:color w:val="auto"/>
                <w:sz w:val="24"/>
                <w:highlight w:val="none"/>
                <w:lang w:val="en-US" w:eastAsia="zh-CN"/>
              </w:rPr>
              <w:t>是</w:t>
            </w:r>
            <w:r>
              <w:rPr>
                <w:rFonts w:hint="default" w:ascii="Times New Roman" w:hAnsi="Times New Roman" w:eastAsia="宋体" w:cs="Times New Roman"/>
                <w:color w:val="auto"/>
                <w:sz w:val="24"/>
                <w:highlight w:val="none"/>
              </w:rPr>
              <w:t>当废气由风机提供动力，负压进入吸附箱后进入活性炭吸附层，由于活性炭吸附剂表面上存在着未平衡和未饱和的分子引力或化学键力，因此，当活性炭吸附剂的表面与气体接触时，就能吸引气体分子，使其浓聚并保持在活性炭表面，此现象称为吸附。利用活性炭吸附剂表面的吸附能力，使废气与大表面的多孔性活性炭吸附剂相接触，废气中的污染物被吸附在活性炭表面上，使其与其他混合物分离，净化后的气体高空排放。</w:t>
            </w:r>
          </w:p>
          <w:p w14:paraId="45513D33">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《实验室挥发性有机物污染防治技术规范》（DB11/T1736-2020）（2020年10月01日实施）中</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7.1.2 吸附法可采用活性炭、活性炭纤维、分子筛等作为吸附介质</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《排污许可证申请与核发技术规范 总则》（HJ 942-2018）“4.5.2.1 废气产排污环节、污染物种类、排放形式及污染治理设施”中有“废气污染治理设施工艺包括有机废气收集治理设施（吸附）及其他废气收集处理设施（活性炭吸附）”等。</w:t>
            </w:r>
          </w:p>
          <w:p w14:paraId="0D4A8C67">
            <w:pPr>
              <w:adjustRightInd w:val="0"/>
              <w:spacing w:line="360"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本项目建设一套干式吸附器，风机风量10000m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/h。</w:t>
            </w:r>
          </w:p>
          <w:p w14:paraId="40B3EFC4">
            <w:pPr>
              <w:adjustRightInd w:val="0"/>
              <w:spacing w:line="360"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风机风量可行性：本项目完成后共有8个通风橱，每个通风橱长1.5m，操作时确保敞开面开度不超过0.5m、风速不低于0.35m/s，8个通风橱同时工作合计需要风量7560m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/h。本项目完成后，在产生废气的检测设备上方、部分前处理工位上方安装万向罩，合计15个，每个万向罩直径30cm，罩口风速不低于0.35m/s，15个万向罩同时工作合计需要风量1340m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/h。本项目完成后，所有通风橱、万向罩同时工作，合计需要风量8900m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/h，本项目风机风量能满足项目的需要。</w:t>
            </w:r>
          </w:p>
          <w:p w14:paraId="64887BF0">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活性炭用量：</w:t>
            </w:r>
            <w:r>
              <w:rPr>
                <w:rFonts w:hint="default" w:ascii="Times New Roman" w:hAnsi="Times New Roman" w:eastAsia="宋体" w:cs="Times New Roman"/>
                <w:color w:val="auto"/>
                <w:sz w:val="24"/>
                <w:highlight w:val="none"/>
                <w:lang w:val="en-US" w:eastAsia="zh-CN"/>
              </w:rPr>
              <w:t>参照《活性炭纤维在挥发性有机废气处理中应用》（杨芬，刘品华，2003年）的实验结果表明，每公斤活性炭可吸附0.22-0.25kg 的有机废气，本次环评取每公斤活性炭吸附量为0.2</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kg/kg，</w:t>
            </w:r>
            <w:r>
              <w:rPr>
                <w:rFonts w:hint="eastAsia" w:cs="Times New Roman"/>
                <w:color w:val="auto"/>
                <w:sz w:val="24"/>
                <w:highlight w:val="none"/>
                <w:lang w:val="en-US" w:eastAsia="zh-CN"/>
              </w:rPr>
              <w:t>本</w:t>
            </w:r>
            <w:r>
              <w:rPr>
                <w:rFonts w:hint="default" w:ascii="Times New Roman" w:hAnsi="Times New Roman" w:eastAsia="宋体" w:cs="Times New Roman"/>
                <w:color w:val="auto"/>
                <w:sz w:val="24"/>
                <w:highlight w:val="none"/>
                <w:lang w:val="en-US" w:eastAsia="zh-CN"/>
              </w:rPr>
              <w:t>项目非甲烷总烃的</w:t>
            </w:r>
            <w:r>
              <w:rPr>
                <w:rFonts w:hint="eastAsia" w:cs="Times New Roman"/>
                <w:color w:val="auto"/>
                <w:sz w:val="24"/>
                <w:highlight w:val="none"/>
                <w:lang w:val="en-US" w:eastAsia="zh-CN"/>
              </w:rPr>
              <w:t>总</w:t>
            </w:r>
            <w:r>
              <w:rPr>
                <w:rFonts w:hint="default" w:ascii="Times New Roman" w:hAnsi="Times New Roman" w:eastAsia="宋体" w:cs="Times New Roman"/>
                <w:color w:val="auto"/>
                <w:sz w:val="24"/>
                <w:highlight w:val="none"/>
                <w:lang w:val="en-US" w:eastAsia="zh-CN"/>
              </w:rPr>
              <w:t xml:space="preserve">去除量为 </w:t>
            </w:r>
            <w:r>
              <w:rPr>
                <w:rFonts w:hint="eastAsia" w:cs="Times New Roman"/>
                <w:color w:val="auto"/>
                <w:sz w:val="24"/>
                <w:highlight w:val="none"/>
                <w:lang w:val="en-US" w:eastAsia="zh-CN"/>
              </w:rPr>
              <w:t>0.7661</w:t>
            </w:r>
            <w:r>
              <w:rPr>
                <w:rFonts w:hint="default" w:ascii="Times New Roman" w:hAnsi="Times New Roman" w:eastAsia="宋体" w:cs="Times New Roman"/>
                <w:color w:val="auto"/>
                <w:sz w:val="24"/>
                <w:highlight w:val="none"/>
                <w:lang w:val="en-US" w:eastAsia="zh-CN"/>
              </w:rPr>
              <w:t xml:space="preserve"> kg/a，经计算共需活性炭</w:t>
            </w:r>
            <w:r>
              <w:rPr>
                <w:rFonts w:hint="eastAsia" w:cs="Times New Roman"/>
                <w:color w:val="auto"/>
                <w:sz w:val="24"/>
                <w:highlight w:val="none"/>
                <w:lang w:val="en-US" w:eastAsia="zh-CN"/>
              </w:rPr>
              <w:t>3.48</w:t>
            </w:r>
            <w:r>
              <w:rPr>
                <w:rFonts w:hint="default" w:ascii="Times New Roman" w:hAnsi="Times New Roman" w:eastAsia="宋体" w:cs="Times New Roman"/>
                <w:color w:val="auto"/>
                <w:sz w:val="24"/>
                <w:highlight w:val="none"/>
                <w:lang w:val="en-US" w:eastAsia="zh-CN"/>
              </w:rPr>
              <w:t>kg/a。</w:t>
            </w:r>
            <w:r>
              <w:rPr>
                <w:rFonts w:hint="eastAsia" w:cs="Times New Roman"/>
                <w:color w:val="auto"/>
                <w:sz w:val="24"/>
                <w:highlight w:val="none"/>
                <w:lang w:val="en-US" w:eastAsia="zh-CN"/>
              </w:rPr>
              <w:t>本项目拟采用的干式过滤器活性炭箱体内腔体积0.15m</w:t>
            </w:r>
            <w:r>
              <w:rPr>
                <w:rFonts w:hint="eastAsia" w:cs="Times New Roman"/>
                <w:color w:val="auto"/>
                <w:sz w:val="24"/>
                <w:highlight w:val="none"/>
                <w:vertAlign w:val="superscript"/>
                <w:lang w:val="en-US" w:eastAsia="zh-CN"/>
              </w:rPr>
              <w:t>3</w:t>
            </w:r>
            <w:r>
              <w:rPr>
                <w:rFonts w:hint="eastAsia" w:cs="Times New Roman"/>
                <w:color w:val="auto"/>
                <w:sz w:val="24"/>
                <w:highlight w:val="none"/>
                <w:vertAlign w:val="baseline"/>
                <w:lang w:val="en-US" w:eastAsia="zh-CN"/>
              </w:rPr>
              <w:t>，颗粒状活性炭堆积密度一般在0.45-0.65g/cm</w:t>
            </w:r>
            <w:r>
              <w:rPr>
                <w:rFonts w:hint="eastAsia" w:cs="Times New Roman"/>
                <w:color w:val="auto"/>
                <w:sz w:val="24"/>
                <w:highlight w:val="none"/>
                <w:vertAlign w:val="superscript"/>
                <w:lang w:val="en-US" w:eastAsia="zh-CN"/>
              </w:rPr>
              <w:t>3</w:t>
            </w:r>
            <w:r>
              <w:rPr>
                <w:rFonts w:hint="eastAsia" w:cs="Times New Roman"/>
                <w:color w:val="auto"/>
                <w:sz w:val="24"/>
                <w:highlight w:val="none"/>
                <w:vertAlign w:val="baseline"/>
                <w:lang w:val="en-US" w:eastAsia="zh-CN"/>
              </w:rPr>
              <w:t>，本次评价按0.45cm</w:t>
            </w:r>
            <w:r>
              <w:rPr>
                <w:rFonts w:hint="eastAsia" w:cs="Times New Roman"/>
                <w:color w:val="auto"/>
                <w:sz w:val="24"/>
                <w:highlight w:val="none"/>
                <w:vertAlign w:val="superscript"/>
                <w:lang w:val="en-US" w:eastAsia="zh-CN"/>
              </w:rPr>
              <w:t>3</w:t>
            </w:r>
            <w:r>
              <w:rPr>
                <w:rFonts w:hint="eastAsia" w:cs="Times New Roman"/>
                <w:color w:val="auto"/>
                <w:sz w:val="24"/>
                <w:highlight w:val="none"/>
                <w:vertAlign w:val="baseline"/>
                <w:lang w:val="en-US" w:eastAsia="zh-CN"/>
              </w:rPr>
              <w:t>计算，则设备可装填活性炭67.5kg。</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实验室挥发性有机物污染防治技术规范</w:t>
            </w:r>
            <w:r>
              <w:rPr>
                <w:rFonts w:hint="eastAsia" w:ascii="Times New Roman" w:hAnsi="Times New Roman" w:cs="Times New Roman"/>
                <w:color w:val="auto"/>
                <w:sz w:val="24"/>
                <w:highlight w:val="none"/>
                <w:lang w:val="en-US" w:eastAsia="zh-CN"/>
              </w:rPr>
              <w:t>》（DB11/T 1736-2020）要求</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更换周期应综合考虑有机溶剂的使用量和实验强度等因素，原则上不应长于</w:t>
            </w:r>
            <w:r>
              <w:rPr>
                <w:rFonts w:hint="default" w:ascii="Times New Roman" w:hAnsi="Times New Roman" w:eastAsia="宋体" w:cs="Times New Roman"/>
                <w:color w:val="auto"/>
                <w:sz w:val="24"/>
                <w:highlight w:val="none"/>
                <w:lang w:val="en-US" w:eastAsia="zh-CN"/>
              </w:rPr>
              <w:t>6</w:t>
            </w:r>
            <w:r>
              <w:rPr>
                <w:rFonts w:hint="eastAsia" w:ascii="Times New Roman" w:hAnsi="Times New Roman" w:eastAsia="宋体" w:cs="Times New Roman"/>
                <w:color w:val="auto"/>
                <w:sz w:val="24"/>
                <w:highlight w:val="none"/>
                <w:lang w:val="en-US" w:eastAsia="zh-CN"/>
              </w:rPr>
              <w:t>个月</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，本项目</w:t>
            </w:r>
            <w:r>
              <w:rPr>
                <w:rFonts w:hint="eastAsia" w:ascii="Times New Roman" w:hAnsi="Times New Roman" w:eastAsia="宋体" w:cs="Times New Roman"/>
                <w:color w:val="auto"/>
                <w:sz w:val="24"/>
                <w:highlight w:val="none"/>
                <w:lang w:val="en-US" w:eastAsia="zh-CN"/>
              </w:rPr>
              <w:t>活性炭</w:t>
            </w:r>
            <w:r>
              <w:rPr>
                <w:rFonts w:hint="default" w:ascii="Times New Roman" w:hAnsi="Times New Roman" w:eastAsia="宋体" w:cs="Times New Roman"/>
                <w:color w:val="auto"/>
                <w:sz w:val="24"/>
                <w:highlight w:val="none"/>
                <w:lang w:val="en-US" w:eastAsia="zh-CN"/>
              </w:rPr>
              <w:t>每半年更换1次</w:t>
            </w:r>
            <w:r>
              <w:rPr>
                <w:rFonts w:hint="eastAsia" w:cs="Times New Roman"/>
                <w:color w:val="auto"/>
                <w:sz w:val="24"/>
                <w:highlight w:val="none"/>
                <w:lang w:val="en-US" w:eastAsia="zh-CN"/>
              </w:rPr>
              <w:t>，本项目完成后全年装填活性炭135</w:t>
            </w:r>
            <w:r>
              <w:rPr>
                <w:rFonts w:hint="default" w:ascii="Times New Roman" w:hAnsi="Times New Roman" w:eastAsia="宋体" w:cs="Times New Roman"/>
                <w:color w:val="auto"/>
                <w:sz w:val="24"/>
                <w:highlight w:val="none"/>
                <w:lang w:val="en-US" w:eastAsia="zh-CN"/>
              </w:rPr>
              <w:t xml:space="preserve"> kg</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活性炭装</w:t>
            </w:r>
            <w:r>
              <w:rPr>
                <w:rFonts w:hint="eastAsia" w:cs="Times New Roman"/>
                <w:color w:val="auto"/>
                <w:sz w:val="24"/>
                <w:highlight w:val="none"/>
                <w:lang w:val="en-US" w:eastAsia="zh-CN"/>
              </w:rPr>
              <w:t>吸附设施可以</w:t>
            </w:r>
            <w:r>
              <w:rPr>
                <w:rFonts w:hint="eastAsia" w:ascii="Times New Roman" w:hAnsi="Times New Roman" w:eastAsia="宋体" w:cs="Times New Roman"/>
                <w:color w:val="auto"/>
                <w:sz w:val="24"/>
                <w:highlight w:val="none"/>
                <w:lang w:val="en-US" w:eastAsia="zh-CN"/>
              </w:rPr>
              <w:t>满足本项目废气处理的需要。</w:t>
            </w:r>
            <w:r>
              <w:rPr>
                <w:rFonts w:hint="eastAsia" w:ascii="Times New Roman" w:hAnsi="Times New Roman" w:cs="Times New Roman"/>
                <w:color w:val="auto"/>
                <w:sz w:val="24"/>
                <w:highlight w:val="none"/>
                <w:lang w:val="en-US" w:eastAsia="zh-CN"/>
              </w:rPr>
              <w:t>综上，</w:t>
            </w:r>
            <w:r>
              <w:rPr>
                <w:rFonts w:hint="eastAsia" w:ascii="Times New Roman" w:hAnsi="Times New Roman" w:eastAsia="宋体" w:cs="Times New Roman"/>
                <w:color w:val="auto"/>
                <w:sz w:val="24"/>
                <w:highlight w:val="none"/>
                <w:lang w:val="en-US" w:eastAsia="zh-CN"/>
              </w:rPr>
              <w:t>本</w:t>
            </w:r>
            <w:r>
              <w:rPr>
                <w:rFonts w:hint="default" w:ascii="Times New Roman" w:hAnsi="Times New Roman" w:eastAsia="宋体" w:cs="Times New Roman"/>
                <w:color w:val="auto"/>
                <w:sz w:val="24"/>
                <w:highlight w:val="none"/>
                <w:lang w:val="en-US" w:eastAsia="zh-CN"/>
              </w:rPr>
              <w:t>项目</w:t>
            </w:r>
            <w:r>
              <w:rPr>
                <w:rFonts w:hint="eastAsia" w:cs="Times New Roman"/>
                <w:color w:val="auto"/>
                <w:sz w:val="24"/>
                <w:highlight w:val="none"/>
                <w:lang w:val="en-US" w:eastAsia="zh-CN"/>
              </w:rPr>
              <w:t>完成后，公司</w:t>
            </w:r>
            <w:r>
              <w:rPr>
                <w:rFonts w:hint="default" w:ascii="Times New Roman" w:hAnsi="Times New Roman" w:eastAsia="宋体" w:cs="Times New Roman"/>
                <w:color w:val="auto"/>
                <w:sz w:val="24"/>
                <w:highlight w:val="none"/>
                <w:lang w:val="en-US" w:eastAsia="zh-CN"/>
              </w:rPr>
              <w:t>废活性炭</w:t>
            </w:r>
            <w:r>
              <w:rPr>
                <w:rFonts w:hint="eastAsia" w:ascii="Times New Roman" w:hAnsi="Times New Roman" w:cs="Times New Roman"/>
                <w:color w:val="auto"/>
                <w:sz w:val="24"/>
                <w:highlight w:val="none"/>
                <w:lang w:val="en-US" w:eastAsia="zh-CN"/>
              </w:rPr>
              <w:t>的产生量</w:t>
            </w:r>
            <w:r>
              <w:rPr>
                <w:rFonts w:hint="default" w:ascii="Times New Roman" w:hAnsi="Times New Roman" w:eastAsia="宋体" w:cs="Times New Roman"/>
                <w:color w:val="auto"/>
                <w:sz w:val="24"/>
                <w:highlight w:val="none"/>
                <w:lang w:val="en-US" w:eastAsia="zh-CN"/>
              </w:rPr>
              <w:t>约</w:t>
            </w:r>
            <w:r>
              <w:rPr>
                <w:rFonts w:hint="eastAsia" w:cs="Times New Roman"/>
                <w:color w:val="auto"/>
                <w:sz w:val="24"/>
                <w:highlight w:val="none"/>
                <w:lang w:val="en-US" w:eastAsia="zh-CN"/>
              </w:rPr>
              <w:t>135.8</w:t>
            </w:r>
            <w:r>
              <w:rPr>
                <w:rFonts w:hint="default" w:ascii="Times New Roman" w:hAnsi="Times New Roman" w:eastAsia="宋体" w:cs="Times New Roman"/>
                <w:color w:val="auto"/>
                <w:sz w:val="24"/>
                <w:highlight w:val="none"/>
                <w:lang w:val="en-US" w:eastAsia="zh-CN"/>
              </w:rPr>
              <w:t>kg/a（</w:t>
            </w:r>
            <w:r>
              <w:rPr>
                <w:rFonts w:hint="eastAsia" w:ascii="Times New Roman" w:hAnsi="Times New Roman" w:eastAsia="宋体" w:cs="Times New Roman"/>
                <w:color w:val="auto"/>
                <w:sz w:val="24"/>
                <w:highlight w:val="none"/>
                <w:lang w:val="en-US" w:eastAsia="zh-CN"/>
              </w:rPr>
              <w:t>0.</w:t>
            </w:r>
            <w:r>
              <w:rPr>
                <w:rFonts w:hint="eastAsia" w:cs="Times New Roman"/>
                <w:color w:val="auto"/>
                <w:sz w:val="24"/>
                <w:highlight w:val="none"/>
                <w:lang w:val="en-US" w:eastAsia="zh-CN"/>
              </w:rPr>
              <w:t>136</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eastAsia="宋体" w:cs="Times New Roman"/>
                <w:color w:val="auto"/>
                <w:sz w:val="24"/>
                <w:highlight w:val="none"/>
                <w:lang w:val="en-US" w:eastAsia="zh-CN"/>
              </w:rPr>
              <w:t>。</w:t>
            </w:r>
          </w:p>
          <w:p w14:paraId="08FC5F20">
            <w:pPr>
              <w:spacing w:line="360"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废吸附剂用量：</w:t>
            </w:r>
            <w:r>
              <w:rPr>
                <w:rFonts w:hint="eastAsia" w:ascii="Times New Roman" w:hAnsi="Times New Roman" w:eastAsia="宋体" w:cs="Times New Roman"/>
                <w:color w:val="auto"/>
                <w:sz w:val="24"/>
                <w:highlight w:val="none"/>
                <w:lang w:val="en-US" w:eastAsia="zh-CN"/>
              </w:rPr>
              <w:t>本项目干式过滤器</w:t>
            </w:r>
            <w:r>
              <w:rPr>
                <w:rFonts w:hint="eastAsia" w:ascii="Times New Roman" w:hAnsi="Times New Roman" w:cs="Times New Roman"/>
                <w:color w:val="auto"/>
                <w:sz w:val="24"/>
                <w:highlight w:val="none"/>
                <w:lang w:val="en-US" w:eastAsia="zh-CN"/>
              </w:rPr>
              <w:t>分别用酸、碱处理的吸附剂</w:t>
            </w:r>
            <w:r>
              <w:rPr>
                <w:rFonts w:hint="eastAsia" w:ascii="Times New Roman" w:hAnsi="Times New Roman" w:eastAsia="宋体" w:cs="Times New Roman"/>
                <w:color w:val="auto"/>
                <w:sz w:val="24"/>
                <w:highlight w:val="none"/>
                <w:lang w:val="en-US" w:eastAsia="zh-CN"/>
              </w:rPr>
              <w:t>吸附</w:t>
            </w:r>
            <w:r>
              <w:rPr>
                <w:rFonts w:hint="eastAsia" w:ascii="Times New Roman" w:hAnsi="Times New Roman" w:cs="Times New Roman"/>
                <w:color w:val="auto"/>
                <w:sz w:val="24"/>
                <w:highlight w:val="none"/>
                <w:lang w:val="en-US" w:eastAsia="zh-CN"/>
              </w:rPr>
              <w:t>处理含碱、含酸无机</w:t>
            </w:r>
            <w:r>
              <w:rPr>
                <w:rFonts w:hint="eastAsia" w:ascii="Times New Roman" w:hAnsi="Times New Roman" w:eastAsia="宋体" w:cs="Times New Roman"/>
                <w:color w:val="auto"/>
                <w:sz w:val="24"/>
                <w:highlight w:val="none"/>
                <w:lang w:val="en-US" w:eastAsia="zh-CN"/>
              </w:rPr>
              <w:t>废气，</w:t>
            </w:r>
            <w:r>
              <w:rPr>
                <w:rFonts w:hint="eastAsia" w:ascii="Times New Roman" w:hAnsi="Times New Roman" w:cs="Times New Roman"/>
                <w:color w:val="auto"/>
                <w:sz w:val="24"/>
                <w:highlight w:val="none"/>
                <w:lang w:val="en-US" w:eastAsia="zh-CN"/>
              </w:rPr>
              <w:t>根据建设单位提供的资料</w:t>
            </w:r>
            <w:r>
              <w:rPr>
                <w:rFonts w:hint="default" w:ascii="Times New Roman" w:hAnsi="Times New Roman" w:eastAsia="宋体" w:cs="Times New Roman"/>
                <w:color w:val="auto"/>
                <w:sz w:val="24"/>
                <w:highlight w:val="none"/>
                <w:lang w:val="en-US" w:eastAsia="zh-CN"/>
              </w:rPr>
              <w:t>，每公斤</w:t>
            </w:r>
            <w:r>
              <w:rPr>
                <w:rFonts w:hint="eastAsia" w:ascii="Times New Roman" w:hAnsi="Times New Roman" w:cs="Times New Roman"/>
                <w:color w:val="auto"/>
                <w:sz w:val="24"/>
                <w:highlight w:val="none"/>
                <w:lang w:val="en-US" w:eastAsia="zh-CN"/>
              </w:rPr>
              <w:t>吸附剂</w:t>
            </w:r>
            <w:r>
              <w:rPr>
                <w:rFonts w:hint="default" w:ascii="Times New Roman" w:hAnsi="Times New Roman" w:eastAsia="宋体" w:cs="Times New Roman"/>
                <w:color w:val="auto"/>
                <w:sz w:val="24"/>
                <w:highlight w:val="none"/>
                <w:lang w:val="en-US" w:eastAsia="zh-CN"/>
              </w:rPr>
              <w:t>可吸附0.</w:t>
            </w:r>
            <w:r>
              <w:rPr>
                <w:rFonts w:hint="eastAsia" w:ascii="Times New Roman" w:hAnsi="Times New Roman"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kg的</w:t>
            </w:r>
            <w:r>
              <w:rPr>
                <w:rFonts w:hint="eastAsia" w:ascii="Times New Roman" w:hAnsi="Times New Roman" w:cs="Times New Roman"/>
                <w:color w:val="auto"/>
                <w:sz w:val="24"/>
                <w:highlight w:val="none"/>
                <w:lang w:val="en-US" w:eastAsia="zh-CN"/>
              </w:rPr>
              <w:t>无机</w:t>
            </w:r>
            <w:r>
              <w:rPr>
                <w:rFonts w:hint="default" w:ascii="Times New Roman" w:hAnsi="Times New Roman" w:eastAsia="宋体" w:cs="Times New Roman"/>
                <w:color w:val="auto"/>
                <w:sz w:val="24"/>
                <w:highlight w:val="none"/>
                <w:lang w:val="en-US" w:eastAsia="zh-CN"/>
              </w:rPr>
              <w:t>废气，项目</w:t>
            </w:r>
            <w:r>
              <w:rPr>
                <w:rFonts w:hint="eastAsia" w:ascii="Times New Roman" w:hAnsi="Times New Roman" w:cs="Times New Roman"/>
                <w:color w:val="auto"/>
                <w:sz w:val="24"/>
                <w:highlight w:val="none"/>
                <w:lang w:val="en-US" w:eastAsia="zh-CN"/>
              </w:rPr>
              <w:t>无机废气</w:t>
            </w:r>
            <w:r>
              <w:rPr>
                <w:rFonts w:hint="default" w:ascii="Times New Roman" w:hAnsi="Times New Roman" w:eastAsia="宋体" w:cs="Times New Roman"/>
                <w:color w:val="auto"/>
                <w:sz w:val="24"/>
                <w:highlight w:val="none"/>
                <w:lang w:val="en-US" w:eastAsia="zh-CN"/>
              </w:rPr>
              <w:t>的去除量为</w:t>
            </w:r>
            <w:r>
              <w:rPr>
                <w:rFonts w:hint="eastAsia" w:ascii="Times New Roman" w:hAnsi="Times New Roman" w:cs="Times New Roman"/>
                <w:color w:val="auto"/>
                <w:sz w:val="24"/>
                <w:highlight w:val="none"/>
                <w:lang w:val="en-US" w:eastAsia="zh-CN"/>
              </w:rPr>
              <w:t>0.4809</w:t>
            </w:r>
            <w:r>
              <w:rPr>
                <w:rFonts w:hint="default" w:ascii="Times New Roman" w:hAnsi="Times New Roman" w:eastAsia="宋体" w:cs="Times New Roman"/>
                <w:color w:val="auto"/>
                <w:sz w:val="24"/>
                <w:highlight w:val="none"/>
                <w:lang w:val="en-US" w:eastAsia="zh-CN"/>
              </w:rPr>
              <w:t>kg/a，经计算共需</w:t>
            </w:r>
            <w:r>
              <w:rPr>
                <w:rFonts w:hint="eastAsia" w:ascii="Times New Roman" w:hAnsi="Times New Roman" w:cs="Times New Roman"/>
                <w:color w:val="auto"/>
                <w:sz w:val="24"/>
                <w:highlight w:val="none"/>
                <w:lang w:val="en-US" w:eastAsia="zh-CN"/>
              </w:rPr>
              <w:t xml:space="preserve">吸附剂4.809 </w:t>
            </w:r>
            <w:r>
              <w:rPr>
                <w:rFonts w:hint="default" w:ascii="Times New Roman" w:hAnsi="Times New Roman" w:eastAsia="宋体" w:cs="Times New Roman"/>
                <w:color w:val="auto"/>
                <w:sz w:val="24"/>
                <w:highlight w:val="none"/>
                <w:lang w:val="en-US" w:eastAsia="zh-CN"/>
              </w:rPr>
              <w:t>kg/a。</w:t>
            </w:r>
            <w:r>
              <w:rPr>
                <w:rFonts w:hint="eastAsia" w:cs="Times New Roman"/>
                <w:color w:val="auto"/>
                <w:sz w:val="24"/>
                <w:highlight w:val="none"/>
                <w:lang w:val="en-US" w:eastAsia="zh-CN"/>
              </w:rPr>
              <w:t>本项目拟采用的干式过滤器酸碱吸附箱体内腔体积分别为0.1m</w:t>
            </w:r>
            <w:r>
              <w:rPr>
                <w:rFonts w:hint="eastAsia" w:cs="Times New Roman"/>
                <w:color w:val="auto"/>
                <w:sz w:val="24"/>
                <w:highlight w:val="none"/>
                <w:vertAlign w:val="superscript"/>
                <w:lang w:val="en-US" w:eastAsia="zh-CN"/>
              </w:rPr>
              <w:t>3</w:t>
            </w:r>
            <w:r>
              <w:rPr>
                <w:rFonts w:hint="eastAsia" w:cs="Times New Roman"/>
                <w:color w:val="auto"/>
                <w:sz w:val="24"/>
                <w:highlight w:val="none"/>
                <w:vertAlign w:val="baseline"/>
                <w:lang w:val="en-US" w:eastAsia="zh-CN"/>
              </w:rPr>
              <w:t>，</w:t>
            </w:r>
            <w:r>
              <w:rPr>
                <w:rFonts w:hint="eastAsia" w:ascii="Times New Roman" w:hAnsi="Times New Roman" w:cs="Times New Roman"/>
                <w:color w:val="auto"/>
                <w:sz w:val="24"/>
                <w:highlight w:val="none"/>
                <w:lang w:val="en-US" w:eastAsia="zh-CN"/>
              </w:rPr>
              <w:t>吸附剂</w:t>
            </w:r>
            <w:r>
              <w:rPr>
                <w:rFonts w:hint="eastAsia" w:ascii="Times New Roman" w:hAnsi="Times New Roman" w:eastAsia="宋体" w:cs="Times New Roman"/>
                <w:color w:val="auto"/>
                <w:sz w:val="24"/>
                <w:highlight w:val="none"/>
                <w:lang w:val="en-US" w:eastAsia="zh-CN"/>
              </w:rPr>
              <w:t>密度0.</w:t>
            </w:r>
            <w:r>
              <w:rPr>
                <w:rFonts w:hint="eastAsia" w:ascii="Times New Roman" w:hAnsi="Times New Roman" w:cs="Times New Roman"/>
                <w:color w:val="auto"/>
                <w:sz w:val="24"/>
                <w:highlight w:val="none"/>
                <w:lang w:val="en-US" w:eastAsia="zh-CN"/>
              </w:rPr>
              <w:t>45</w:t>
            </w:r>
            <w:r>
              <w:rPr>
                <w:rFonts w:hint="eastAsia" w:ascii="Times New Roman" w:hAnsi="Times New Roman" w:eastAsia="宋体" w:cs="Times New Roman"/>
                <w:color w:val="auto"/>
                <w:sz w:val="24"/>
                <w:highlight w:val="none"/>
                <w:lang w:val="en-US" w:eastAsia="zh-CN"/>
              </w:rPr>
              <w:t>t/m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，则全部</w:t>
            </w:r>
            <w:r>
              <w:rPr>
                <w:rFonts w:hint="eastAsia" w:ascii="Times New Roman" w:hAnsi="Times New Roman" w:cs="Times New Roman"/>
                <w:color w:val="auto"/>
                <w:sz w:val="24"/>
                <w:highlight w:val="none"/>
                <w:lang w:val="en-US" w:eastAsia="zh-CN"/>
              </w:rPr>
              <w:t>吸吸附剂</w:t>
            </w:r>
            <w:r>
              <w:rPr>
                <w:rFonts w:hint="eastAsia" w:ascii="Times New Roman" w:hAnsi="Times New Roman" w:eastAsia="宋体" w:cs="Times New Roman"/>
                <w:color w:val="auto"/>
                <w:sz w:val="24"/>
                <w:highlight w:val="none"/>
                <w:lang w:val="en-US" w:eastAsia="zh-CN"/>
              </w:rPr>
              <w:t>填充量为</w:t>
            </w:r>
            <w:r>
              <w:rPr>
                <w:rFonts w:hint="eastAsia" w:ascii="Times New Roman" w:hAnsi="Times New Roman" w:cs="Times New Roman"/>
                <w:color w:val="auto"/>
                <w:sz w:val="24"/>
                <w:highlight w:val="none"/>
                <w:lang w:val="en-US" w:eastAsia="zh-CN"/>
              </w:rPr>
              <w:t>90</w:t>
            </w:r>
            <w:r>
              <w:rPr>
                <w:rFonts w:hint="eastAsia" w:ascii="Times New Roman" w:hAnsi="Times New Roman" w:eastAsia="宋体" w:cs="Times New Roman"/>
                <w:color w:val="auto"/>
                <w:sz w:val="24"/>
                <w:highlight w:val="none"/>
                <w:lang w:val="en-US" w:eastAsia="zh-CN"/>
              </w:rPr>
              <w:t>kg</w:t>
            </w:r>
            <w:r>
              <w:rPr>
                <w:rFonts w:hint="eastAsia" w:ascii="Times New Roman" w:hAnsi="Times New Roman" w:cs="Times New Roman"/>
                <w:color w:val="auto"/>
                <w:sz w:val="24"/>
                <w:highlight w:val="none"/>
                <w:lang w:val="en-US" w:eastAsia="zh-CN"/>
              </w:rPr>
              <w:t>，吸附剂</w:t>
            </w:r>
            <w:r>
              <w:rPr>
                <w:rFonts w:hint="default" w:ascii="Times New Roman" w:hAnsi="Times New Roman" w:eastAsia="宋体" w:cs="Times New Roman"/>
                <w:color w:val="auto"/>
                <w:sz w:val="24"/>
                <w:highlight w:val="none"/>
                <w:lang w:val="en-US" w:eastAsia="zh-CN"/>
              </w:rPr>
              <w:t>每半年更换1次，</w:t>
            </w:r>
            <w:r>
              <w:rPr>
                <w:rFonts w:hint="eastAsia" w:ascii="Times New Roman" w:hAnsi="Times New Roman" w:cs="Times New Roman"/>
                <w:color w:val="auto"/>
                <w:sz w:val="24"/>
                <w:highlight w:val="none"/>
                <w:lang w:val="en-US" w:eastAsia="zh-CN"/>
              </w:rPr>
              <w:t>吸附剂的</w:t>
            </w:r>
            <w:r>
              <w:rPr>
                <w:rFonts w:hint="eastAsia" w:ascii="Times New Roman" w:hAnsi="Times New Roman" w:eastAsia="宋体" w:cs="Times New Roman"/>
                <w:color w:val="auto"/>
                <w:sz w:val="24"/>
                <w:highlight w:val="none"/>
                <w:lang w:val="en-US" w:eastAsia="zh-CN"/>
              </w:rPr>
              <w:t>装填量完全满足本项目废气处理的需要。</w:t>
            </w:r>
            <w:r>
              <w:rPr>
                <w:rFonts w:hint="eastAsia" w:ascii="Times New Roman" w:hAnsi="Times New Roman" w:cs="Times New Roman"/>
                <w:color w:val="auto"/>
                <w:sz w:val="24"/>
                <w:highlight w:val="none"/>
                <w:lang w:val="en-US" w:eastAsia="zh-CN"/>
              </w:rPr>
              <w:t>综上，</w:t>
            </w:r>
            <w:r>
              <w:rPr>
                <w:rFonts w:hint="eastAsia" w:ascii="Times New Roman" w:hAnsi="Times New Roman" w:eastAsia="宋体" w:cs="Times New Roman"/>
                <w:color w:val="auto"/>
                <w:sz w:val="24"/>
                <w:highlight w:val="none"/>
                <w:lang w:val="en-US" w:eastAsia="zh-CN"/>
              </w:rPr>
              <w:t>本</w:t>
            </w:r>
            <w:r>
              <w:rPr>
                <w:rFonts w:hint="default" w:ascii="Times New Roman" w:hAnsi="Times New Roman" w:eastAsia="宋体" w:cs="Times New Roman"/>
                <w:color w:val="auto"/>
                <w:sz w:val="24"/>
                <w:highlight w:val="none"/>
                <w:lang w:val="en-US" w:eastAsia="zh-CN"/>
              </w:rPr>
              <w:t>项目</w:t>
            </w:r>
            <w:r>
              <w:rPr>
                <w:rFonts w:hint="eastAsia" w:cs="Times New Roman"/>
                <w:color w:val="auto"/>
                <w:sz w:val="24"/>
                <w:highlight w:val="none"/>
                <w:lang w:val="en-US" w:eastAsia="zh-CN"/>
              </w:rPr>
              <w:t>完成后，公司</w:t>
            </w:r>
            <w:r>
              <w:rPr>
                <w:rFonts w:hint="default" w:ascii="Times New Roman" w:hAnsi="Times New Roman" w:eastAsia="宋体" w:cs="Times New Roman"/>
                <w:color w:val="auto"/>
                <w:sz w:val="24"/>
                <w:highlight w:val="none"/>
                <w:lang w:val="en-US" w:eastAsia="zh-CN"/>
              </w:rPr>
              <w:t>废</w:t>
            </w:r>
            <w:r>
              <w:rPr>
                <w:rFonts w:hint="eastAsia" w:ascii="Times New Roman" w:hAnsi="Times New Roman" w:eastAsia="宋体" w:cs="Times New Roman"/>
                <w:color w:val="auto"/>
                <w:sz w:val="24"/>
                <w:highlight w:val="none"/>
                <w:lang w:val="en-US" w:eastAsia="zh-CN"/>
              </w:rPr>
              <w:t>吸附剂</w:t>
            </w:r>
            <w:r>
              <w:rPr>
                <w:rFonts w:hint="eastAsia" w:ascii="Times New Roman" w:hAnsi="Times New Roman" w:cs="Times New Roman"/>
                <w:color w:val="auto"/>
                <w:sz w:val="24"/>
                <w:highlight w:val="none"/>
                <w:lang w:val="en-US" w:eastAsia="zh-CN"/>
              </w:rPr>
              <w:t>的产生量</w:t>
            </w:r>
            <w:r>
              <w:rPr>
                <w:rFonts w:hint="default" w:ascii="Times New Roman" w:hAnsi="Times New Roman" w:eastAsia="宋体" w:cs="Times New Roman"/>
                <w:color w:val="auto"/>
                <w:sz w:val="24"/>
                <w:highlight w:val="none"/>
                <w:lang w:val="en-US" w:eastAsia="zh-CN"/>
              </w:rPr>
              <w:t>约</w:t>
            </w:r>
            <w:r>
              <w:rPr>
                <w:rFonts w:hint="eastAsia" w:cs="Times New Roman"/>
                <w:color w:val="auto"/>
                <w:sz w:val="24"/>
                <w:highlight w:val="none"/>
                <w:lang w:val="en-US" w:eastAsia="zh-CN"/>
              </w:rPr>
              <w:t>180.5</w:t>
            </w:r>
            <w:r>
              <w:rPr>
                <w:rFonts w:hint="default" w:ascii="Times New Roman" w:hAnsi="Times New Roman" w:eastAsia="宋体" w:cs="Times New Roman"/>
                <w:color w:val="auto"/>
                <w:sz w:val="24"/>
                <w:highlight w:val="none"/>
                <w:lang w:val="en-US" w:eastAsia="zh-CN"/>
              </w:rPr>
              <w:t>kg/a（</w:t>
            </w:r>
            <w:r>
              <w:rPr>
                <w:rFonts w:hint="eastAsia" w:ascii="Times New Roman" w:hAnsi="Times New Roman" w:eastAsia="宋体" w:cs="Times New Roman"/>
                <w:color w:val="auto"/>
                <w:sz w:val="24"/>
                <w:highlight w:val="none"/>
                <w:lang w:val="en-US" w:eastAsia="zh-CN"/>
              </w:rPr>
              <w:t>0.</w:t>
            </w:r>
            <w:r>
              <w:rPr>
                <w:rFonts w:hint="eastAsia" w:cs="Times New Roman"/>
                <w:color w:val="auto"/>
                <w:sz w:val="24"/>
                <w:highlight w:val="none"/>
                <w:lang w:val="en-US" w:eastAsia="zh-CN"/>
              </w:rPr>
              <w:t>181</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eastAsia="宋体" w:cs="Times New Roman"/>
                <w:color w:val="auto"/>
                <w:sz w:val="24"/>
                <w:highlight w:val="none"/>
                <w:lang w:val="en-US" w:eastAsia="zh-CN"/>
              </w:rPr>
              <w:t>。</w:t>
            </w:r>
          </w:p>
          <w:p w14:paraId="5B866C79">
            <w:pPr>
              <w:adjustRightIn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综上，本项目</w:t>
            </w:r>
            <w:r>
              <w:rPr>
                <w:rFonts w:hint="eastAsia" w:cs="Times New Roman"/>
                <w:color w:val="auto"/>
                <w:sz w:val="24"/>
                <w:highlight w:val="none"/>
                <w:lang w:val="en-US" w:eastAsia="zh-CN"/>
              </w:rPr>
              <w:t>采用干式过滤器治理技术属于可行性技术</w:t>
            </w:r>
            <w:r>
              <w:rPr>
                <w:rFonts w:hint="default" w:ascii="Times New Roman" w:hAnsi="Times New Roman" w:eastAsia="宋体" w:cs="Times New Roman"/>
                <w:color w:val="auto"/>
                <w:sz w:val="24"/>
                <w:highlight w:val="none"/>
                <w:lang w:val="en-US" w:eastAsia="zh-CN"/>
              </w:rPr>
              <w:t>。</w:t>
            </w:r>
          </w:p>
          <w:p w14:paraId="507F9A55">
            <w:pPr>
              <w:numPr>
                <w:ilvl w:val="0"/>
                <w:numId w:val="0"/>
              </w:numPr>
              <w:adjustRightInd w:val="0"/>
              <w:snapToGrid w:val="0"/>
              <w:spacing w:line="360" w:lineRule="auto"/>
              <w:ind w:leftChars="200"/>
              <w:rPr>
                <w:rFonts w:hint="default"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val="en-US" w:eastAsia="zh-CN"/>
              </w:rPr>
              <w:t>废气达标</w:t>
            </w:r>
            <w:r>
              <w:rPr>
                <w:rFonts w:hint="eastAsia" w:cs="Times New Roman"/>
                <w:b/>
                <w:bCs/>
                <w:color w:val="auto"/>
                <w:sz w:val="24"/>
                <w:highlight w:val="none"/>
                <w:lang w:val="en-US" w:eastAsia="zh-CN"/>
              </w:rPr>
              <w:t>排放</w:t>
            </w:r>
            <w:r>
              <w:rPr>
                <w:rFonts w:hint="default" w:ascii="Times New Roman" w:hAnsi="Times New Roman" w:eastAsia="宋体" w:cs="Times New Roman"/>
                <w:b/>
                <w:bCs/>
                <w:color w:val="auto"/>
                <w:sz w:val="24"/>
                <w:highlight w:val="none"/>
                <w:lang w:val="en-US" w:eastAsia="zh-CN"/>
              </w:rPr>
              <w:t>分析</w:t>
            </w:r>
          </w:p>
          <w:p w14:paraId="281FD8B5">
            <w:pPr>
              <w:adjustRightIn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eastAsia="宋体" w:cs="Times New Roman"/>
                <w:color w:val="auto"/>
                <w:sz w:val="24"/>
                <w:highlight w:val="none"/>
                <w:lang w:val="en-US" w:eastAsia="zh-CN"/>
              </w:rPr>
              <w:t>本项目为扩建项目，</w:t>
            </w:r>
            <w:r>
              <w:rPr>
                <w:rFonts w:hint="eastAsia" w:ascii="Times New Roman" w:hAnsi="Times New Roman" w:eastAsia="宋体" w:cs="Times New Roman"/>
                <w:color w:val="auto"/>
                <w:sz w:val="24"/>
                <w:highlight w:val="none"/>
                <w:lang w:val="en-US" w:eastAsia="zh-CN"/>
              </w:rPr>
              <w:t>本评价将</w:t>
            </w:r>
            <w:r>
              <w:rPr>
                <w:rFonts w:hint="eastAsia" w:cs="Times New Roman"/>
                <w:color w:val="auto"/>
                <w:sz w:val="24"/>
                <w:highlight w:val="none"/>
                <w:lang w:val="en-US" w:eastAsia="zh-CN"/>
              </w:rPr>
              <w:t>本</w:t>
            </w:r>
            <w:r>
              <w:rPr>
                <w:rFonts w:hint="eastAsia" w:eastAsia="宋体" w:cs="Times New Roman"/>
                <w:color w:val="auto"/>
                <w:sz w:val="24"/>
                <w:highlight w:val="none"/>
                <w:lang w:val="en-US" w:eastAsia="zh-CN"/>
              </w:rPr>
              <w:t>项目</w:t>
            </w:r>
            <w:r>
              <w:rPr>
                <w:rFonts w:hint="eastAsia" w:ascii="Times New Roman" w:hAnsi="Times New Roman" w:eastAsia="宋体" w:cs="Times New Roman"/>
                <w:color w:val="auto"/>
                <w:sz w:val="24"/>
                <w:highlight w:val="none"/>
                <w:lang w:val="en-US" w:eastAsia="zh-CN"/>
              </w:rPr>
              <w:t>叠加现有</w:t>
            </w:r>
            <w:r>
              <w:rPr>
                <w:rFonts w:hint="eastAsia" w:eastAsia="宋体" w:cs="Times New Roman"/>
                <w:color w:val="auto"/>
                <w:sz w:val="24"/>
                <w:highlight w:val="none"/>
                <w:lang w:val="en-US" w:eastAsia="zh-CN"/>
              </w:rPr>
              <w:t>项目的</w:t>
            </w:r>
            <w:r>
              <w:rPr>
                <w:rFonts w:hint="eastAsia" w:ascii="Times New Roman" w:hAnsi="Times New Roman" w:eastAsia="宋体" w:cs="Times New Roman"/>
                <w:color w:val="auto"/>
                <w:sz w:val="24"/>
                <w:highlight w:val="none"/>
                <w:lang w:val="en-US" w:eastAsia="zh-CN"/>
              </w:rPr>
              <w:t xml:space="preserve">排放量进行分析，分析结果见下表。 </w:t>
            </w:r>
          </w:p>
          <w:p w14:paraId="186C93F2">
            <w:pPr>
              <w:keepNext w:val="0"/>
              <w:keepLines w:val="0"/>
              <w:widowControl/>
              <w:numPr>
                <w:ilvl w:val="0"/>
                <w:numId w:val="40"/>
              </w:numPr>
              <w:suppressLineNumbers w:val="0"/>
              <w:ind w:left="425" w:leftChars="0" w:hanging="425" w:firstLineChars="0"/>
              <w:jc w:val="center"/>
              <w:rPr>
                <w:rFonts w:hint="default" w:ascii="Times New Roman" w:hAnsi="Times New Roman" w:eastAsia="宋体" w:cs="Times New Roman"/>
                <w:color w:val="auto"/>
                <w:sz w:val="24"/>
                <w:highlight w:val="none"/>
                <w:lang w:val="en-US" w:eastAsia="zh-CN"/>
              </w:rPr>
            </w:pPr>
            <w:r>
              <w:rPr>
                <w:rFonts w:hint="eastAsia" w:cs="Times New Roman"/>
                <w:b/>
                <w:bCs/>
                <w:color w:val="auto"/>
                <w:sz w:val="24"/>
                <w:highlight w:val="none"/>
                <w:lang w:val="en-US" w:eastAsia="zh-CN"/>
              </w:rPr>
              <w:t>本</w:t>
            </w:r>
            <w:r>
              <w:rPr>
                <w:rFonts w:hint="eastAsia" w:ascii="Times New Roman" w:hAnsi="Times New Roman" w:eastAsia="宋体" w:cs="Times New Roman"/>
                <w:b/>
                <w:bCs/>
                <w:color w:val="auto"/>
                <w:sz w:val="24"/>
                <w:highlight w:val="none"/>
                <w:lang w:val="en-US" w:eastAsia="zh-CN"/>
              </w:rPr>
              <w:t>项目建成后大气污染物达标排放分析</w:t>
            </w:r>
          </w:p>
          <w:tbl>
            <w:tblPr>
              <w:tblStyle w:val="24"/>
              <w:tblW w:w="49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0"/>
              <w:gridCol w:w="1135"/>
              <w:gridCol w:w="1074"/>
              <w:gridCol w:w="1074"/>
              <w:gridCol w:w="1074"/>
              <w:gridCol w:w="1075"/>
              <w:gridCol w:w="1075"/>
            </w:tblGrid>
            <w:tr w14:paraId="159225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641" w:type="dxa"/>
                  <w:vMerge w:val="restart"/>
                  <w:tcBorders>
                    <w:tl2br w:val="nil"/>
                    <w:tr2bl w:val="nil"/>
                  </w:tcBorders>
                  <w:vAlign w:val="center"/>
                </w:tcPr>
                <w:p w14:paraId="5BC412B4">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排气筒</w:t>
                  </w:r>
                </w:p>
              </w:tc>
              <w:tc>
                <w:tcPr>
                  <w:tcW w:w="800" w:type="dxa"/>
                  <w:vMerge w:val="restart"/>
                  <w:tcBorders>
                    <w:tl2br w:val="nil"/>
                    <w:tr2bl w:val="nil"/>
                  </w:tcBorders>
                  <w:vAlign w:val="center"/>
                </w:tcPr>
                <w:p w14:paraId="62E335B5">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污染物</w:t>
                  </w:r>
                </w:p>
              </w:tc>
              <w:tc>
                <w:tcPr>
                  <w:tcW w:w="1514" w:type="dxa"/>
                  <w:gridSpan w:val="2"/>
                  <w:tcBorders>
                    <w:tl2br w:val="nil"/>
                    <w:tr2bl w:val="nil"/>
                  </w:tcBorders>
                  <w:vAlign w:val="center"/>
                </w:tcPr>
                <w:p w14:paraId="558A8E59">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排放情况</w:t>
                  </w:r>
                </w:p>
              </w:tc>
              <w:tc>
                <w:tcPr>
                  <w:tcW w:w="1514" w:type="dxa"/>
                  <w:gridSpan w:val="2"/>
                  <w:tcBorders>
                    <w:tl2br w:val="nil"/>
                    <w:tr2bl w:val="nil"/>
                  </w:tcBorders>
                  <w:vAlign w:val="center"/>
                </w:tcPr>
                <w:p w14:paraId="0B807058">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执行标准</w:t>
                  </w:r>
                </w:p>
              </w:tc>
              <w:tc>
                <w:tcPr>
                  <w:tcW w:w="757" w:type="dxa"/>
                  <w:vMerge w:val="restart"/>
                  <w:tcBorders>
                    <w:tl2br w:val="nil"/>
                    <w:tr2bl w:val="nil"/>
                  </w:tcBorders>
                  <w:vAlign w:val="center"/>
                </w:tcPr>
                <w:p w14:paraId="129918F4">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达标情况</w:t>
                  </w:r>
                </w:p>
              </w:tc>
            </w:tr>
            <w:tr w14:paraId="13E288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vMerge w:val="continue"/>
                  <w:tcBorders>
                    <w:tl2br w:val="nil"/>
                    <w:tr2bl w:val="nil"/>
                  </w:tcBorders>
                  <w:vAlign w:val="center"/>
                </w:tcPr>
                <w:p w14:paraId="3F336975">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800" w:type="dxa"/>
                  <w:vMerge w:val="continue"/>
                  <w:tcBorders>
                    <w:tl2br w:val="nil"/>
                    <w:tr2bl w:val="nil"/>
                  </w:tcBorders>
                  <w:vAlign w:val="center"/>
                </w:tcPr>
                <w:p w14:paraId="5B7F9A6F">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757" w:type="dxa"/>
                  <w:tcBorders>
                    <w:tl2br w:val="nil"/>
                    <w:tr2bl w:val="nil"/>
                  </w:tcBorders>
                  <w:vAlign w:val="center"/>
                </w:tcPr>
                <w:p w14:paraId="372DB831">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浓度g/m</w:t>
                  </w:r>
                  <w:r>
                    <w:rPr>
                      <w:rFonts w:hint="default" w:ascii="Times New Roman" w:hAnsi="Times New Roman" w:eastAsia="宋体" w:cs="Times New Roman"/>
                      <w:b/>
                      <w:bCs/>
                      <w:color w:val="auto"/>
                      <w:kern w:val="0"/>
                      <w:sz w:val="21"/>
                      <w:szCs w:val="21"/>
                      <w:highlight w:val="none"/>
                      <w:vertAlign w:val="superscript"/>
                      <w:lang w:val="en-US" w:eastAsia="zh-CN"/>
                    </w:rPr>
                    <w:t>3</w:t>
                  </w:r>
                </w:p>
              </w:tc>
              <w:tc>
                <w:tcPr>
                  <w:tcW w:w="757" w:type="dxa"/>
                  <w:tcBorders>
                    <w:tl2br w:val="nil"/>
                    <w:tr2bl w:val="nil"/>
                  </w:tcBorders>
                  <w:vAlign w:val="center"/>
                </w:tcPr>
                <w:p w14:paraId="16345048">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速率kg/h</w:t>
                  </w:r>
                </w:p>
              </w:tc>
              <w:tc>
                <w:tcPr>
                  <w:tcW w:w="757" w:type="dxa"/>
                  <w:tcBorders>
                    <w:tl2br w:val="nil"/>
                    <w:tr2bl w:val="nil"/>
                  </w:tcBorders>
                  <w:vAlign w:val="center"/>
                </w:tcPr>
                <w:p w14:paraId="41DB836C">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浓度g/m</w:t>
                  </w:r>
                  <w:r>
                    <w:rPr>
                      <w:rFonts w:hint="default" w:ascii="Times New Roman" w:hAnsi="Times New Roman" w:eastAsia="宋体" w:cs="Times New Roman"/>
                      <w:b/>
                      <w:bCs/>
                      <w:color w:val="auto"/>
                      <w:kern w:val="0"/>
                      <w:sz w:val="21"/>
                      <w:szCs w:val="21"/>
                      <w:highlight w:val="none"/>
                      <w:vertAlign w:val="superscript"/>
                      <w:lang w:val="en-US" w:eastAsia="zh-CN"/>
                    </w:rPr>
                    <w:t>3</w:t>
                  </w:r>
                </w:p>
              </w:tc>
              <w:tc>
                <w:tcPr>
                  <w:tcW w:w="757" w:type="dxa"/>
                  <w:tcBorders>
                    <w:tl2br w:val="nil"/>
                    <w:tr2bl w:val="nil"/>
                  </w:tcBorders>
                  <w:vAlign w:val="center"/>
                </w:tcPr>
                <w:p w14:paraId="0EFD4253">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速率kg/h</w:t>
                  </w:r>
                </w:p>
              </w:tc>
              <w:tc>
                <w:tcPr>
                  <w:tcW w:w="757" w:type="dxa"/>
                  <w:vMerge w:val="continue"/>
                  <w:tcBorders>
                    <w:tl2br w:val="nil"/>
                    <w:tr2bl w:val="nil"/>
                  </w:tcBorders>
                  <w:vAlign w:val="center"/>
                </w:tcPr>
                <w:p w14:paraId="27C79406">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r>
            <w:tr w14:paraId="668D4D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641" w:type="dxa"/>
                  <w:vMerge w:val="restart"/>
                  <w:tcBorders>
                    <w:tl2br w:val="nil"/>
                    <w:tr2bl w:val="nil"/>
                  </w:tcBorders>
                  <w:vAlign w:val="center"/>
                </w:tcPr>
                <w:p w14:paraId="548A3F28">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DA</w:t>
                  </w:r>
                </w:p>
                <w:p w14:paraId="6ACF94E6">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001</w:t>
                  </w:r>
                </w:p>
              </w:tc>
              <w:tc>
                <w:tcPr>
                  <w:tcW w:w="800" w:type="dxa"/>
                  <w:tcBorders>
                    <w:tl2br w:val="nil"/>
                    <w:tr2bl w:val="nil"/>
                  </w:tcBorders>
                  <w:shd w:val="clear" w:color="auto" w:fill="auto"/>
                  <w:vAlign w:val="center"/>
                </w:tcPr>
                <w:p w14:paraId="2D18AFF7">
                  <w:pPr>
                    <w:spacing w:before="51" w:line="227"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SA"/>
                    </w:rPr>
                    <w:t>甲醇</w:t>
                  </w:r>
                </w:p>
              </w:tc>
              <w:tc>
                <w:tcPr>
                  <w:tcW w:w="757" w:type="dxa"/>
                  <w:tcBorders>
                    <w:tl2br w:val="nil"/>
                    <w:tr2bl w:val="nil"/>
                  </w:tcBorders>
                  <w:vAlign w:val="center"/>
                </w:tcPr>
                <w:p w14:paraId="0A113168">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0.01 </w:t>
                  </w:r>
                </w:p>
              </w:tc>
              <w:tc>
                <w:tcPr>
                  <w:tcW w:w="757" w:type="dxa"/>
                  <w:tcBorders>
                    <w:tl2br w:val="nil"/>
                    <w:tr2bl w:val="nil"/>
                  </w:tcBorders>
                  <w:vAlign w:val="center"/>
                </w:tcPr>
                <w:p w14:paraId="7356AD1D">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0.0001 </w:t>
                  </w:r>
                </w:p>
              </w:tc>
              <w:tc>
                <w:tcPr>
                  <w:tcW w:w="757" w:type="dxa"/>
                  <w:tcBorders>
                    <w:tl2br w:val="nil"/>
                    <w:tr2bl w:val="nil"/>
                  </w:tcBorders>
                  <w:vAlign w:val="center"/>
                </w:tcPr>
                <w:p w14:paraId="33356F7D">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50</w:t>
                  </w:r>
                </w:p>
              </w:tc>
              <w:tc>
                <w:tcPr>
                  <w:tcW w:w="757" w:type="dxa"/>
                  <w:tcBorders>
                    <w:tl2br w:val="nil"/>
                    <w:tr2bl w:val="nil"/>
                  </w:tcBorders>
                  <w:vAlign w:val="center"/>
                </w:tcPr>
                <w:p w14:paraId="2635AC6D">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1.3</w:t>
                  </w:r>
                </w:p>
              </w:tc>
              <w:tc>
                <w:tcPr>
                  <w:tcW w:w="757" w:type="dxa"/>
                  <w:tcBorders>
                    <w:tl2br w:val="nil"/>
                    <w:tr2bl w:val="nil"/>
                  </w:tcBorders>
                  <w:vAlign w:val="center"/>
                </w:tcPr>
                <w:p w14:paraId="532F61B5">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达标</w:t>
                  </w:r>
                </w:p>
              </w:tc>
            </w:tr>
            <w:tr w14:paraId="2B3C10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vMerge w:val="continue"/>
                  <w:tcBorders>
                    <w:tl2br w:val="nil"/>
                    <w:tr2bl w:val="nil"/>
                  </w:tcBorders>
                  <w:vAlign w:val="center"/>
                </w:tcPr>
                <w:p w14:paraId="0B63F01E">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800" w:type="dxa"/>
                  <w:tcBorders>
                    <w:tl2br w:val="nil"/>
                    <w:tr2bl w:val="nil"/>
                  </w:tcBorders>
                  <w:shd w:val="clear" w:color="auto" w:fill="auto"/>
                  <w:vAlign w:val="center"/>
                </w:tcPr>
                <w:p w14:paraId="0BA2EA68">
                  <w:pPr>
                    <w:spacing w:before="53" w:line="228"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eastAsia="宋体" w:cs="Times New Roman"/>
                      <w:color w:val="auto"/>
                      <w:kern w:val="2"/>
                      <w:sz w:val="21"/>
                      <w:szCs w:val="21"/>
                      <w:highlight w:val="none"/>
                      <w:lang w:val="en-US" w:eastAsia="zh-CN" w:bidi="ar-SA"/>
                    </w:rPr>
                    <w:t>其他A类物质（</w:t>
                  </w:r>
                  <w:r>
                    <w:rPr>
                      <w:rFonts w:hint="default" w:ascii="Times New Roman" w:hAnsi="Times New Roman" w:eastAsia="宋体" w:cs="Times New Roman"/>
                      <w:color w:val="auto"/>
                      <w:kern w:val="2"/>
                      <w:sz w:val="21"/>
                      <w:szCs w:val="21"/>
                      <w:highlight w:val="none"/>
                      <w:lang w:val="en-US" w:eastAsia="zh-CN" w:bidi="ar-SA"/>
                    </w:rPr>
                    <w:t>乙酸</w:t>
                  </w:r>
                  <w:r>
                    <w:rPr>
                      <w:rFonts w:hint="eastAsia" w:eastAsia="宋体" w:cs="Times New Roman"/>
                      <w:color w:val="auto"/>
                      <w:kern w:val="2"/>
                      <w:sz w:val="21"/>
                      <w:szCs w:val="21"/>
                      <w:highlight w:val="none"/>
                      <w:lang w:val="en-US" w:eastAsia="zh-CN" w:bidi="ar-SA"/>
                    </w:rPr>
                    <w:t>）</w:t>
                  </w:r>
                </w:p>
              </w:tc>
              <w:tc>
                <w:tcPr>
                  <w:tcW w:w="757" w:type="dxa"/>
                  <w:tcBorders>
                    <w:tl2br w:val="nil"/>
                    <w:tr2bl w:val="nil"/>
                  </w:tcBorders>
                  <w:vAlign w:val="center"/>
                </w:tcPr>
                <w:p w14:paraId="19C763E9">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757" w:type="dxa"/>
                  <w:tcBorders>
                    <w:tl2br w:val="nil"/>
                    <w:tr2bl w:val="nil"/>
                  </w:tcBorders>
                  <w:vAlign w:val="center"/>
                </w:tcPr>
                <w:p w14:paraId="6E4947B3">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0.0002 </w:t>
                  </w:r>
                </w:p>
              </w:tc>
              <w:tc>
                <w:tcPr>
                  <w:tcW w:w="757" w:type="dxa"/>
                  <w:tcBorders>
                    <w:tl2br w:val="nil"/>
                    <w:tr2bl w:val="nil"/>
                  </w:tcBorders>
                  <w:vAlign w:val="center"/>
                </w:tcPr>
                <w:p w14:paraId="1F1C990C">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20</w:t>
                  </w:r>
                </w:p>
              </w:tc>
              <w:tc>
                <w:tcPr>
                  <w:tcW w:w="757" w:type="dxa"/>
                  <w:tcBorders>
                    <w:tl2br w:val="nil"/>
                    <w:tr2bl w:val="nil"/>
                  </w:tcBorders>
                  <w:vAlign w:val="center"/>
                </w:tcPr>
                <w:p w14:paraId="0C7AE7FD">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w:t>
                  </w:r>
                </w:p>
              </w:tc>
              <w:tc>
                <w:tcPr>
                  <w:tcW w:w="757" w:type="dxa"/>
                  <w:tcBorders>
                    <w:tl2br w:val="nil"/>
                    <w:tr2bl w:val="nil"/>
                  </w:tcBorders>
                  <w:vAlign w:val="center"/>
                </w:tcPr>
                <w:p w14:paraId="502085B6">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达标</w:t>
                  </w:r>
                </w:p>
              </w:tc>
            </w:tr>
            <w:tr w14:paraId="2158D4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vMerge w:val="continue"/>
                  <w:tcBorders>
                    <w:tl2br w:val="nil"/>
                    <w:tr2bl w:val="nil"/>
                  </w:tcBorders>
                  <w:vAlign w:val="center"/>
                </w:tcPr>
                <w:p w14:paraId="4946BA0B">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800" w:type="dxa"/>
                  <w:tcBorders>
                    <w:tl2br w:val="nil"/>
                    <w:tr2bl w:val="nil"/>
                  </w:tcBorders>
                  <w:shd w:val="clear" w:color="auto" w:fill="auto"/>
                  <w:vAlign w:val="center"/>
                </w:tcPr>
                <w:p w14:paraId="3061C8C1">
                  <w:pPr>
                    <w:spacing w:before="53"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olor w:val="auto"/>
                      <w:spacing w:val="6"/>
                      <w:szCs w:val="21"/>
                      <w:highlight w:val="none"/>
                      <w:lang w:val="en-US" w:eastAsia="zh-CN"/>
                    </w:rPr>
                    <w:t>其他C类物质（</w:t>
                  </w:r>
                  <w:r>
                    <w:rPr>
                      <w:rFonts w:hint="default"/>
                      <w:color w:val="auto"/>
                      <w:spacing w:val="6"/>
                      <w:szCs w:val="21"/>
                      <w:highlight w:val="none"/>
                    </w:rPr>
                    <w:t>乙酸乙酯</w:t>
                  </w:r>
                  <w:r>
                    <w:rPr>
                      <w:rFonts w:hint="eastAsia"/>
                      <w:color w:val="auto"/>
                      <w:spacing w:val="6"/>
                      <w:szCs w:val="21"/>
                      <w:highlight w:val="none"/>
                      <w:lang w:val="en-US" w:eastAsia="zh-CN"/>
                    </w:rPr>
                    <w:t>）</w:t>
                  </w:r>
                </w:p>
              </w:tc>
              <w:tc>
                <w:tcPr>
                  <w:tcW w:w="757" w:type="dxa"/>
                  <w:tcBorders>
                    <w:tl2br w:val="nil"/>
                    <w:tr2bl w:val="nil"/>
                  </w:tcBorders>
                  <w:vAlign w:val="center"/>
                </w:tcPr>
                <w:p w14:paraId="42019709">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0.02 </w:t>
                  </w:r>
                </w:p>
              </w:tc>
              <w:tc>
                <w:tcPr>
                  <w:tcW w:w="757" w:type="dxa"/>
                  <w:tcBorders>
                    <w:tl2br w:val="nil"/>
                    <w:tr2bl w:val="nil"/>
                  </w:tcBorders>
                  <w:vAlign w:val="center"/>
                </w:tcPr>
                <w:p w14:paraId="11733A82">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0.0002 </w:t>
                  </w:r>
                </w:p>
              </w:tc>
              <w:tc>
                <w:tcPr>
                  <w:tcW w:w="757" w:type="dxa"/>
                  <w:tcBorders>
                    <w:tl2br w:val="nil"/>
                    <w:tr2bl w:val="nil"/>
                  </w:tcBorders>
                  <w:vAlign w:val="center"/>
                </w:tcPr>
                <w:p w14:paraId="0F5FD468">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80</w:t>
                  </w:r>
                </w:p>
              </w:tc>
              <w:tc>
                <w:tcPr>
                  <w:tcW w:w="757" w:type="dxa"/>
                  <w:tcBorders>
                    <w:tl2br w:val="nil"/>
                    <w:tr2bl w:val="nil"/>
                  </w:tcBorders>
                  <w:vAlign w:val="center"/>
                </w:tcPr>
                <w:p w14:paraId="54A0A056">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w:t>
                  </w:r>
                </w:p>
              </w:tc>
              <w:tc>
                <w:tcPr>
                  <w:tcW w:w="757" w:type="dxa"/>
                  <w:tcBorders>
                    <w:tl2br w:val="nil"/>
                    <w:tr2bl w:val="nil"/>
                  </w:tcBorders>
                  <w:vAlign w:val="center"/>
                </w:tcPr>
                <w:p w14:paraId="075419B1">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达标</w:t>
                  </w:r>
                </w:p>
              </w:tc>
            </w:tr>
            <w:tr w14:paraId="46D457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41" w:type="dxa"/>
                  <w:vMerge w:val="continue"/>
                  <w:tcBorders>
                    <w:tl2br w:val="nil"/>
                    <w:tr2bl w:val="nil"/>
                  </w:tcBorders>
                  <w:vAlign w:val="center"/>
                </w:tcPr>
                <w:p w14:paraId="792C139A">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800" w:type="dxa"/>
                  <w:tcBorders>
                    <w:tl2br w:val="nil"/>
                    <w:tr2bl w:val="nil"/>
                  </w:tcBorders>
                  <w:shd w:val="clear" w:color="auto" w:fill="auto"/>
                  <w:vAlign w:val="center"/>
                </w:tcPr>
                <w:p w14:paraId="785B9853">
                  <w:pPr>
                    <w:spacing w:before="51"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olor w:val="auto"/>
                      <w:spacing w:val="6"/>
                      <w:szCs w:val="21"/>
                      <w:highlight w:val="none"/>
                      <w:lang w:val="en-US" w:eastAsia="zh-CN"/>
                    </w:rPr>
                    <w:t>其他C类物质（</w:t>
                  </w:r>
                  <w:r>
                    <w:rPr>
                      <w:color w:val="auto"/>
                      <w:spacing w:val="-6"/>
                      <w:szCs w:val="21"/>
                      <w:highlight w:val="none"/>
                    </w:rPr>
                    <w:t>乙</w:t>
                  </w:r>
                  <w:r>
                    <w:rPr>
                      <w:color w:val="auto"/>
                      <w:spacing w:val="-5"/>
                      <w:szCs w:val="21"/>
                      <w:highlight w:val="none"/>
                    </w:rPr>
                    <w:t>醚</w:t>
                  </w:r>
                  <w:r>
                    <w:rPr>
                      <w:rFonts w:hint="eastAsia"/>
                      <w:color w:val="auto"/>
                      <w:spacing w:val="6"/>
                      <w:szCs w:val="21"/>
                      <w:highlight w:val="none"/>
                      <w:lang w:val="en-US" w:eastAsia="zh-CN"/>
                    </w:rPr>
                    <w:t>）</w:t>
                  </w:r>
                </w:p>
              </w:tc>
              <w:tc>
                <w:tcPr>
                  <w:tcW w:w="757" w:type="dxa"/>
                  <w:tcBorders>
                    <w:tl2br w:val="nil"/>
                    <w:tr2bl w:val="nil"/>
                  </w:tcBorders>
                  <w:vAlign w:val="center"/>
                </w:tcPr>
                <w:p w14:paraId="07F97323">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0.02 </w:t>
                  </w:r>
                </w:p>
              </w:tc>
              <w:tc>
                <w:tcPr>
                  <w:tcW w:w="757" w:type="dxa"/>
                  <w:tcBorders>
                    <w:tl2br w:val="nil"/>
                    <w:tr2bl w:val="nil"/>
                  </w:tcBorders>
                  <w:vAlign w:val="center"/>
                </w:tcPr>
                <w:p w14:paraId="2BD76A70">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0.0002 </w:t>
                  </w:r>
                </w:p>
              </w:tc>
              <w:tc>
                <w:tcPr>
                  <w:tcW w:w="757" w:type="dxa"/>
                  <w:tcBorders>
                    <w:tl2br w:val="nil"/>
                    <w:tr2bl w:val="nil"/>
                  </w:tcBorders>
                  <w:vAlign w:val="center"/>
                </w:tcPr>
                <w:p w14:paraId="29A17F6F">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80</w:t>
                  </w:r>
                </w:p>
              </w:tc>
              <w:tc>
                <w:tcPr>
                  <w:tcW w:w="757" w:type="dxa"/>
                  <w:tcBorders>
                    <w:tl2br w:val="nil"/>
                    <w:tr2bl w:val="nil"/>
                  </w:tcBorders>
                  <w:vAlign w:val="center"/>
                </w:tcPr>
                <w:p w14:paraId="40AB985B">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w:t>
                  </w:r>
                </w:p>
              </w:tc>
              <w:tc>
                <w:tcPr>
                  <w:tcW w:w="757" w:type="dxa"/>
                  <w:tcBorders>
                    <w:tl2br w:val="nil"/>
                    <w:tr2bl w:val="nil"/>
                  </w:tcBorders>
                  <w:vAlign w:val="center"/>
                </w:tcPr>
                <w:p w14:paraId="7D803608">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达标</w:t>
                  </w:r>
                </w:p>
              </w:tc>
            </w:tr>
            <w:tr w14:paraId="01D280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41" w:type="dxa"/>
                  <w:vMerge w:val="continue"/>
                  <w:tcBorders>
                    <w:tl2br w:val="nil"/>
                    <w:tr2bl w:val="nil"/>
                  </w:tcBorders>
                  <w:vAlign w:val="center"/>
                </w:tcPr>
                <w:p w14:paraId="685729A6">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800" w:type="dxa"/>
                  <w:tcBorders>
                    <w:tl2br w:val="nil"/>
                    <w:tr2bl w:val="nil"/>
                  </w:tcBorders>
                  <w:shd w:val="clear" w:color="auto" w:fill="auto"/>
                  <w:vAlign w:val="center"/>
                </w:tcPr>
                <w:p w14:paraId="190B48BF">
                  <w:pPr>
                    <w:spacing w:before="51"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olor w:val="auto"/>
                      <w:spacing w:val="6"/>
                      <w:szCs w:val="21"/>
                      <w:highlight w:val="none"/>
                      <w:lang w:val="en-US" w:eastAsia="zh-CN"/>
                    </w:rPr>
                    <w:t>其他C类物质（</w:t>
                  </w:r>
                  <w:r>
                    <w:rPr>
                      <w:rFonts w:hint="eastAsia"/>
                      <w:color w:val="auto"/>
                      <w:spacing w:val="-6"/>
                      <w:szCs w:val="21"/>
                      <w:highlight w:val="none"/>
                      <w:lang w:val="en-US" w:eastAsia="zh-CN"/>
                    </w:rPr>
                    <w:t>正己烷</w:t>
                  </w:r>
                  <w:r>
                    <w:rPr>
                      <w:rFonts w:hint="eastAsia"/>
                      <w:color w:val="auto"/>
                      <w:spacing w:val="6"/>
                      <w:szCs w:val="21"/>
                      <w:highlight w:val="none"/>
                      <w:lang w:val="en-US" w:eastAsia="zh-CN"/>
                    </w:rPr>
                    <w:t>）</w:t>
                  </w:r>
                </w:p>
              </w:tc>
              <w:tc>
                <w:tcPr>
                  <w:tcW w:w="757" w:type="dxa"/>
                  <w:tcBorders>
                    <w:tl2br w:val="nil"/>
                    <w:tr2bl w:val="nil"/>
                  </w:tcBorders>
                  <w:vAlign w:val="center"/>
                </w:tcPr>
                <w:p w14:paraId="0578D71C">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0.17 </w:t>
                  </w:r>
                </w:p>
              </w:tc>
              <w:tc>
                <w:tcPr>
                  <w:tcW w:w="757" w:type="dxa"/>
                  <w:tcBorders>
                    <w:tl2br w:val="nil"/>
                    <w:tr2bl w:val="nil"/>
                  </w:tcBorders>
                  <w:vAlign w:val="center"/>
                </w:tcPr>
                <w:p w14:paraId="25EE9BB1">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0.0018 </w:t>
                  </w:r>
                </w:p>
              </w:tc>
              <w:tc>
                <w:tcPr>
                  <w:tcW w:w="757" w:type="dxa"/>
                  <w:tcBorders>
                    <w:tl2br w:val="nil"/>
                    <w:tr2bl w:val="nil"/>
                  </w:tcBorders>
                  <w:vAlign w:val="center"/>
                </w:tcPr>
                <w:p w14:paraId="186FCC7E">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80</w:t>
                  </w:r>
                </w:p>
              </w:tc>
              <w:tc>
                <w:tcPr>
                  <w:tcW w:w="757" w:type="dxa"/>
                  <w:tcBorders>
                    <w:tl2br w:val="nil"/>
                    <w:tr2bl w:val="nil"/>
                  </w:tcBorders>
                  <w:vAlign w:val="center"/>
                </w:tcPr>
                <w:p w14:paraId="6C089C75">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w:t>
                  </w:r>
                </w:p>
              </w:tc>
              <w:tc>
                <w:tcPr>
                  <w:tcW w:w="757" w:type="dxa"/>
                  <w:tcBorders>
                    <w:tl2br w:val="nil"/>
                    <w:tr2bl w:val="nil"/>
                  </w:tcBorders>
                  <w:vAlign w:val="center"/>
                </w:tcPr>
                <w:p w14:paraId="39A5B7C7">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达标</w:t>
                  </w:r>
                </w:p>
              </w:tc>
            </w:tr>
            <w:tr w14:paraId="2E8C21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41" w:type="dxa"/>
                  <w:vMerge w:val="continue"/>
                  <w:tcBorders>
                    <w:tl2br w:val="nil"/>
                    <w:tr2bl w:val="nil"/>
                  </w:tcBorders>
                  <w:vAlign w:val="center"/>
                </w:tcPr>
                <w:p w14:paraId="7B14F8E7">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800" w:type="dxa"/>
                  <w:tcBorders>
                    <w:tl2br w:val="nil"/>
                    <w:tr2bl w:val="nil"/>
                  </w:tcBorders>
                  <w:shd w:val="clear" w:color="auto" w:fill="auto"/>
                  <w:vAlign w:val="center"/>
                </w:tcPr>
                <w:p w14:paraId="5ECA3C09">
                  <w:pPr>
                    <w:spacing w:before="51"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olor w:val="auto"/>
                      <w:spacing w:val="6"/>
                      <w:szCs w:val="21"/>
                      <w:highlight w:val="none"/>
                      <w:lang w:val="en-US" w:eastAsia="zh-CN"/>
                    </w:rPr>
                    <w:t>其他C类物质（</w:t>
                  </w:r>
                  <w:r>
                    <w:rPr>
                      <w:rFonts w:hint="eastAsia"/>
                      <w:color w:val="auto"/>
                      <w:spacing w:val="-6"/>
                      <w:szCs w:val="21"/>
                      <w:highlight w:val="none"/>
                      <w:lang w:val="en-US" w:eastAsia="zh-CN"/>
                    </w:rPr>
                    <w:t>丙酮</w:t>
                  </w:r>
                  <w:r>
                    <w:rPr>
                      <w:rFonts w:hint="eastAsia"/>
                      <w:color w:val="auto"/>
                      <w:spacing w:val="6"/>
                      <w:szCs w:val="21"/>
                      <w:highlight w:val="none"/>
                      <w:lang w:val="en-US" w:eastAsia="zh-CN"/>
                    </w:rPr>
                    <w:t>）</w:t>
                  </w:r>
                </w:p>
              </w:tc>
              <w:tc>
                <w:tcPr>
                  <w:tcW w:w="757" w:type="dxa"/>
                  <w:tcBorders>
                    <w:tl2br w:val="nil"/>
                    <w:tr2bl w:val="nil"/>
                  </w:tcBorders>
                  <w:vAlign w:val="center"/>
                </w:tcPr>
                <w:p w14:paraId="497C46BE">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0.12 </w:t>
                  </w:r>
                </w:p>
              </w:tc>
              <w:tc>
                <w:tcPr>
                  <w:tcW w:w="757" w:type="dxa"/>
                  <w:tcBorders>
                    <w:tl2br w:val="nil"/>
                    <w:tr2bl w:val="nil"/>
                  </w:tcBorders>
                  <w:vAlign w:val="center"/>
                </w:tcPr>
                <w:p w14:paraId="39787B62">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0.0013 </w:t>
                  </w:r>
                </w:p>
              </w:tc>
              <w:tc>
                <w:tcPr>
                  <w:tcW w:w="757" w:type="dxa"/>
                  <w:tcBorders>
                    <w:tl2br w:val="nil"/>
                    <w:tr2bl w:val="nil"/>
                  </w:tcBorders>
                  <w:vAlign w:val="center"/>
                </w:tcPr>
                <w:p w14:paraId="693ECC38">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80</w:t>
                  </w:r>
                </w:p>
              </w:tc>
              <w:tc>
                <w:tcPr>
                  <w:tcW w:w="757" w:type="dxa"/>
                  <w:tcBorders>
                    <w:tl2br w:val="nil"/>
                    <w:tr2bl w:val="nil"/>
                  </w:tcBorders>
                  <w:vAlign w:val="center"/>
                </w:tcPr>
                <w:p w14:paraId="090DFAD1">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w:t>
                  </w:r>
                </w:p>
              </w:tc>
              <w:tc>
                <w:tcPr>
                  <w:tcW w:w="757" w:type="dxa"/>
                  <w:tcBorders>
                    <w:tl2br w:val="nil"/>
                    <w:tr2bl w:val="nil"/>
                  </w:tcBorders>
                  <w:vAlign w:val="center"/>
                </w:tcPr>
                <w:p w14:paraId="097FB979">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达标</w:t>
                  </w:r>
                </w:p>
              </w:tc>
            </w:tr>
            <w:tr w14:paraId="573073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41" w:type="dxa"/>
                  <w:vMerge w:val="continue"/>
                  <w:tcBorders>
                    <w:tl2br w:val="nil"/>
                    <w:tr2bl w:val="nil"/>
                  </w:tcBorders>
                  <w:vAlign w:val="center"/>
                </w:tcPr>
                <w:p w14:paraId="7BF6E9E4">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800" w:type="dxa"/>
                  <w:tcBorders>
                    <w:tl2br w:val="nil"/>
                    <w:tr2bl w:val="nil"/>
                  </w:tcBorders>
                  <w:shd w:val="clear" w:color="auto" w:fill="auto"/>
                  <w:vAlign w:val="center"/>
                </w:tcPr>
                <w:p w14:paraId="2C590297">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非甲烷总烃</w:t>
                  </w:r>
                </w:p>
              </w:tc>
              <w:tc>
                <w:tcPr>
                  <w:tcW w:w="757" w:type="dxa"/>
                  <w:tcBorders>
                    <w:tl2br w:val="nil"/>
                    <w:tr2bl w:val="nil"/>
                  </w:tcBorders>
                  <w:vAlign w:val="center"/>
                </w:tcPr>
                <w:p w14:paraId="57923208">
                  <w:pPr>
                    <w:keepNext w:val="0"/>
                    <w:keepLines w:val="0"/>
                    <w:widowControl/>
                    <w:suppressLineNumbers w:val="0"/>
                    <w:jc w:val="center"/>
                    <w:textAlignment w:val="center"/>
                    <w:rPr>
                      <w:rFonts w:hint="eastAsia"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0.40 </w:t>
                  </w:r>
                </w:p>
              </w:tc>
              <w:tc>
                <w:tcPr>
                  <w:tcW w:w="757" w:type="dxa"/>
                  <w:tcBorders>
                    <w:tl2br w:val="nil"/>
                    <w:tr2bl w:val="nil"/>
                  </w:tcBorders>
                  <w:vAlign w:val="center"/>
                </w:tcPr>
                <w:p w14:paraId="0111AF01">
                  <w:pPr>
                    <w:keepNext w:val="0"/>
                    <w:keepLines w:val="0"/>
                    <w:widowControl/>
                    <w:suppressLineNumbers w:val="0"/>
                    <w:jc w:val="center"/>
                    <w:textAlignment w:val="center"/>
                    <w:rPr>
                      <w:rFonts w:hint="eastAsia"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0.0043 </w:t>
                  </w:r>
                </w:p>
              </w:tc>
              <w:tc>
                <w:tcPr>
                  <w:tcW w:w="757" w:type="dxa"/>
                  <w:tcBorders>
                    <w:tl2br w:val="nil"/>
                    <w:tr2bl w:val="nil"/>
                  </w:tcBorders>
                  <w:vAlign w:val="center"/>
                </w:tcPr>
                <w:p w14:paraId="1F32B837">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50</w:t>
                  </w:r>
                </w:p>
              </w:tc>
              <w:tc>
                <w:tcPr>
                  <w:tcW w:w="757" w:type="dxa"/>
                  <w:tcBorders>
                    <w:tl2br w:val="nil"/>
                    <w:tr2bl w:val="nil"/>
                  </w:tcBorders>
                  <w:vAlign w:val="center"/>
                </w:tcPr>
                <w:p w14:paraId="2BCB0322">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2.5</w:t>
                  </w:r>
                </w:p>
              </w:tc>
              <w:tc>
                <w:tcPr>
                  <w:tcW w:w="757" w:type="dxa"/>
                  <w:tcBorders>
                    <w:tl2br w:val="nil"/>
                    <w:tr2bl w:val="nil"/>
                  </w:tcBorders>
                  <w:vAlign w:val="center"/>
                </w:tcPr>
                <w:p w14:paraId="74F40A83">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达标</w:t>
                  </w:r>
                </w:p>
              </w:tc>
            </w:tr>
            <w:tr w14:paraId="73FA13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41" w:type="dxa"/>
                  <w:vMerge w:val="continue"/>
                  <w:tcBorders>
                    <w:tl2br w:val="nil"/>
                    <w:tr2bl w:val="nil"/>
                  </w:tcBorders>
                  <w:vAlign w:val="center"/>
                </w:tcPr>
                <w:p w14:paraId="74D5B543">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800" w:type="dxa"/>
                  <w:tcBorders>
                    <w:tl2br w:val="nil"/>
                    <w:tr2bl w:val="nil"/>
                  </w:tcBorders>
                  <w:shd w:val="clear" w:color="auto" w:fill="auto"/>
                  <w:vAlign w:val="center"/>
                </w:tcPr>
                <w:p w14:paraId="78B024B7">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氯化氢</w:t>
                  </w:r>
                </w:p>
              </w:tc>
              <w:tc>
                <w:tcPr>
                  <w:tcW w:w="757" w:type="dxa"/>
                  <w:tcBorders>
                    <w:tl2br w:val="nil"/>
                    <w:tr2bl w:val="nil"/>
                  </w:tcBorders>
                  <w:vAlign w:val="center"/>
                </w:tcPr>
                <w:p w14:paraId="410FFC00">
                  <w:pPr>
                    <w:jc w:val="center"/>
                    <w:rPr>
                      <w:rFonts w:hint="eastAsia" w:eastAsia="宋体" w:cs="Times New Roman"/>
                      <w:color w:val="auto"/>
                      <w:kern w:val="0"/>
                      <w:sz w:val="21"/>
                      <w:szCs w:val="21"/>
                      <w:highlight w:val="none"/>
                      <w:vertAlign w:val="baseline"/>
                      <w:lang w:val="en-US" w:eastAsia="zh-CN"/>
                    </w:rPr>
                  </w:pPr>
                  <w:r>
                    <w:rPr>
                      <w:rFonts w:hint="eastAsia" w:eastAsia="宋体" w:cs="Times New Roman"/>
                      <w:color w:val="auto"/>
                      <w:kern w:val="0"/>
                      <w:sz w:val="21"/>
                      <w:szCs w:val="21"/>
                      <w:highlight w:val="none"/>
                      <w:vertAlign w:val="baseline"/>
                      <w:lang w:val="en-US" w:eastAsia="zh-CN"/>
                    </w:rPr>
                    <w:t>0.08</w:t>
                  </w:r>
                </w:p>
              </w:tc>
              <w:tc>
                <w:tcPr>
                  <w:tcW w:w="757" w:type="dxa"/>
                  <w:tcBorders>
                    <w:tl2br w:val="nil"/>
                    <w:tr2bl w:val="nil"/>
                  </w:tcBorders>
                  <w:vAlign w:val="center"/>
                </w:tcPr>
                <w:p w14:paraId="122D8CDF">
                  <w:pPr>
                    <w:keepNext w:val="0"/>
                    <w:keepLines w:val="0"/>
                    <w:widowControl/>
                    <w:suppressLineNumbers w:val="0"/>
                    <w:jc w:val="center"/>
                    <w:textAlignment w:val="center"/>
                    <w:rPr>
                      <w:rFonts w:hint="eastAsia"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0.0008 </w:t>
                  </w:r>
                </w:p>
              </w:tc>
              <w:tc>
                <w:tcPr>
                  <w:tcW w:w="757" w:type="dxa"/>
                  <w:tcBorders>
                    <w:tl2br w:val="nil"/>
                    <w:tr2bl w:val="nil"/>
                  </w:tcBorders>
                  <w:vAlign w:val="center"/>
                </w:tcPr>
                <w:p w14:paraId="030B5582">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10</w:t>
                  </w:r>
                </w:p>
              </w:tc>
              <w:tc>
                <w:tcPr>
                  <w:tcW w:w="757" w:type="dxa"/>
                  <w:tcBorders>
                    <w:tl2br w:val="nil"/>
                    <w:tr2bl w:val="nil"/>
                  </w:tcBorders>
                  <w:vAlign w:val="center"/>
                </w:tcPr>
                <w:p w14:paraId="13B2C8A8">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0.025</w:t>
                  </w:r>
                </w:p>
              </w:tc>
              <w:tc>
                <w:tcPr>
                  <w:tcW w:w="757" w:type="dxa"/>
                  <w:tcBorders>
                    <w:tl2br w:val="nil"/>
                    <w:tr2bl w:val="nil"/>
                  </w:tcBorders>
                  <w:vAlign w:val="center"/>
                </w:tcPr>
                <w:p w14:paraId="2F7DF69F">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达标</w:t>
                  </w:r>
                </w:p>
              </w:tc>
            </w:tr>
            <w:tr w14:paraId="730FBA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41" w:type="dxa"/>
                  <w:vMerge w:val="continue"/>
                  <w:tcBorders>
                    <w:tl2br w:val="nil"/>
                    <w:tr2bl w:val="nil"/>
                  </w:tcBorders>
                  <w:vAlign w:val="center"/>
                </w:tcPr>
                <w:p w14:paraId="12CD75BA">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800" w:type="dxa"/>
                  <w:tcBorders>
                    <w:tl2br w:val="nil"/>
                    <w:tr2bl w:val="nil"/>
                  </w:tcBorders>
                  <w:shd w:val="clear" w:color="auto" w:fill="auto"/>
                  <w:vAlign w:val="center"/>
                </w:tcPr>
                <w:p w14:paraId="3917D0EB">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氮氧化物</w:t>
                  </w:r>
                </w:p>
              </w:tc>
              <w:tc>
                <w:tcPr>
                  <w:tcW w:w="757" w:type="dxa"/>
                  <w:tcBorders>
                    <w:tl2br w:val="nil"/>
                    <w:tr2bl w:val="nil"/>
                  </w:tcBorders>
                  <w:vAlign w:val="center"/>
                </w:tcPr>
                <w:p w14:paraId="2B174F68">
                  <w:pPr>
                    <w:jc w:val="center"/>
                    <w:rPr>
                      <w:rFonts w:hint="eastAsia" w:eastAsia="宋体" w:cs="Times New Roman"/>
                      <w:color w:val="auto"/>
                      <w:kern w:val="0"/>
                      <w:sz w:val="21"/>
                      <w:szCs w:val="21"/>
                      <w:highlight w:val="none"/>
                      <w:vertAlign w:val="baseline"/>
                      <w:lang w:val="en-US" w:eastAsia="zh-CN"/>
                    </w:rPr>
                  </w:pPr>
                  <w:r>
                    <w:rPr>
                      <w:rFonts w:hint="eastAsia" w:eastAsia="宋体" w:cs="Times New Roman"/>
                      <w:color w:val="auto"/>
                      <w:kern w:val="0"/>
                      <w:sz w:val="21"/>
                      <w:szCs w:val="21"/>
                      <w:highlight w:val="none"/>
                      <w:vertAlign w:val="baseline"/>
                      <w:lang w:val="en-US" w:eastAsia="zh-CN"/>
                    </w:rPr>
                    <w:t>0.02</w:t>
                  </w:r>
                </w:p>
              </w:tc>
              <w:tc>
                <w:tcPr>
                  <w:tcW w:w="757" w:type="dxa"/>
                  <w:tcBorders>
                    <w:tl2br w:val="nil"/>
                    <w:tr2bl w:val="nil"/>
                  </w:tcBorders>
                  <w:vAlign w:val="center"/>
                </w:tcPr>
                <w:p w14:paraId="15F35F36">
                  <w:pPr>
                    <w:keepNext w:val="0"/>
                    <w:keepLines w:val="0"/>
                    <w:widowControl/>
                    <w:suppressLineNumbers w:val="0"/>
                    <w:jc w:val="center"/>
                    <w:textAlignment w:val="center"/>
                    <w:rPr>
                      <w:rFonts w:hint="eastAsia"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0.0002 </w:t>
                  </w:r>
                </w:p>
              </w:tc>
              <w:tc>
                <w:tcPr>
                  <w:tcW w:w="757" w:type="dxa"/>
                  <w:tcBorders>
                    <w:tl2br w:val="nil"/>
                    <w:tr2bl w:val="nil"/>
                  </w:tcBorders>
                  <w:vAlign w:val="center"/>
                </w:tcPr>
                <w:p w14:paraId="0DD8334D">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100</w:t>
                  </w:r>
                </w:p>
              </w:tc>
              <w:tc>
                <w:tcPr>
                  <w:tcW w:w="757" w:type="dxa"/>
                  <w:tcBorders>
                    <w:tl2br w:val="nil"/>
                    <w:tr2bl w:val="nil"/>
                  </w:tcBorders>
                  <w:vAlign w:val="center"/>
                </w:tcPr>
                <w:p w14:paraId="5D553FBF">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0.30</w:t>
                  </w:r>
                </w:p>
              </w:tc>
              <w:tc>
                <w:tcPr>
                  <w:tcW w:w="757" w:type="dxa"/>
                  <w:tcBorders>
                    <w:tl2br w:val="nil"/>
                    <w:tr2bl w:val="nil"/>
                  </w:tcBorders>
                  <w:vAlign w:val="center"/>
                </w:tcPr>
                <w:p w14:paraId="75084CB9">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达标</w:t>
                  </w:r>
                </w:p>
              </w:tc>
            </w:tr>
            <w:tr w14:paraId="2C2B83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41" w:type="dxa"/>
                  <w:vMerge w:val="continue"/>
                  <w:tcBorders>
                    <w:tl2br w:val="nil"/>
                    <w:tr2bl w:val="nil"/>
                  </w:tcBorders>
                  <w:vAlign w:val="center"/>
                </w:tcPr>
                <w:p w14:paraId="4A17C543">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800" w:type="dxa"/>
                  <w:tcBorders>
                    <w:tl2br w:val="nil"/>
                    <w:tr2bl w:val="nil"/>
                  </w:tcBorders>
                  <w:shd w:val="clear" w:color="auto" w:fill="auto"/>
                  <w:vAlign w:val="center"/>
                </w:tcPr>
                <w:p w14:paraId="4844EB48">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硫酸雾</w:t>
                  </w:r>
                </w:p>
              </w:tc>
              <w:tc>
                <w:tcPr>
                  <w:tcW w:w="757" w:type="dxa"/>
                  <w:tcBorders>
                    <w:tl2br w:val="nil"/>
                    <w:tr2bl w:val="nil"/>
                  </w:tcBorders>
                  <w:vAlign w:val="center"/>
                </w:tcPr>
                <w:p w14:paraId="28525B50">
                  <w:pPr>
                    <w:jc w:val="center"/>
                    <w:rPr>
                      <w:rFonts w:hint="eastAsia" w:eastAsia="宋体" w:cs="Times New Roman"/>
                      <w:color w:val="auto"/>
                      <w:kern w:val="0"/>
                      <w:sz w:val="21"/>
                      <w:szCs w:val="21"/>
                      <w:highlight w:val="none"/>
                      <w:vertAlign w:val="baseline"/>
                      <w:lang w:val="en-US" w:eastAsia="zh-CN"/>
                    </w:rPr>
                  </w:pPr>
                  <w:r>
                    <w:rPr>
                      <w:rFonts w:hint="eastAsia" w:eastAsia="宋体" w:cs="Times New Roman"/>
                      <w:color w:val="auto"/>
                      <w:kern w:val="0"/>
                      <w:sz w:val="21"/>
                      <w:szCs w:val="21"/>
                      <w:highlight w:val="none"/>
                      <w:vertAlign w:val="baseline"/>
                      <w:lang w:val="en-US" w:eastAsia="zh-CN"/>
                    </w:rPr>
                    <w:t>0.002</w:t>
                  </w:r>
                </w:p>
              </w:tc>
              <w:tc>
                <w:tcPr>
                  <w:tcW w:w="757" w:type="dxa"/>
                  <w:tcBorders>
                    <w:tl2br w:val="nil"/>
                    <w:tr2bl w:val="nil"/>
                  </w:tcBorders>
                  <w:vAlign w:val="center"/>
                </w:tcPr>
                <w:p w14:paraId="2DA730E8">
                  <w:pPr>
                    <w:keepNext w:val="0"/>
                    <w:keepLines w:val="0"/>
                    <w:widowControl/>
                    <w:suppressLineNumbers w:val="0"/>
                    <w:jc w:val="center"/>
                    <w:textAlignment w:val="center"/>
                    <w:rPr>
                      <w:rFonts w:hint="eastAsia"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0.0000</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757" w:type="dxa"/>
                  <w:tcBorders>
                    <w:tl2br w:val="nil"/>
                    <w:tr2bl w:val="nil"/>
                  </w:tcBorders>
                  <w:vAlign w:val="center"/>
                </w:tcPr>
                <w:p w14:paraId="4E980790">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5.0</w:t>
                  </w:r>
                </w:p>
              </w:tc>
              <w:tc>
                <w:tcPr>
                  <w:tcW w:w="757" w:type="dxa"/>
                  <w:tcBorders>
                    <w:tl2br w:val="nil"/>
                    <w:tr2bl w:val="nil"/>
                  </w:tcBorders>
                  <w:vAlign w:val="center"/>
                </w:tcPr>
                <w:p w14:paraId="54BCFB94">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0.75</w:t>
                  </w:r>
                </w:p>
              </w:tc>
              <w:tc>
                <w:tcPr>
                  <w:tcW w:w="757" w:type="dxa"/>
                  <w:tcBorders>
                    <w:tl2br w:val="nil"/>
                    <w:tr2bl w:val="nil"/>
                  </w:tcBorders>
                  <w:vAlign w:val="center"/>
                </w:tcPr>
                <w:p w14:paraId="4239C309">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达标</w:t>
                  </w:r>
                </w:p>
              </w:tc>
            </w:tr>
            <w:tr w14:paraId="2511C1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41" w:type="dxa"/>
                  <w:vMerge w:val="continue"/>
                  <w:tcBorders>
                    <w:tl2br w:val="nil"/>
                    <w:tr2bl w:val="nil"/>
                  </w:tcBorders>
                  <w:vAlign w:val="center"/>
                </w:tcPr>
                <w:p w14:paraId="6068AFB2">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800" w:type="dxa"/>
                  <w:tcBorders>
                    <w:tl2br w:val="nil"/>
                    <w:tr2bl w:val="nil"/>
                  </w:tcBorders>
                  <w:shd w:val="clear" w:color="auto" w:fill="auto"/>
                  <w:vAlign w:val="center"/>
                </w:tcPr>
                <w:p w14:paraId="328F82AD">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bidi="ar-SA"/>
                    </w:rPr>
                    <w:t>氨</w:t>
                  </w:r>
                </w:p>
              </w:tc>
              <w:tc>
                <w:tcPr>
                  <w:tcW w:w="757" w:type="dxa"/>
                  <w:tcBorders>
                    <w:tl2br w:val="nil"/>
                    <w:tr2bl w:val="nil"/>
                  </w:tcBorders>
                  <w:vAlign w:val="center"/>
                </w:tcPr>
                <w:p w14:paraId="5D3BCF9F">
                  <w:pPr>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eastAsia="宋体" w:cs="Times New Roman"/>
                      <w:color w:val="auto"/>
                      <w:kern w:val="0"/>
                      <w:sz w:val="21"/>
                      <w:szCs w:val="21"/>
                      <w:highlight w:val="none"/>
                      <w:vertAlign w:val="baseline"/>
                      <w:lang w:val="en-US" w:eastAsia="zh-CN"/>
                    </w:rPr>
                    <w:t>0.01</w:t>
                  </w:r>
                </w:p>
              </w:tc>
              <w:tc>
                <w:tcPr>
                  <w:tcW w:w="757" w:type="dxa"/>
                  <w:tcBorders>
                    <w:tl2br w:val="nil"/>
                    <w:tr2bl w:val="nil"/>
                  </w:tcBorders>
                  <w:vAlign w:val="center"/>
                </w:tcPr>
                <w:p w14:paraId="5958DBF4">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0.0001 </w:t>
                  </w:r>
                </w:p>
              </w:tc>
              <w:tc>
                <w:tcPr>
                  <w:tcW w:w="757" w:type="dxa"/>
                  <w:tcBorders>
                    <w:tl2br w:val="nil"/>
                    <w:tr2bl w:val="nil"/>
                  </w:tcBorders>
                  <w:vAlign w:val="center"/>
                </w:tcPr>
                <w:p w14:paraId="63027B3D">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10</w:t>
                  </w:r>
                </w:p>
              </w:tc>
              <w:tc>
                <w:tcPr>
                  <w:tcW w:w="757" w:type="dxa"/>
                  <w:tcBorders>
                    <w:tl2br w:val="nil"/>
                    <w:tr2bl w:val="nil"/>
                  </w:tcBorders>
                  <w:vAlign w:val="center"/>
                </w:tcPr>
                <w:p w14:paraId="561CC661">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0.50</w:t>
                  </w:r>
                </w:p>
              </w:tc>
              <w:tc>
                <w:tcPr>
                  <w:tcW w:w="757" w:type="dxa"/>
                  <w:tcBorders>
                    <w:tl2br w:val="nil"/>
                    <w:tr2bl w:val="nil"/>
                  </w:tcBorders>
                  <w:vAlign w:val="center"/>
                </w:tcPr>
                <w:p w14:paraId="39CCEC1A">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达标</w:t>
                  </w:r>
                </w:p>
              </w:tc>
            </w:tr>
          </w:tbl>
          <w:p w14:paraId="53B868B9">
            <w:pPr>
              <w:adjustRightIn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由上表可知，项目有组织排放各污染物排放浓度和速率满足《大气污染物综合排放标准》（DB11/501-2017）中表 3</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生产工艺废气及其他废气大气污染物排放限值</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，可达标排放。</w:t>
            </w:r>
          </w:p>
          <w:p w14:paraId="0555CEE1">
            <w:pPr>
              <w:numPr>
                <w:ilvl w:val="255"/>
                <w:numId w:val="0"/>
              </w:numPr>
              <w:adjustRightInd w:val="0"/>
              <w:spacing w:line="360" w:lineRule="auto"/>
              <w:ind w:left="420" w:left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rPr>
              <w:t>（</w:t>
            </w:r>
            <w:r>
              <w:rPr>
                <w:rFonts w:hint="eastAsia"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rPr>
              <w:t>）非正常</w:t>
            </w:r>
            <w:r>
              <w:rPr>
                <w:rFonts w:hint="default" w:ascii="Times New Roman" w:hAnsi="Times New Roman" w:eastAsia="宋体" w:cs="Times New Roman"/>
                <w:b/>
                <w:bCs/>
                <w:color w:val="auto"/>
                <w:sz w:val="24"/>
                <w:highlight w:val="none"/>
                <w:lang w:val="en-US" w:eastAsia="zh-CN"/>
              </w:rPr>
              <w:t>排放情况</w:t>
            </w:r>
          </w:p>
          <w:p w14:paraId="45AEF6B9">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本项目非正常排放情况</w:t>
            </w:r>
            <w:r>
              <w:rPr>
                <w:rFonts w:hint="eastAsia" w:cs="Times New Roman"/>
                <w:color w:val="auto"/>
                <w:sz w:val="24"/>
                <w:highlight w:val="none"/>
                <w:lang w:val="en-US" w:eastAsia="zh-CN"/>
              </w:rPr>
              <w:t>考虑本项目完成后，本项目叠加现有项目总体运行情况下的非正常排放，</w:t>
            </w:r>
            <w:r>
              <w:rPr>
                <w:rFonts w:hint="default" w:ascii="Times New Roman" w:hAnsi="Times New Roman" w:eastAsia="宋体" w:cs="Times New Roman"/>
                <w:color w:val="auto"/>
                <w:sz w:val="24"/>
                <w:highlight w:val="none"/>
              </w:rPr>
              <w:t>主要考虑</w:t>
            </w:r>
            <w:r>
              <w:rPr>
                <w:rFonts w:hint="default" w:ascii="Times New Roman" w:hAnsi="Times New Roman" w:eastAsia="宋体" w:cs="Times New Roman"/>
                <w:color w:val="auto"/>
                <w:sz w:val="24"/>
                <w:highlight w:val="none"/>
                <w:lang w:val="en-US" w:eastAsia="zh-CN"/>
              </w:rPr>
              <w:t>由</w:t>
            </w:r>
            <w:r>
              <w:rPr>
                <w:rFonts w:hint="default" w:ascii="Times New Roman" w:hAnsi="Times New Roman" w:eastAsia="宋体" w:cs="Times New Roman"/>
                <w:color w:val="auto"/>
                <w:sz w:val="24"/>
                <w:highlight w:val="none"/>
              </w:rPr>
              <w:t>废气处理装置运转不正常造成的，即废气处理装置对有机废气净化效率</w:t>
            </w:r>
            <w:r>
              <w:rPr>
                <w:rFonts w:hint="default" w:ascii="Times New Roman" w:hAnsi="Times New Roman" w:eastAsia="宋体" w:cs="Times New Roman"/>
                <w:color w:val="auto"/>
                <w:sz w:val="24"/>
                <w:highlight w:val="none"/>
                <w:lang w:val="en-US" w:eastAsia="zh-CN"/>
              </w:rPr>
              <w:t>为0</w:t>
            </w:r>
            <w:r>
              <w:rPr>
                <w:rFonts w:hint="default" w:ascii="Times New Roman" w:hAnsi="Times New Roman" w:eastAsia="宋体" w:cs="Times New Roman"/>
                <w:color w:val="auto"/>
                <w:sz w:val="24"/>
                <w:highlight w:val="none"/>
              </w:rPr>
              <w:t>时的污染物排放情况，事故处理时间为1h，年发生频次为1次/年。项目建成后，非正常排放参数详见下表。</w:t>
            </w:r>
          </w:p>
          <w:p w14:paraId="3A521BC5">
            <w:pPr>
              <w:keepNext w:val="0"/>
              <w:keepLines w:val="0"/>
              <w:widowControl/>
              <w:numPr>
                <w:ilvl w:val="0"/>
                <w:numId w:val="40"/>
              </w:numPr>
              <w:suppressLineNumbers w:val="0"/>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非正常工况排放情况一览表</w:t>
            </w:r>
          </w:p>
          <w:tbl>
            <w:tblPr>
              <w:tblStyle w:val="24"/>
              <w:tblW w:w="75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49"/>
              <w:gridCol w:w="891"/>
              <w:gridCol w:w="1253"/>
              <w:gridCol w:w="1033"/>
              <w:gridCol w:w="961"/>
              <w:gridCol w:w="803"/>
              <w:gridCol w:w="768"/>
              <w:gridCol w:w="833"/>
              <w:gridCol w:w="658"/>
            </w:tblGrid>
            <w:tr w14:paraId="56F672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9" w:hRule="atLeast"/>
                <w:jc w:val="center"/>
              </w:trPr>
              <w:tc>
                <w:tcPr>
                  <w:tcW w:w="349" w:type="dxa"/>
                  <w:tcBorders>
                    <w:tl2br w:val="nil"/>
                    <w:tr2bl w:val="nil"/>
                  </w:tcBorders>
                  <w:shd w:val="clear" w:color="auto" w:fill="auto"/>
                  <w:tcMar>
                    <w:top w:w="0" w:type="dxa"/>
                    <w:left w:w="0" w:type="dxa"/>
                    <w:bottom w:w="0" w:type="dxa"/>
                    <w:right w:w="0" w:type="dxa"/>
                  </w:tcMar>
                  <w:vAlign w:val="center"/>
                </w:tcPr>
                <w:p w14:paraId="2A21FDFE">
                  <w:pPr>
                    <w:adjustRightInd w:val="0"/>
                    <w:jc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排放源</w:t>
                  </w:r>
                </w:p>
              </w:tc>
              <w:tc>
                <w:tcPr>
                  <w:tcW w:w="891" w:type="dxa"/>
                  <w:tcBorders>
                    <w:tl2br w:val="nil"/>
                    <w:tr2bl w:val="nil"/>
                  </w:tcBorders>
                  <w:shd w:val="clear" w:color="auto" w:fill="auto"/>
                  <w:tcMar>
                    <w:top w:w="0" w:type="dxa"/>
                    <w:left w:w="0" w:type="dxa"/>
                    <w:bottom w:w="0" w:type="dxa"/>
                    <w:right w:w="0" w:type="dxa"/>
                  </w:tcMar>
                  <w:vAlign w:val="center"/>
                </w:tcPr>
                <w:p w14:paraId="5B2F9571">
                  <w:pPr>
                    <w:adjustRightInd w:val="0"/>
                    <w:jc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非正常排放原因</w:t>
                  </w:r>
                </w:p>
              </w:tc>
              <w:tc>
                <w:tcPr>
                  <w:tcW w:w="1253" w:type="dxa"/>
                  <w:tcBorders>
                    <w:tl2br w:val="nil"/>
                    <w:tr2bl w:val="nil"/>
                  </w:tcBorders>
                  <w:shd w:val="clear" w:color="auto" w:fill="auto"/>
                  <w:tcMar>
                    <w:top w:w="0" w:type="dxa"/>
                    <w:left w:w="0" w:type="dxa"/>
                    <w:bottom w:w="0" w:type="dxa"/>
                    <w:right w:w="0" w:type="dxa"/>
                  </w:tcMar>
                  <w:vAlign w:val="center"/>
                </w:tcPr>
                <w:p w14:paraId="66AAC8E2">
                  <w:pPr>
                    <w:adjustRightInd w:val="0"/>
                    <w:jc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污染物</w:t>
                  </w:r>
                </w:p>
              </w:tc>
              <w:tc>
                <w:tcPr>
                  <w:tcW w:w="1033" w:type="dxa"/>
                  <w:tcBorders>
                    <w:tl2br w:val="nil"/>
                    <w:tr2bl w:val="nil"/>
                  </w:tcBorders>
                  <w:shd w:val="clear" w:color="auto" w:fill="auto"/>
                  <w:tcMar>
                    <w:top w:w="0" w:type="dxa"/>
                    <w:left w:w="0" w:type="dxa"/>
                    <w:bottom w:w="0" w:type="dxa"/>
                    <w:right w:w="0" w:type="dxa"/>
                  </w:tcMar>
                  <w:vAlign w:val="center"/>
                </w:tcPr>
                <w:p w14:paraId="15C59DE1">
                  <w:pPr>
                    <w:adjustRightInd w:val="0"/>
                    <w:jc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非正常排放浓度</w:t>
                  </w:r>
                  <w:r>
                    <w:rPr>
                      <w:rFonts w:hint="default" w:ascii="Times New Roman" w:hAnsi="Times New Roman" w:eastAsia="宋体" w:cs="Times New Roman"/>
                      <w:b/>
                      <w:color w:val="auto"/>
                      <w:sz w:val="22"/>
                      <w:szCs w:val="22"/>
                      <w:highlight w:val="none"/>
                    </w:rPr>
                    <w:t>（mg/m</w:t>
                  </w:r>
                  <w:r>
                    <w:rPr>
                      <w:rFonts w:hint="default" w:ascii="Times New Roman" w:hAnsi="Times New Roman" w:eastAsia="宋体" w:cs="Times New Roman"/>
                      <w:b/>
                      <w:color w:val="auto"/>
                      <w:sz w:val="22"/>
                      <w:szCs w:val="22"/>
                      <w:highlight w:val="none"/>
                      <w:vertAlign w:val="superscript"/>
                    </w:rPr>
                    <w:t>3</w:t>
                  </w:r>
                  <w:r>
                    <w:rPr>
                      <w:rFonts w:hint="default" w:ascii="Times New Roman" w:hAnsi="Times New Roman" w:eastAsia="宋体" w:cs="Times New Roman"/>
                      <w:b/>
                      <w:color w:val="auto"/>
                      <w:sz w:val="22"/>
                      <w:szCs w:val="22"/>
                      <w:highlight w:val="none"/>
                    </w:rPr>
                    <w:t>）</w:t>
                  </w:r>
                </w:p>
              </w:tc>
              <w:tc>
                <w:tcPr>
                  <w:tcW w:w="961" w:type="dxa"/>
                  <w:tcBorders>
                    <w:tl2br w:val="nil"/>
                    <w:tr2bl w:val="nil"/>
                  </w:tcBorders>
                  <w:shd w:val="clear" w:color="auto" w:fill="auto"/>
                  <w:tcMar>
                    <w:top w:w="0" w:type="dxa"/>
                    <w:left w:w="0" w:type="dxa"/>
                    <w:bottom w:w="0" w:type="dxa"/>
                    <w:right w:w="0" w:type="dxa"/>
                  </w:tcMar>
                  <w:vAlign w:val="center"/>
                </w:tcPr>
                <w:p w14:paraId="34638A4D">
                  <w:pPr>
                    <w:adjustRightInd w:val="0"/>
                    <w:jc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非正常排放速率（kg/h）</w:t>
                  </w:r>
                </w:p>
              </w:tc>
              <w:tc>
                <w:tcPr>
                  <w:tcW w:w="803" w:type="dxa"/>
                  <w:tcBorders>
                    <w:tl2br w:val="nil"/>
                    <w:tr2bl w:val="nil"/>
                  </w:tcBorders>
                  <w:shd w:val="clear" w:color="auto" w:fill="auto"/>
                  <w:tcMar>
                    <w:top w:w="0" w:type="dxa"/>
                    <w:left w:w="0" w:type="dxa"/>
                    <w:bottom w:w="0" w:type="dxa"/>
                    <w:right w:w="0" w:type="dxa"/>
                  </w:tcMar>
                  <w:vAlign w:val="center"/>
                </w:tcPr>
                <w:p w14:paraId="79E33C95">
                  <w:pPr>
                    <w:adjustRightInd w:val="0"/>
                    <w:jc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单次持续时间(h)</w:t>
                  </w:r>
                </w:p>
              </w:tc>
              <w:tc>
                <w:tcPr>
                  <w:tcW w:w="768" w:type="dxa"/>
                  <w:tcBorders>
                    <w:tl2br w:val="nil"/>
                    <w:tr2bl w:val="nil"/>
                  </w:tcBorders>
                  <w:shd w:val="clear" w:color="auto" w:fill="auto"/>
                  <w:tcMar>
                    <w:top w:w="0" w:type="dxa"/>
                    <w:left w:w="0" w:type="dxa"/>
                    <w:bottom w:w="0" w:type="dxa"/>
                    <w:right w:w="0" w:type="dxa"/>
                  </w:tcMar>
                  <w:vAlign w:val="center"/>
                </w:tcPr>
                <w:p w14:paraId="21EDBD9D">
                  <w:pPr>
                    <w:adjustRightInd w:val="0"/>
                    <w:jc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年发生频次（次）</w:t>
                  </w:r>
                </w:p>
              </w:tc>
              <w:tc>
                <w:tcPr>
                  <w:tcW w:w="833" w:type="dxa"/>
                  <w:tcBorders>
                    <w:tl2br w:val="nil"/>
                    <w:tr2bl w:val="nil"/>
                  </w:tcBorders>
                  <w:shd w:val="clear" w:color="auto" w:fill="auto"/>
                  <w:tcMar>
                    <w:top w:w="0" w:type="dxa"/>
                    <w:left w:w="0" w:type="dxa"/>
                    <w:bottom w:w="0" w:type="dxa"/>
                    <w:right w:w="0" w:type="dxa"/>
                  </w:tcMar>
                  <w:vAlign w:val="center"/>
                </w:tcPr>
                <w:p w14:paraId="5C2720F3">
                  <w:pPr>
                    <w:adjustRightInd w:val="0"/>
                    <w:jc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非正常排放量（kg/a）</w:t>
                  </w:r>
                </w:p>
              </w:tc>
              <w:tc>
                <w:tcPr>
                  <w:tcW w:w="658" w:type="dxa"/>
                  <w:tcBorders>
                    <w:tl2br w:val="nil"/>
                    <w:tr2bl w:val="nil"/>
                  </w:tcBorders>
                  <w:shd w:val="clear" w:color="auto" w:fill="auto"/>
                  <w:tcMar>
                    <w:top w:w="0" w:type="dxa"/>
                    <w:left w:w="0" w:type="dxa"/>
                    <w:bottom w:w="0" w:type="dxa"/>
                    <w:right w:w="0" w:type="dxa"/>
                  </w:tcMar>
                  <w:vAlign w:val="center"/>
                </w:tcPr>
                <w:p w14:paraId="56A22313">
                  <w:pPr>
                    <w:adjustRightInd w:val="0"/>
                    <w:jc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应对措施</w:t>
                  </w:r>
                </w:p>
              </w:tc>
            </w:tr>
            <w:tr w14:paraId="76460F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6" w:hRule="atLeast"/>
                <w:jc w:val="center"/>
              </w:trPr>
              <w:tc>
                <w:tcPr>
                  <w:tcW w:w="349" w:type="dxa"/>
                  <w:vMerge w:val="restart"/>
                  <w:tcBorders>
                    <w:tl2br w:val="nil"/>
                    <w:tr2bl w:val="nil"/>
                  </w:tcBorders>
                  <w:shd w:val="clear" w:color="auto" w:fill="auto"/>
                  <w:tcMar>
                    <w:top w:w="0" w:type="dxa"/>
                    <w:left w:w="0" w:type="dxa"/>
                    <w:bottom w:w="0" w:type="dxa"/>
                    <w:right w:w="0" w:type="dxa"/>
                  </w:tcMar>
                  <w:vAlign w:val="center"/>
                </w:tcPr>
                <w:p w14:paraId="4CC62BB4">
                  <w:pPr>
                    <w:adjustRightInd w:val="0"/>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DA001</w:t>
                  </w:r>
                </w:p>
                <w:p w14:paraId="45E6D6D3">
                  <w:pPr>
                    <w:adjustRightInd w:val="0"/>
                    <w:jc w:val="center"/>
                    <w:rPr>
                      <w:rFonts w:hint="default" w:ascii="Times New Roman" w:hAnsi="Times New Roman" w:eastAsia="宋体" w:cs="Times New Roman"/>
                      <w:color w:val="auto"/>
                      <w:sz w:val="22"/>
                      <w:szCs w:val="22"/>
                      <w:highlight w:val="none"/>
                      <w:lang w:val="en-US" w:eastAsia="zh-CN"/>
                    </w:rPr>
                  </w:pPr>
                </w:p>
              </w:tc>
              <w:tc>
                <w:tcPr>
                  <w:tcW w:w="891" w:type="dxa"/>
                  <w:vMerge w:val="restart"/>
                  <w:tcBorders>
                    <w:tl2br w:val="nil"/>
                    <w:tr2bl w:val="nil"/>
                  </w:tcBorders>
                  <w:shd w:val="clear" w:color="auto" w:fill="auto"/>
                  <w:tcMar>
                    <w:top w:w="0" w:type="dxa"/>
                    <w:left w:w="0" w:type="dxa"/>
                    <w:bottom w:w="0" w:type="dxa"/>
                    <w:right w:w="0" w:type="dxa"/>
                  </w:tcMar>
                  <w:vAlign w:val="center"/>
                </w:tcPr>
                <w:p w14:paraId="685AB200">
                  <w:pPr>
                    <w:adjustRightInd w:val="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废气处理装置运转不正常</w:t>
                  </w:r>
                </w:p>
              </w:tc>
              <w:tc>
                <w:tcPr>
                  <w:tcW w:w="1253" w:type="dxa"/>
                  <w:tcBorders>
                    <w:tl2br w:val="nil"/>
                    <w:tr2bl w:val="nil"/>
                  </w:tcBorders>
                  <w:shd w:val="clear" w:color="auto" w:fill="auto"/>
                  <w:tcMar>
                    <w:top w:w="0" w:type="dxa"/>
                    <w:left w:w="0" w:type="dxa"/>
                    <w:bottom w:w="0" w:type="dxa"/>
                    <w:right w:w="0" w:type="dxa"/>
                  </w:tcMar>
                  <w:vAlign w:val="center"/>
                </w:tcPr>
                <w:p w14:paraId="71F83570">
                  <w:pPr>
                    <w:spacing w:before="51" w:line="227"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甲醇</w:t>
                  </w:r>
                </w:p>
              </w:tc>
              <w:tc>
                <w:tcPr>
                  <w:tcW w:w="1033" w:type="dxa"/>
                  <w:tcBorders>
                    <w:tl2br w:val="nil"/>
                    <w:tr2bl w:val="nil"/>
                  </w:tcBorders>
                  <w:shd w:val="clear" w:color="auto" w:fill="auto"/>
                  <w:tcMar>
                    <w:top w:w="0" w:type="dxa"/>
                    <w:left w:w="0" w:type="dxa"/>
                    <w:bottom w:w="0" w:type="dxa"/>
                    <w:right w:w="0" w:type="dxa"/>
                  </w:tcMar>
                  <w:vAlign w:val="center"/>
                </w:tcPr>
                <w:p w14:paraId="20C50B9F">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0.02</w:t>
                  </w:r>
                </w:p>
              </w:tc>
              <w:tc>
                <w:tcPr>
                  <w:tcW w:w="961" w:type="dxa"/>
                  <w:tcBorders>
                    <w:tl2br w:val="nil"/>
                    <w:tr2bl w:val="nil"/>
                  </w:tcBorders>
                  <w:shd w:val="clear" w:color="auto" w:fill="auto"/>
                  <w:tcMar>
                    <w:top w:w="0" w:type="dxa"/>
                    <w:left w:w="0" w:type="dxa"/>
                    <w:bottom w:w="0" w:type="dxa"/>
                    <w:right w:w="0" w:type="dxa"/>
                  </w:tcMar>
                  <w:vAlign w:val="center"/>
                </w:tcPr>
                <w:p w14:paraId="7003C6AA">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eastAsia="宋体" w:cs="Times New Roman"/>
                      <w:color w:val="auto"/>
                      <w:kern w:val="0"/>
                      <w:sz w:val="21"/>
                      <w:szCs w:val="21"/>
                      <w:highlight w:val="none"/>
                      <w:vertAlign w:val="baseline"/>
                      <w:lang w:val="en-US" w:eastAsia="zh-CN"/>
                    </w:rPr>
                    <w:t>0.0002</w:t>
                  </w:r>
                </w:p>
              </w:tc>
              <w:tc>
                <w:tcPr>
                  <w:tcW w:w="803" w:type="dxa"/>
                  <w:tcBorders>
                    <w:tl2br w:val="nil"/>
                    <w:tr2bl w:val="nil"/>
                  </w:tcBorders>
                  <w:shd w:val="clear" w:color="auto" w:fill="auto"/>
                  <w:tcMar>
                    <w:top w:w="0" w:type="dxa"/>
                    <w:left w:w="0" w:type="dxa"/>
                    <w:bottom w:w="0" w:type="dxa"/>
                    <w:right w:w="0" w:type="dxa"/>
                  </w:tcMar>
                  <w:vAlign w:val="center"/>
                </w:tcPr>
                <w:p w14:paraId="47BC9D26">
                  <w:pPr>
                    <w:adjustRightInd w:val="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1</w:t>
                  </w:r>
                </w:p>
              </w:tc>
              <w:tc>
                <w:tcPr>
                  <w:tcW w:w="768" w:type="dxa"/>
                  <w:tcBorders>
                    <w:tl2br w:val="nil"/>
                    <w:tr2bl w:val="nil"/>
                  </w:tcBorders>
                  <w:shd w:val="clear" w:color="auto" w:fill="auto"/>
                  <w:tcMar>
                    <w:top w:w="0" w:type="dxa"/>
                    <w:left w:w="0" w:type="dxa"/>
                    <w:bottom w:w="0" w:type="dxa"/>
                    <w:right w:w="0" w:type="dxa"/>
                  </w:tcMar>
                  <w:vAlign w:val="center"/>
                </w:tcPr>
                <w:p w14:paraId="61C2DB24">
                  <w:pPr>
                    <w:adjustRightInd w:val="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1</w:t>
                  </w:r>
                </w:p>
              </w:tc>
              <w:tc>
                <w:tcPr>
                  <w:tcW w:w="833" w:type="dxa"/>
                  <w:tcBorders>
                    <w:tl2br w:val="nil"/>
                    <w:tr2bl w:val="nil"/>
                  </w:tcBorders>
                  <w:shd w:val="clear" w:color="auto" w:fill="auto"/>
                  <w:tcMar>
                    <w:top w:w="0" w:type="dxa"/>
                    <w:left w:w="0" w:type="dxa"/>
                    <w:bottom w:w="0" w:type="dxa"/>
                    <w:right w:w="0" w:type="dxa"/>
                  </w:tcMar>
                  <w:vAlign w:val="center"/>
                </w:tcPr>
                <w:p w14:paraId="443FA0B8">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eastAsia="宋体" w:cs="Times New Roman"/>
                      <w:color w:val="auto"/>
                      <w:kern w:val="0"/>
                      <w:sz w:val="21"/>
                      <w:szCs w:val="21"/>
                      <w:highlight w:val="none"/>
                      <w:vertAlign w:val="baseline"/>
                      <w:lang w:val="en-US" w:eastAsia="zh-CN"/>
                    </w:rPr>
                    <w:t>0.0002</w:t>
                  </w:r>
                </w:p>
              </w:tc>
              <w:tc>
                <w:tcPr>
                  <w:tcW w:w="658" w:type="dxa"/>
                  <w:vMerge w:val="restart"/>
                  <w:tcBorders>
                    <w:tl2br w:val="nil"/>
                    <w:tr2bl w:val="nil"/>
                  </w:tcBorders>
                  <w:shd w:val="clear" w:color="auto" w:fill="auto"/>
                  <w:tcMar>
                    <w:top w:w="0" w:type="dxa"/>
                    <w:left w:w="0" w:type="dxa"/>
                    <w:bottom w:w="0" w:type="dxa"/>
                    <w:right w:w="0" w:type="dxa"/>
                  </w:tcMar>
                  <w:vAlign w:val="center"/>
                </w:tcPr>
                <w:p w14:paraId="7E2D9579">
                  <w:pPr>
                    <w:widowControl/>
                    <w:adjustRightInd w:val="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发现故障应立即停工检修</w:t>
                  </w:r>
                </w:p>
              </w:tc>
            </w:tr>
            <w:tr w14:paraId="18FAF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5" w:hRule="atLeast"/>
                <w:jc w:val="center"/>
              </w:trPr>
              <w:tc>
                <w:tcPr>
                  <w:tcW w:w="349" w:type="dxa"/>
                  <w:vMerge w:val="continue"/>
                  <w:tcBorders>
                    <w:tl2br w:val="nil"/>
                    <w:tr2bl w:val="nil"/>
                  </w:tcBorders>
                  <w:shd w:val="clear" w:color="auto" w:fill="auto"/>
                  <w:tcMar>
                    <w:top w:w="0" w:type="dxa"/>
                    <w:left w:w="0" w:type="dxa"/>
                    <w:bottom w:w="0" w:type="dxa"/>
                    <w:right w:w="0" w:type="dxa"/>
                  </w:tcMar>
                  <w:vAlign w:val="center"/>
                </w:tcPr>
                <w:p w14:paraId="4E7ECDD7">
                  <w:pPr>
                    <w:adjustRightInd w:val="0"/>
                    <w:jc w:val="center"/>
                    <w:rPr>
                      <w:rFonts w:hint="default" w:ascii="Times New Roman" w:hAnsi="Times New Roman" w:eastAsia="宋体" w:cs="Times New Roman"/>
                      <w:color w:val="auto"/>
                      <w:sz w:val="22"/>
                      <w:szCs w:val="22"/>
                      <w:highlight w:val="none"/>
                    </w:rPr>
                  </w:pPr>
                </w:p>
              </w:tc>
              <w:tc>
                <w:tcPr>
                  <w:tcW w:w="891" w:type="dxa"/>
                  <w:vMerge w:val="continue"/>
                  <w:tcBorders>
                    <w:tl2br w:val="nil"/>
                    <w:tr2bl w:val="nil"/>
                  </w:tcBorders>
                  <w:shd w:val="clear" w:color="auto" w:fill="auto"/>
                  <w:tcMar>
                    <w:top w:w="0" w:type="dxa"/>
                    <w:left w:w="0" w:type="dxa"/>
                    <w:bottom w:w="0" w:type="dxa"/>
                    <w:right w:w="0" w:type="dxa"/>
                  </w:tcMar>
                  <w:vAlign w:val="center"/>
                </w:tcPr>
                <w:p w14:paraId="3ABF9627">
                  <w:pPr>
                    <w:adjustRightInd w:val="0"/>
                    <w:jc w:val="center"/>
                    <w:rPr>
                      <w:rFonts w:hint="default" w:ascii="Times New Roman" w:hAnsi="Times New Roman" w:eastAsia="宋体" w:cs="Times New Roman"/>
                      <w:color w:val="auto"/>
                      <w:sz w:val="22"/>
                      <w:szCs w:val="22"/>
                      <w:highlight w:val="none"/>
                    </w:rPr>
                  </w:pPr>
                </w:p>
              </w:tc>
              <w:tc>
                <w:tcPr>
                  <w:tcW w:w="1253" w:type="dxa"/>
                  <w:tcBorders>
                    <w:tl2br w:val="nil"/>
                    <w:tr2bl w:val="nil"/>
                  </w:tcBorders>
                  <w:shd w:val="clear" w:color="auto" w:fill="auto"/>
                  <w:tcMar>
                    <w:top w:w="0" w:type="dxa"/>
                    <w:left w:w="0" w:type="dxa"/>
                    <w:bottom w:w="0" w:type="dxa"/>
                    <w:right w:w="0" w:type="dxa"/>
                  </w:tcMar>
                  <w:vAlign w:val="center"/>
                </w:tcPr>
                <w:p w14:paraId="332FCD95">
                  <w:pPr>
                    <w:spacing w:before="53" w:line="228"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eastAsia="宋体" w:cs="Times New Roman"/>
                      <w:color w:val="auto"/>
                      <w:kern w:val="2"/>
                      <w:sz w:val="21"/>
                      <w:szCs w:val="21"/>
                      <w:highlight w:val="none"/>
                      <w:lang w:val="en-US" w:eastAsia="zh-CN" w:bidi="ar-SA"/>
                    </w:rPr>
                    <w:t>其他A类物质（</w:t>
                  </w:r>
                  <w:r>
                    <w:rPr>
                      <w:rFonts w:hint="default" w:ascii="Times New Roman" w:hAnsi="Times New Roman" w:eastAsia="宋体" w:cs="Times New Roman"/>
                      <w:color w:val="auto"/>
                      <w:kern w:val="2"/>
                      <w:sz w:val="21"/>
                      <w:szCs w:val="21"/>
                      <w:highlight w:val="none"/>
                      <w:lang w:val="en-US" w:eastAsia="zh-CN" w:bidi="ar-SA"/>
                    </w:rPr>
                    <w:t>乙酸</w:t>
                  </w:r>
                  <w:r>
                    <w:rPr>
                      <w:rFonts w:hint="eastAsia" w:eastAsia="宋体" w:cs="Times New Roman"/>
                      <w:color w:val="auto"/>
                      <w:kern w:val="2"/>
                      <w:sz w:val="21"/>
                      <w:szCs w:val="21"/>
                      <w:highlight w:val="none"/>
                      <w:lang w:val="en-US" w:eastAsia="zh-CN" w:bidi="ar-SA"/>
                    </w:rPr>
                    <w:t>）</w:t>
                  </w:r>
                </w:p>
              </w:tc>
              <w:tc>
                <w:tcPr>
                  <w:tcW w:w="1033" w:type="dxa"/>
                  <w:tcBorders>
                    <w:tl2br w:val="nil"/>
                    <w:tr2bl w:val="nil"/>
                  </w:tcBorders>
                  <w:shd w:val="clear" w:color="auto" w:fill="auto"/>
                  <w:tcMar>
                    <w:top w:w="0" w:type="dxa"/>
                    <w:left w:w="0" w:type="dxa"/>
                    <w:bottom w:w="0" w:type="dxa"/>
                    <w:right w:w="0" w:type="dxa"/>
                  </w:tcMar>
                  <w:vAlign w:val="center"/>
                </w:tcPr>
                <w:p w14:paraId="0521B820">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0.02</w:t>
                  </w:r>
                </w:p>
              </w:tc>
              <w:tc>
                <w:tcPr>
                  <w:tcW w:w="961" w:type="dxa"/>
                  <w:tcBorders>
                    <w:tl2br w:val="nil"/>
                    <w:tr2bl w:val="nil"/>
                  </w:tcBorders>
                  <w:shd w:val="clear" w:color="auto" w:fill="auto"/>
                  <w:tcMar>
                    <w:top w:w="0" w:type="dxa"/>
                    <w:left w:w="0" w:type="dxa"/>
                    <w:bottom w:w="0" w:type="dxa"/>
                    <w:right w:w="0" w:type="dxa"/>
                  </w:tcMar>
                  <w:vAlign w:val="center"/>
                </w:tcPr>
                <w:p w14:paraId="1CCEFC6B">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eastAsia="宋体" w:cs="Times New Roman"/>
                      <w:color w:val="auto"/>
                      <w:kern w:val="0"/>
                      <w:sz w:val="21"/>
                      <w:szCs w:val="21"/>
                      <w:highlight w:val="none"/>
                      <w:vertAlign w:val="baseline"/>
                      <w:lang w:val="en-US" w:eastAsia="zh-CN"/>
                    </w:rPr>
                    <w:t>0.0002</w:t>
                  </w:r>
                </w:p>
              </w:tc>
              <w:tc>
                <w:tcPr>
                  <w:tcW w:w="803" w:type="dxa"/>
                  <w:tcBorders>
                    <w:tl2br w:val="nil"/>
                    <w:tr2bl w:val="nil"/>
                  </w:tcBorders>
                  <w:shd w:val="clear" w:color="auto" w:fill="auto"/>
                  <w:tcMar>
                    <w:top w:w="0" w:type="dxa"/>
                    <w:left w:w="0" w:type="dxa"/>
                    <w:bottom w:w="0" w:type="dxa"/>
                    <w:right w:w="0" w:type="dxa"/>
                  </w:tcMar>
                  <w:vAlign w:val="center"/>
                </w:tcPr>
                <w:p w14:paraId="46602B68">
                  <w:pPr>
                    <w:adjustRightInd w:val="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1</w:t>
                  </w:r>
                </w:p>
              </w:tc>
              <w:tc>
                <w:tcPr>
                  <w:tcW w:w="768" w:type="dxa"/>
                  <w:tcBorders>
                    <w:tl2br w:val="nil"/>
                    <w:tr2bl w:val="nil"/>
                  </w:tcBorders>
                  <w:shd w:val="clear" w:color="auto" w:fill="auto"/>
                  <w:tcMar>
                    <w:top w:w="0" w:type="dxa"/>
                    <w:left w:w="0" w:type="dxa"/>
                    <w:bottom w:w="0" w:type="dxa"/>
                    <w:right w:w="0" w:type="dxa"/>
                  </w:tcMar>
                  <w:vAlign w:val="center"/>
                </w:tcPr>
                <w:p w14:paraId="40E38220">
                  <w:pPr>
                    <w:adjustRightInd w:val="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1</w:t>
                  </w:r>
                </w:p>
              </w:tc>
              <w:tc>
                <w:tcPr>
                  <w:tcW w:w="833" w:type="dxa"/>
                  <w:tcBorders>
                    <w:tl2br w:val="nil"/>
                    <w:tr2bl w:val="nil"/>
                  </w:tcBorders>
                  <w:shd w:val="clear" w:color="auto" w:fill="auto"/>
                  <w:tcMar>
                    <w:top w:w="0" w:type="dxa"/>
                    <w:left w:w="0" w:type="dxa"/>
                    <w:bottom w:w="0" w:type="dxa"/>
                    <w:right w:w="0" w:type="dxa"/>
                  </w:tcMar>
                  <w:vAlign w:val="center"/>
                </w:tcPr>
                <w:p w14:paraId="7B401250">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eastAsia="宋体" w:cs="Times New Roman"/>
                      <w:color w:val="auto"/>
                      <w:kern w:val="0"/>
                      <w:sz w:val="21"/>
                      <w:szCs w:val="21"/>
                      <w:highlight w:val="none"/>
                      <w:vertAlign w:val="baseline"/>
                      <w:lang w:val="en-US" w:eastAsia="zh-CN"/>
                    </w:rPr>
                    <w:t>0.0002</w:t>
                  </w:r>
                </w:p>
              </w:tc>
              <w:tc>
                <w:tcPr>
                  <w:tcW w:w="658" w:type="dxa"/>
                  <w:vMerge w:val="continue"/>
                  <w:tcBorders>
                    <w:tl2br w:val="nil"/>
                    <w:tr2bl w:val="nil"/>
                  </w:tcBorders>
                  <w:shd w:val="clear" w:color="auto" w:fill="auto"/>
                  <w:tcMar>
                    <w:top w:w="0" w:type="dxa"/>
                    <w:left w:w="0" w:type="dxa"/>
                    <w:bottom w:w="0" w:type="dxa"/>
                    <w:right w:w="0" w:type="dxa"/>
                  </w:tcMar>
                  <w:vAlign w:val="center"/>
                </w:tcPr>
                <w:p w14:paraId="2ACD07FD">
                  <w:pPr>
                    <w:widowControl/>
                    <w:adjustRightInd w:val="0"/>
                    <w:jc w:val="center"/>
                    <w:rPr>
                      <w:rFonts w:hint="default" w:ascii="Times New Roman" w:hAnsi="Times New Roman" w:eastAsia="宋体" w:cs="Times New Roman"/>
                      <w:color w:val="auto"/>
                      <w:sz w:val="22"/>
                      <w:szCs w:val="22"/>
                      <w:highlight w:val="none"/>
                    </w:rPr>
                  </w:pPr>
                </w:p>
              </w:tc>
            </w:tr>
            <w:tr w14:paraId="0F332E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349" w:type="dxa"/>
                  <w:vMerge w:val="continue"/>
                  <w:tcBorders>
                    <w:tl2br w:val="nil"/>
                    <w:tr2bl w:val="nil"/>
                  </w:tcBorders>
                  <w:shd w:val="clear" w:color="auto" w:fill="auto"/>
                  <w:tcMar>
                    <w:top w:w="0" w:type="dxa"/>
                    <w:left w:w="0" w:type="dxa"/>
                    <w:bottom w:w="0" w:type="dxa"/>
                    <w:right w:w="0" w:type="dxa"/>
                  </w:tcMar>
                  <w:vAlign w:val="center"/>
                </w:tcPr>
                <w:p w14:paraId="156D5D29">
                  <w:pPr>
                    <w:adjustRightInd w:val="0"/>
                    <w:jc w:val="center"/>
                    <w:rPr>
                      <w:rFonts w:hint="default" w:ascii="Times New Roman" w:hAnsi="Times New Roman" w:eastAsia="宋体" w:cs="Times New Roman"/>
                      <w:color w:val="auto"/>
                      <w:sz w:val="22"/>
                      <w:szCs w:val="22"/>
                      <w:highlight w:val="none"/>
                      <w:lang w:val="en-US" w:eastAsia="zh-CN"/>
                    </w:rPr>
                  </w:pPr>
                </w:p>
              </w:tc>
              <w:tc>
                <w:tcPr>
                  <w:tcW w:w="891" w:type="dxa"/>
                  <w:vMerge w:val="continue"/>
                  <w:tcBorders>
                    <w:tl2br w:val="nil"/>
                    <w:tr2bl w:val="nil"/>
                  </w:tcBorders>
                  <w:shd w:val="clear" w:color="auto" w:fill="auto"/>
                  <w:tcMar>
                    <w:top w:w="0" w:type="dxa"/>
                    <w:left w:w="0" w:type="dxa"/>
                    <w:bottom w:w="0" w:type="dxa"/>
                    <w:right w:w="0" w:type="dxa"/>
                  </w:tcMar>
                  <w:vAlign w:val="center"/>
                </w:tcPr>
                <w:p w14:paraId="63DB3BDA">
                  <w:pPr>
                    <w:adjustRightInd w:val="0"/>
                    <w:jc w:val="center"/>
                    <w:rPr>
                      <w:rFonts w:hint="default" w:ascii="Times New Roman" w:hAnsi="Times New Roman" w:eastAsia="宋体" w:cs="Times New Roman"/>
                      <w:color w:val="auto"/>
                      <w:sz w:val="22"/>
                      <w:szCs w:val="22"/>
                      <w:highlight w:val="none"/>
                    </w:rPr>
                  </w:pPr>
                </w:p>
              </w:tc>
              <w:tc>
                <w:tcPr>
                  <w:tcW w:w="1253" w:type="dxa"/>
                  <w:tcBorders>
                    <w:tl2br w:val="nil"/>
                    <w:tr2bl w:val="nil"/>
                  </w:tcBorders>
                  <w:shd w:val="clear" w:color="auto" w:fill="auto"/>
                  <w:tcMar>
                    <w:top w:w="0" w:type="dxa"/>
                    <w:left w:w="0" w:type="dxa"/>
                    <w:bottom w:w="0" w:type="dxa"/>
                    <w:right w:w="0" w:type="dxa"/>
                  </w:tcMar>
                  <w:vAlign w:val="center"/>
                </w:tcPr>
                <w:p w14:paraId="0E159FB4">
                  <w:pPr>
                    <w:spacing w:before="53"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olor w:val="auto"/>
                      <w:spacing w:val="6"/>
                      <w:szCs w:val="21"/>
                      <w:highlight w:val="none"/>
                      <w:lang w:val="en-US" w:eastAsia="zh-CN"/>
                    </w:rPr>
                    <w:t>其他C类物质（</w:t>
                  </w:r>
                  <w:r>
                    <w:rPr>
                      <w:rFonts w:hint="default"/>
                      <w:color w:val="auto"/>
                      <w:spacing w:val="6"/>
                      <w:szCs w:val="21"/>
                      <w:highlight w:val="none"/>
                    </w:rPr>
                    <w:t>乙酸乙酯</w:t>
                  </w:r>
                  <w:r>
                    <w:rPr>
                      <w:rFonts w:hint="eastAsia"/>
                      <w:color w:val="auto"/>
                      <w:spacing w:val="6"/>
                      <w:szCs w:val="21"/>
                      <w:highlight w:val="none"/>
                      <w:lang w:val="en-US" w:eastAsia="zh-CN"/>
                    </w:rPr>
                    <w:t>）</w:t>
                  </w:r>
                </w:p>
              </w:tc>
              <w:tc>
                <w:tcPr>
                  <w:tcW w:w="1033" w:type="dxa"/>
                  <w:tcBorders>
                    <w:tl2br w:val="nil"/>
                    <w:tr2bl w:val="nil"/>
                  </w:tcBorders>
                  <w:shd w:val="clear" w:color="auto" w:fill="auto"/>
                  <w:tcMar>
                    <w:top w:w="0" w:type="dxa"/>
                    <w:left w:w="0" w:type="dxa"/>
                    <w:bottom w:w="0" w:type="dxa"/>
                    <w:right w:w="0" w:type="dxa"/>
                  </w:tcMar>
                  <w:vAlign w:val="center"/>
                </w:tcPr>
                <w:p w14:paraId="7B642B50">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0.03</w:t>
                  </w:r>
                </w:p>
              </w:tc>
              <w:tc>
                <w:tcPr>
                  <w:tcW w:w="961" w:type="dxa"/>
                  <w:tcBorders>
                    <w:tl2br w:val="nil"/>
                    <w:tr2bl w:val="nil"/>
                  </w:tcBorders>
                  <w:shd w:val="clear" w:color="auto" w:fill="auto"/>
                  <w:tcMar>
                    <w:top w:w="0" w:type="dxa"/>
                    <w:left w:w="0" w:type="dxa"/>
                    <w:bottom w:w="0" w:type="dxa"/>
                    <w:right w:w="0" w:type="dxa"/>
                  </w:tcMar>
                  <w:vAlign w:val="center"/>
                </w:tcPr>
                <w:p w14:paraId="340DAF66">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eastAsia="宋体" w:cs="Times New Roman"/>
                      <w:color w:val="auto"/>
                      <w:kern w:val="0"/>
                      <w:sz w:val="21"/>
                      <w:szCs w:val="21"/>
                      <w:highlight w:val="none"/>
                      <w:vertAlign w:val="baseline"/>
                      <w:lang w:val="en-US" w:eastAsia="zh-CN"/>
                    </w:rPr>
                    <w:t xml:space="preserve">0.0003 </w:t>
                  </w:r>
                </w:p>
              </w:tc>
              <w:tc>
                <w:tcPr>
                  <w:tcW w:w="803" w:type="dxa"/>
                  <w:tcBorders>
                    <w:tl2br w:val="nil"/>
                    <w:tr2bl w:val="nil"/>
                  </w:tcBorders>
                  <w:shd w:val="clear" w:color="auto" w:fill="auto"/>
                  <w:tcMar>
                    <w:top w:w="0" w:type="dxa"/>
                    <w:left w:w="0" w:type="dxa"/>
                    <w:bottom w:w="0" w:type="dxa"/>
                    <w:right w:w="0" w:type="dxa"/>
                  </w:tcMar>
                  <w:vAlign w:val="center"/>
                </w:tcPr>
                <w:p w14:paraId="0CEF567C">
                  <w:pPr>
                    <w:adjustRightInd w:val="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1</w:t>
                  </w:r>
                </w:p>
              </w:tc>
              <w:tc>
                <w:tcPr>
                  <w:tcW w:w="768" w:type="dxa"/>
                  <w:tcBorders>
                    <w:tl2br w:val="nil"/>
                    <w:tr2bl w:val="nil"/>
                  </w:tcBorders>
                  <w:shd w:val="clear" w:color="auto" w:fill="auto"/>
                  <w:tcMar>
                    <w:top w:w="0" w:type="dxa"/>
                    <w:left w:w="0" w:type="dxa"/>
                    <w:bottom w:w="0" w:type="dxa"/>
                    <w:right w:w="0" w:type="dxa"/>
                  </w:tcMar>
                  <w:vAlign w:val="center"/>
                </w:tcPr>
                <w:p w14:paraId="082B41CF">
                  <w:pPr>
                    <w:adjustRightInd w:val="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1</w:t>
                  </w:r>
                </w:p>
              </w:tc>
              <w:tc>
                <w:tcPr>
                  <w:tcW w:w="833" w:type="dxa"/>
                  <w:tcBorders>
                    <w:tl2br w:val="nil"/>
                    <w:tr2bl w:val="nil"/>
                  </w:tcBorders>
                  <w:shd w:val="clear" w:color="auto" w:fill="auto"/>
                  <w:tcMar>
                    <w:top w:w="0" w:type="dxa"/>
                    <w:left w:w="0" w:type="dxa"/>
                    <w:bottom w:w="0" w:type="dxa"/>
                    <w:right w:w="0" w:type="dxa"/>
                  </w:tcMar>
                  <w:vAlign w:val="center"/>
                </w:tcPr>
                <w:p w14:paraId="6907BD54">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eastAsia="宋体" w:cs="Times New Roman"/>
                      <w:color w:val="auto"/>
                      <w:kern w:val="0"/>
                      <w:sz w:val="21"/>
                      <w:szCs w:val="21"/>
                      <w:highlight w:val="none"/>
                      <w:vertAlign w:val="baseline"/>
                      <w:lang w:val="en-US" w:eastAsia="zh-CN"/>
                    </w:rPr>
                    <w:t xml:space="preserve">0.0003 </w:t>
                  </w:r>
                </w:p>
              </w:tc>
              <w:tc>
                <w:tcPr>
                  <w:tcW w:w="658" w:type="dxa"/>
                  <w:vMerge w:val="continue"/>
                  <w:tcBorders>
                    <w:tl2br w:val="nil"/>
                    <w:tr2bl w:val="nil"/>
                  </w:tcBorders>
                  <w:shd w:val="clear" w:color="auto" w:fill="auto"/>
                  <w:tcMar>
                    <w:top w:w="0" w:type="dxa"/>
                    <w:left w:w="0" w:type="dxa"/>
                    <w:bottom w:w="0" w:type="dxa"/>
                    <w:right w:w="0" w:type="dxa"/>
                  </w:tcMar>
                  <w:vAlign w:val="center"/>
                </w:tcPr>
                <w:p w14:paraId="799825C7">
                  <w:pPr>
                    <w:widowControl/>
                    <w:adjustRightInd w:val="0"/>
                    <w:jc w:val="center"/>
                    <w:rPr>
                      <w:rFonts w:hint="default" w:ascii="Times New Roman" w:hAnsi="Times New Roman" w:eastAsia="宋体" w:cs="Times New Roman"/>
                      <w:color w:val="auto"/>
                      <w:sz w:val="22"/>
                      <w:szCs w:val="22"/>
                      <w:highlight w:val="none"/>
                    </w:rPr>
                  </w:pPr>
                </w:p>
              </w:tc>
            </w:tr>
            <w:tr w14:paraId="0537F4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349" w:type="dxa"/>
                  <w:vMerge w:val="continue"/>
                  <w:tcBorders>
                    <w:tl2br w:val="nil"/>
                    <w:tr2bl w:val="nil"/>
                  </w:tcBorders>
                  <w:shd w:val="clear" w:color="auto" w:fill="auto"/>
                  <w:tcMar>
                    <w:top w:w="0" w:type="dxa"/>
                    <w:left w:w="0" w:type="dxa"/>
                    <w:bottom w:w="0" w:type="dxa"/>
                    <w:right w:w="0" w:type="dxa"/>
                  </w:tcMar>
                  <w:vAlign w:val="center"/>
                </w:tcPr>
                <w:p w14:paraId="4FE6FD7D">
                  <w:pPr>
                    <w:adjustRightInd w:val="0"/>
                    <w:jc w:val="center"/>
                    <w:rPr>
                      <w:rFonts w:hint="default" w:ascii="Times New Roman" w:hAnsi="Times New Roman" w:eastAsia="宋体" w:cs="Times New Roman"/>
                      <w:color w:val="auto"/>
                      <w:sz w:val="22"/>
                      <w:szCs w:val="22"/>
                      <w:highlight w:val="none"/>
                    </w:rPr>
                  </w:pPr>
                </w:p>
              </w:tc>
              <w:tc>
                <w:tcPr>
                  <w:tcW w:w="891" w:type="dxa"/>
                  <w:vMerge w:val="continue"/>
                  <w:tcBorders>
                    <w:tl2br w:val="nil"/>
                    <w:tr2bl w:val="nil"/>
                  </w:tcBorders>
                  <w:shd w:val="clear" w:color="auto" w:fill="auto"/>
                  <w:tcMar>
                    <w:top w:w="0" w:type="dxa"/>
                    <w:left w:w="0" w:type="dxa"/>
                    <w:bottom w:w="0" w:type="dxa"/>
                    <w:right w:w="0" w:type="dxa"/>
                  </w:tcMar>
                  <w:vAlign w:val="center"/>
                </w:tcPr>
                <w:p w14:paraId="21554B80">
                  <w:pPr>
                    <w:adjustRightInd w:val="0"/>
                    <w:jc w:val="center"/>
                    <w:rPr>
                      <w:rFonts w:hint="default" w:ascii="Times New Roman" w:hAnsi="Times New Roman" w:eastAsia="宋体" w:cs="Times New Roman"/>
                      <w:color w:val="auto"/>
                      <w:sz w:val="22"/>
                      <w:szCs w:val="22"/>
                      <w:highlight w:val="none"/>
                    </w:rPr>
                  </w:pPr>
                </w:p>
              </w:tc>
              <w:tc>
                <w:tcPr>
                  <w:tcW w:w="1253" w:type="dxa"/>
                  <w:tcBorders>
                    <w:tl2br w:val="nil"/>
                    <w:tr2bl w:val="nil"/>
                  </w:tcBorders>
                  <w:shd w:val="clear" w:color="auto" w:fill="auto"/>
                  <w:tcMar>
                    <w:top w:w="0" w:type="dxa"/>
                    <w:left w:w="0" w:type="dxa"/>
                    <w:bottom w:w="0" w:type="dxa"/>
                    <w:right w:w="0" w:type="dxa"/>
                  </w:tcMar>
                  <w:vAlign w:val="center"/>
                </w:tcPr>
                <w:p w14:paraId="6E33922D">
                  <w:pPr>
                    <w:spacing w:before="51"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olor w:val="auto"/>
                      <w:spacing w:val="6"/>
                      <w:szCs w:val="21"/>
                      <w:highlight w:val="none"/>
                      <w:lang w:val="en-US" w:eastAsia="zh-CN"/>
                    </w:rPr>
                    <w:t>其他C类物质（</w:t>
                  </w:r>
                  <w:r>
                    <w:rPr>
                      <w:color w:val="auto"/>
                      <w:spacing w:val="-6"/>
                      <w:szCs w:val="21"/>
                      <w:highlight w:val="none"/>
                    </w:rPr>
                    <w:t>乙</w:t>
                  </w:r>
                  <w:r>
                    <w:rPr>
                      <w:color w:val="auto"/>
                      <w:spacing w:val="-5"/>
                      <w:szCs w:val="21"/>
                      <w:highlight w:val="none"/>
                    </w:rPr>
                    <w:t>醚</w:t>
                  </w:r>
                  <w:r>
                    <w:rPr>
                      <w:rFonts w:hint="eastAsia"/>
                      <w:color w:val="auto"/>
                      <w:spacing w:val="6"/>
                      <w:szCs w:val="21"/>
                      <w:highlight w:val="none"/>
                      <w:lang w:val="en-US" w:eastAsia="zh-CN"/>
                    </w:rPr>
                    <w:t>）</w:t>
                  </w:r>
                </w:p>
              </w:tc>
              <w:tc>
                <w:tcPr>
                  <w:tcW w:w="1033" w:type="dxa"/>
                  <w:tcBorders>
                    <w:tl2br w:val="nil"/>
                    <w:tr2bl w:val="nil"/>
                  </w:tcBorders>
                  <w:shd w:val="clear" w:color="auto" w:fill="auto"/>
                  <w:tcMar>
                    <w:top w:w="0" w:type="dxa"/>
                    <w:left w:w="0" w:type="dxa"/>
                    <w:bottom w:w="0" w:type="dxa"/>
                    <w:right w:w="0" w:type="dxa"/>
                  </w:tcMar>
                  <w:vAlign w:val="center"/>
                </w:tcPr>
                <w:p w14:paraId="0221C4F3">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0.02</w:t>
                  </w:r>
                </w:p>
              </w:tc>
              <w:tc>
                <w:tcPr>
                  <w:tcW w:w="961" w:type="dxa"/>
                  <w:tcBorders>
                    <w:tl2br w:val="nil"/>
                    <w:tr2bl w:val="nil"/>
                  </w:tcBorders>
                  <w:shd w:val="clear" w:color="auto" w:fill="auto"/>
                  <w:tcMar>
                    <w:top w:w="0" w:type="dxa"/>
                    <w:left w:w="0" w:type="dxa"/>
                    <w:bottom w:w="0" w:type="dxa"/>
                    <w:right w:w="0" w:type="dxa"/>
                  </w:tcMar>
                  <w:vAlign w:val="center"/>
                </w:tcPr>
                <w:p w14:paraId="67E5A71A">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eastAsia="宋体" w:cs="Times New Roman"/>
                      <w:color w:val="auto"/>
                      <w:kern w:val="0"/>
                      <w:sz w:val="21"/>
                      <w:szCs w:val="21"/>
                      <w:highlight w:val="none"/>
                      <w:vertAlign w:val="baseline"/>
                      <w:lang w:val="en-US" w:eastAsia="zh-CN"/>
                    </w:rPr>
                    <w:t>0.0002</w:t>
                  </w:r>
                </w:p>
              </w:tc>
              <w:tc>
                <w:tcPr>
                  <w:tcW w:w="803" w:type="dxa"/>
                  <w:tcBorders>
                    <w:tl2br w:val="nil"/>
                    <w:tr2bl w:val="nil"/>
                  </w:tcBorders>
                  <w:shd w:val="clear" w:color="auto" w:fill="auto"/>
                  <w:tcMar>
                    <w:top w:w="0" w:type="dxa"/>
                    <w:left w:w="0" w:type="dxa"/>
                    <w:bottom w:w="0" w:type="dxa"/>
                    <w:right w:w="0" w:type="dxa"/>
                  </w:tcMar>
                  <w:vAlign w:val="center"/>
                </w:tcPr>
                <w:p w14:paraId="23C0F988">
                  <w:pPr>
                    <w:adjustRightInd w:val="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1</w:t>
                  </w:r>
                </w:p>
              </w:tc>
              <w:tc>
                <w:tcPr>
                  <w:tcW w:w="768" w:type="dxa"/>
                  <w:tcBorders>
                    <w:tl2br w:val="nil"/>
                    <w:tr2bl w:val="nil"/>
                  </w:tcBorders>
                  <w:shd w:val="clear" w:color="auto" w:fill="auto"/>
                  <w:tcMar>
                    <w:top w:w="0" w:type="dxa"/>
                    <w:left w:w="0" w:type="dxa"/>
                    <w:bottom w:w="0" w:type="dxa"/>
                    <w:right w:w="0" w:type="dxa"/>
                  </w:tcMar>
                  <w:vAlign w:val="center"/>
                </w:tcPr>
                <w:p w14:paraId="6EFCC617">
                  <w:pPr>
                    <w:adjustRightInd w:val="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1</w:t>
                  </w:r>
                </w:p>
              </w:tc>
              <w:tc>
                <w:tcPr>
                  <w:tcW w:w="833" w:type="dxa"/>
                  <w:tcBorders>
                    <w:tl2br w:val="nil"/>
                    <w:tr2bl w:val="nil"/>
                  </w:tcBorders>
                  <w:shd w:val="clear" w:color="auto" w:fill="auto"/>
                  <w:tcMar>
                    <w:top w:w="0" w:type="dxa"/>
                    <w:left w:w="0" w:type="dxa"/>
                    <w:bottom w:w="0" w:type="dxa"/>
                    <w:right w:w="0" w:type="dxa"/>
                  </w:tcMar>
                  <w:vAlign w:val="center"/>
                </w:tcPr>
                <w:p w14:paraId="08EB159F">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eastAsia="宋体" w:cs="Times New Roman"/>
                      <w:color w:val="auto"/>
                      <w:kern w:val="0"/>
                      <w:sz w:val="21"/>
                      <w:szCs w:val="21"/>
                      <w:highlight w:val="none"/>
                      <w:vertAlign w:val="baseline"/>
                      <w:lang w:val="en-US" w:eastAsia="zh-CN"/>
                    </w:rPr>
                    <w:t>0.0002</w:t>
                  </w:r>
                </w:p>
              </w:tc>
              <w:tc>
                <w:tcPr>
                  <w:tcW w:w="658" w:type="dxa"/>
                  <w:vMerge w:val="continue"/>
                  <w:tcBorders>
                    <w:tl2br w:val="nil"/>
                    <w:tr2bl w:val="nil"/>
                  </w:tcBorders>
                  <w:shd w:val="clear" w:color="auto" w:fill="auto"/>
                  <w:tcMar>
                    <w:top w:w="0" w:type="dxa"/>
                    <w:left w:w="0" w:type="dxa"/>
                    <w:bottom w:w="0" w:type="dxa"/>
                    <w:right w:w="0" w:type="dxa"/>
                  </w:tcMar>
                  <w:vAlign w:val="center"/>
                </w:tcPr>
                <w:p w14:paraId="374953BE">
                  <w:pPr>
                    <w:adjustRightInd w:val="0"/>
                    <w:jc w:val="center"/>
                    <w:rPr>
                      <w:rFonts w:hint="default" w:ascii="Times New Roman" w:hAnsi="Times New Roman" w:eastAsia="宋体" w:cs="Times New Roman"/>
                      <w:bCs/>
                      <w:color w:val="auto"/>
                      <w:sz w:val="22"/>
                      <w:szCs w:val="22"/>
                      <w:highlight w:val="none"/>
                    </w:rPr>
                  </w:pPr>
                </w:p>
              </w:tc>
            </w:tr>
            <w:tr w14:paraId="42E54A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349" w:type="dxa"/>
                  <w:vMerge w:val="continue"/>
                  <w:tcBorders>
                    <w:tl2br w:val="nil"/>
                    <w:tr2bl w:val="nil"/>
                  </w:tcBorders>
                  <w:shd w:val="clear" w:color="auto" w:fill="auto"/>
                  <w:tcMar>
                    <w:top w:w="0" w:type="dxa"/>
                    <w:left w:w="0" w:type="dxa"/>
                    <w:bottom w:w="0" w:type="dxa"/>
                    <w:right w:w="0" w:type="dxa"/>
                  </w:tcMar>
                  <w:vAlign w:val="center"/>
                </w:tcPr>
                <w:p w14:paraId="65AC6745">
                  <w:pPr>
                    <w:adjustRightInd w:val="0"/>
                    <w:jc w:val="center"/>
                    <w:rPr>
                      <w:rFonts w:hint="default" w:ascii="Times New Roman" w:hAnsi="Times New Roman" w:eastAsia="宋体" w:cs="Times New Roman"/>
                      <w:color w:val="auto"/>
                      <w:sz w:val="22"/>
                      <w:szCs w:val="22"/>
                      <w:highlight w:val="none"/>
                    </w:rPr>
                  </w:pPr>
                </w:p>
              </w:tc>
              <w:tc>
                <w:tcPr>
                  <w:tcW w:w="891" w:type="dxa"/>
                  <w:vMerge w:val="continue"/>
                  <w:tcBorders>
                    <w:tl2br w:val="nil"/>
                    <w:tr2bl w:val="nil"/>
                  </w:tcBorders>
                  <w:shd w:val="clear" w:color="auto" w:fill="auto"/>
                  <w:tcMar>
                    <w:top w:w="0" w:type="dxa"/>
                    <w:left w:w="0" w:type="dxa"/>
                    <w:bottom w:w="0" w:type="dxa"/>
                    <w:right w:w="0" w:type="dxa"/>
                  </w:tcMar>
                  <w:vAlign w:val="center"/>
                </w:tcPr>
                <w:p w14:paraId="2E875C5E">
                  <w:pPr>
                    <w:adjustRightInd w:val="0"/>
                    <w:jc w:val="center"/>
                    <w:rPr>
                      <w:rFonts w:hint="default" w:ascii="Times New Roman" w:hAnsi="Times New Roman" w:eastAsia="宋体" w:cs="Times New Roman"/>
                      <w:color w:val="auto"/>
                      <w:sz w:val="22"/>
                      <w:szCs w:val="22"/>
                      <w:highlight w:val="none"/>
                    </w:rPr>
                  </w:pPr>
                </w:p>
              </w:tc>
              <w:tc>
                <w:tcPr>
                  <w:tcW w:w="1253" w:type="dxa"/>
                  <w:tcBorders>
                    <w:tl2br w:val="nil"/>
                    <w:tr2bl w:val="nil"/>
                  </w:tcBorders>
                  <w:shd w:val="clear" w:color="auto" w:fill="auto"/>
                  <w:tcMar>
                    <w:top w:w="0" w:type="dxa"/>
                    <w:left w:w="0" w:type="dxa"/>
                    <w:bottom w:w="0" w:type="dxa"/>
                    <w:right w:w="0" w:type="dxa"/>
                  </w:tcMar>
                  <w:vAlign w:val="center"/>
                </w:tcPr>
                <w:p w14:paraId="2B6DD422">
                  <w:pPr>
                    <w:spacing w:before="51"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olor w:val="auto"/>
                      <w:spacing w:val="6"/>
                      <w:szCs w:val="21"/>
                      <w:highlight w:val="none"/>
                      <w:lang w:val="en-US" w:eastAsia="zh-CN"/>
                    </w:rPr>
                    <w:t>其他C类物质（</w:t>
                  </w:r>
                  <w:r>
                    <w:rPr>
                      <w:rFonts w:hint="eastAsia"/>
                      <w:color w:val="auto"/>
                      <w:spacing w:val="-6"/>
                      <w:szCs w:val="21"/>
                      <w:highlight w:val="none"/>
                      <w:lang w:val="en-US" w:eastAsia="zh-CN"/>
                    </w:rPr>
                    <w:t>正己烷</w:t>
                  </w:r>
                  <w:r>
                    <w:rPr>
                      <w:rFonts w:hint="eastAsia"/>
                      <w:color w:val="auto"/>
                      <w:spacing w:val="6"/>
                      <w:szCs w:val="21"/>
                      <w:highlight w:val="none"/>
                      <w:lang w:val="en-US" w:eastAsia="zh-CN"/>
                    </w:rPr>
                    <w:t>）</w:t>
                  </w:r>
                </w:p>
              </w:tc>
              <w:tc>
                <w:tcPr>
                  <w:tcW w:w="1033" w:type="dxa"/>
                  <w:tcBorders>
                    <w:tl2br w:val="nil"/>
                    <w:tr2bl w:val="nil"/>
                  </w:tcBorders>
                  <w:shd w:val="clear" w:color="auto" w:fill="auto"/>
                  <w:tcMar>
                    <w:top w:w="0" w:type="dxa"/>
                    <w:left w:w="0" w:type="dxa"/>
                    <w:bottom w:w="0" w:type="dxa"/>
                    <w:right w:w="0" w:type="dxa"/>
                  </w:tcMar>
                  <w:vAlign w:val="center"/>
                </w:tcPr>
                <w:p w14:paraId="0A5934D0">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0.02</w:t>
                  </w:r>
                </w:p>
              </w:tc>
              <w:tc>
                <w:tcPr>
                  <w:tcW w:w="961" w:type="dxa"/>
                  <w:tcBorders>
                    <w:tl2br w:val="nil"/>
                    <w:tr2bl w:val="nil"/>
                  </w:tcBorders>
                  <w:shd w:val="clear" w:color="auto" w:fill="auto"/>
                  <w:tcMar>
                    <w:top w:w="0" w:type="dxa"/>
                    <w:left w:w="0" w:type="dxa"/>
                    <w:bottom w:w="0" w:type="dxa"/>
                    <w:right w:w="0" w:type="dxa"/>
                  </w:tcMar>
                  <w:vAlign w:val="center"/>
                </w:tcPr>
                <w:p w14:paraId="585E57FF">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eastAsia="宋体" w:cs="Times New Roman"/>
                      <w:color w:val="auto"/>
                      <w:kern w:val="0"/>
                      <w:sz w:val="21"/>
                      <w:szCs w:val="21"/>
                      <w:highlight w:val="none"/>
                      <w:vertAlign w:val="baseline"/>
                      <w:lang w:val="en-US" w:eastAsia="zh-CN"/>
                    </w:rPr>
                    <w:t>0.002</w:t>
                  </w:r>
                </w:p>
              </w:tc>
              <w:tc>
                <w:tcPr>
                  <w:tcW w:w="803" w:type="dxa"/>
                  <w:tcBorders>
                    <w:tl2br w:val="nil"/>
                    <w:tr2bl w:val="nil"/>
                  </w:tcBorders>
                  <w:shd w:val="clear" w:color="auto" w:fill="auto"/>
                  <w:tcMar>
                    <w:top w:w="0" w:type="dxa"/>
                    <w:left w:w="0" w:type="dxa"/>
                    <w:bottom w:w="0" w:type="dxa"/>
                    <w:right w:w="0" w:type="dxa"/>
                  </w:tcMar>
                  <w:vAlign w:val="center"/>
                </w:tcPr>
                <w:p w14:paraId="69C14FCD">
                  <w:pPr>
                    <w:adjustRightInd w:val="0"/>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rPr>
                    <w:t>1</w:t>
                  </w:r>
                </w:p>
              </w:tc>
              <w:tc>
                <w:tcPr>
                  <w:tcW w:w="768" w:type="dxa"/>
                  <w:tcBorders>
                    <w:tl2br w:val="nil"/>
                    <w:tr2bl w:val="nil"/>
                  </w:tcBorders>
                  <w:shd w:val="clear" w:color="auto" w:fill="auto"/>
                  <w:tcMar>
                    <w:top w:w="0" w:type="dxa"/>
                    <w:left w:w="0" w:type="dxa"/>
                    <w:bottom w:w="0" w:type="dxa"/>
                    <w:right w:w="0" w:type="dxa"/>
                  </w:tcMar>
                  <w:vAlign w:val="center"/>
                </w:tcPr>
                <w:p w14:paraId="445E3897">
                  <w:pPr>
                    <w:adjustRightInd w:val="0"/>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rPr>
                    <w:t>1</w:t>
                  </w:r>
                </w:p>
              </w:tc>
              <w:tc>
                <w:tcPr>
                  <w:tcW w:w="833" w:type="dxa"/>
                  <w:tcBorders>
                    <w:tl2br w:val="nil"/>
                    <w:tr2bl w:val="nil"/>
                  </w:tcBorders>
                  <w:shd w:val="clear" w:color="auto" w:fill="auto"/>
                  <w:tcMar>
                    <w:top w:w="0" w:type="dxa"/>
                    <w:left w:w="0" w:type="dxa"/>
                    <w:bottom w:w="0" w:type="dxa"/>
                    <w:right w:w="0" w:type="dxa"/>
                  </w:tcMar>
                  <w:vAlign w:val="center"/>
                </w:tcPr>
                <w:p w14:paraId="7C165C16">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eastAsia="宋体" w:cs="Times New Roman"/>
                      <w:color w:val="auto"/>
                      <w:kern w:val="0"/>
                      <w:sz w:val="21"/>
                      <w:szCs w:val="21"/>
                      <w:highlight w:val="none"/>
                      <w:vertAlign w:val="baseline"/>
                      <w:lang w:val="en-US" w:eastAsia="zh-CN"/>
                    </w:rPr>
                    <w:t>0.002</w:t>
                  </w:r>
                </w:p>
              </w:tc>
              <w:tc>
                <w:tcPr>
                  <w:tcW w:w="658" w:type="dxa"/>
                  <w:vMerge w:val="continue"/>
                  <w:tcBorders>
                    <w:tl2br w:val="nil"/>
                    <w:tr2bl w:val="nil"/>
                  </w:tcBorders>
                  <w:shd w:val="clear" w:color="auto" w:fill="auto"/>
                  <w:tcMar>
                    <w:top w:w="0" w:type="dxa"/>
                    <w:left w:w="0" w:type="dxa"/>
                    <w:bottom w:w="0" w:type="dxa"/>
                    <w:right w:w="0" w:type="dxa"/>
                  </w:tcMar>
                  <w:vAlign w:val="center"/>
                </w:tcPr>
                <w:p w14:paraId="5FB34C35">
                  <w:pPr>
                    <w:adjustRightInd w:val="0"/>
                    <w:jc w:val="center"/>
                    <w:rPr>
                      <w:rFonts w:hint="default" w:ascii="Times New Roman" w:hAnsi="Times New Roman" w:eastAsia="宋体" w:cs="Times New Roman"/>
                      <w:bCs/>
                      <w:color w:val="auto"/>
                      <w:sz w:val="22"/>
                      <w:szCs w:val="22"/>
                      <w:highlight w:val="none"/>
                    </w:rPr>
                  </w:pPr>
                </w:p>
              </w:tc>
            </w:tr>
            <w:tr w14:paraId="2C3E5D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349" w:type="dxa"/>
                  <w:vMerge w:val="continue"/>
                  <w:tcBorders>
                    <w:tl2br w:val="nil"/>
                    <w:tr2bl w:val="nil"/>
                  </w:tcBorders>
                  <w:shd w:val="clear" w:color="auto" w:fill="auto"/>
                  <w:tcMar>
                    <w:top w:w="0" w:type="dxa"/>
                    <w:left w:w="0" w:type="dxa"/>
                    <w:bottom w:w="0" w:type="dxa"/>
                    <w:right w:w="0" w:type="dxa"/>
                  </w:tcMar>
                  <w:vAlign w:val="center"/>
                </w:tcPr>
                <w:p w14:paraId="16E25E15">
                  <w:pPr>
                    <w:adjustRightInd w:val="0"/>
                    <w:jc w:val="center"/>
                    <w:rPr>
                      <w:rFonts w:hint="default" w:ascii="Times New Roman" w:hAnsi="Times New Roman" w:eastAsia="宋体" w:cs="Times New Roman"/>
                      <w:color w:val="auto"/>
                      <w:sz w:val="22"/>
                      <w:szCs w:val="22"/>
                      <w:highlight w:val="none"/>
                    </w:rPr>
                  </w:pPr>
                </w:p>
              </w:tc>
              <w:tc>
                <w:tcPr>
                  <w:tcW w:w="891" w:type="dxa"/>
                  <w:vMerge w:val="continue"/>
                  <w:tcBorders>
                    <w:tl2br w:val="nil"/>
                    <w:tr2bl w:val="nil"/>
                  </w:tcBorders>
                  <w:shd w:val="clear" w:color="auto" w:fill="auto"/>
                  <w:tcMar>
                    <w:top w:w="0" w:type="dxa"/>
                    <w:left w:w="0" w:type="dxa"/>
                    <w:bottom w:w="0" w:type="dxa"/>
                    <w:right w:w="0" w:type="dxa"/>
                  </w:tcMar>
                  <w:vAlign w:val="center"/>
                </w:tcPr>
                <w:p w14:paraId="044C5848">
                  <w:pPr>
                    <w:adjustRightInd w:val="0"/>
                    <w:jc w:val="center"/>
                    <w:rPr>
                      <w:rFonts w:hint="default" w:ascii="Times New Roman" w:hAnsi="Times New Roman" w:eastAsia="宋体" w:cs="Times New Roman"/>
                      <w:color w:val="auto"/>
                      <w:sz w:val="22"/>
                      <w:szCs w:val="22"/>
                      <w:highlight w:val="none"/>
                    </w:rPr>
                  </w:pPr>
                </w:p>
              </w:tc>
              <w:tc>
                <w:tcPr>
                  <w:tcW w:w="1253" w:type="dxa"/>
                  <w:tcBorders>
                    <w:tl2br w:val="nil"/>
                    <w:tr2bl w:val="nil"/>
                  </w:tcBorders>
                  <w:shd w:val="clear" w:color="auto" w:fill="auto"/>
                  <w:tcMar>
                    <w:top w:w="0" w:type="dxa"/>
                    <w:left w:w="0" w:type="dxa"/>
                    <w:bottom w:w="0" w:type="dxa"/>
                    <w:right w:w="0" w:type="dxa"/>
                  </w:tcMar>
                  <w:vAlign w:val="center"/>
                </w:tcPr>
                <w:p w14:paraId="15F5F190">
                  <w:pPr>
                    <w:spacing w:before="51"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olor w:val="auto"/>
                      <w:spacing w:val="6"/>
                      <w:szCs w:val="21"/>
                      <w:highlight w:val="none"/>
                      <w:lang w:val="en-US" w:eastAsia="zh-CN"/>
                    </w:rPr>
                    <w:t>其他C类物质（</w:t>
                  </w:r>
                  <w:r>
                    <w:rPr>
                      <w:rFonts w:hint="eastAsia"/>
                      <w:color w:val="auto"/>
                      <w:spacing w:val="-6"/>
                      <w:szCs w:val="21"/>
                      <w:highlight w:val="none"/>
                      <w:lang w:val="en-US" w:eastAsia="zh-CN"/>
                    </w:rPr>
                    <w:t>丙酮</w:t>
                  </w:r>
                  <w:r>
                    <w:rPr>
                      <w:rFonts w:hint="eastAsia"/>
                      <w:color w:val="auto"/>
                      <w:spacing w:val="6"/>
                      <w:szCs w:val="21"/>
                      <w:highlight w:val="none"/>
                      <w:lang w:val="en-US" w:eastAsia="zh-CN"/>
                    </w:rPr>
                    <w:t>）</w:t>
                  </w:r>
                </w:p>
              </w:tc>
              <w:tc>
                <w:tcPr>
                  <w:tcW w:w="1033" w:type="dxa"/>
                  <w:tcBorders>
                    <w:tl2br w:val="nil"/>
                    <w:tr2bl w:val="nil"/>
                  </w:tcBorders>
                  <w:shd w:val="clear" w:color="auto" w:fill="auto"/>
                  <w:tcMar>
                    <w:top w:w="0" w:type="dxa"/>
                    <w:left w:w="0" w:type="dxa"/>
                    <w:bottom w:w="0" w:type="dxa"/>
                    <w:right w:w="0" w:type="dxa"/>
                  </w:tcMar>
                  <w:vAlign w:val="center"/>
                </w:tcPr>
                <w:p w14:paraId="53539F61">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0.15</w:t>
                  </w:r>
                </w:p>
              </w:tc>
              <w:tc>
                <w:tcPr>
                  <w:tcW w:w="961" w:type="dxa"/>
                  <w:tcBorders>
                    <w:tl2br w:val="nil"/>
                    <w:tr2bl w:val="nil"/>
                  </w:tcBorders>
                  <w:shd w:val="clear" w:color="auto" w:fill="auto"/>
                  <w:tcMar>
                    <w:top w:w="0" w:type="dxa"/>
                    <w:left w:w="0" w:type="dxa"/>
                    <w:bottom w:w="0" w:type="dxa"/>
                    <w:right w:w="0" w:type="dxa"/>
                  </w:tcMar>
                  <w:vAlign w:val="center"/>
                </w:tcPr>
                <w:p w14:paraId="627D8D08">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eastAsia="宋体" w:cs="Times New Roman"/>
                      <w:color w:val="auto"/>
                      <w:kern w:val="0"/>
                      <w:sz w:val="21"/>
                      <w:szCs w:val="21"/>
                      <w:highlight w:val="none"/>
                      <w:vertAlign w:val="baseline"/>
                      <w:lang w:val="en-US" w:eastAsia="zh-CN"/>
                    </w:rPr>
                    <w:t>0.0015</w:t>
                  </w:r>
                </w:p>
              </w:tc>
              <w:tc>
                <w:tcPr>
                  <w:tcW w:w="803" w:type="dxa"/>
                  <w:tcBorders>
                    <w:tl2br w:val="nil"/>
                    <w:tr2bl w:val="nil"/>
                  </w:tcBorders>
                  <w:shd w:val="clear" w:color="auto" w:fill="auto"/>
                  <w:tcMar>
                    <w:top w:w="0" w:type="dxa"/>
                    <w:left w:w="0" w:type="dxa"/>
                    <w:bottom w:w="0" w:type="dxa"/>
                    <w:right w:w="0" w:type="dxa"/>
                  </w:tcMar>
                  <w:vAlign w:val="center"/>
                </w:tcPr>
                <w:p w14:paraId="69F86F15">
                  <w:pPr>
                    <w:adjustRightInd w:val="0"/>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rPr>
                    <w:t>1</w:t>
                  </w:r>
                </w:p>
              </w:tc>
              <w:tc>
                <w:tcPr>
                  <w:tcW w:w="768" w:type="dxa"/>
                  <w:tcBorders>
                    <w:tl2br w:val="nil"/>
                    <w:tr2bl w:val="nil"/>
                  </w:tcBorders>
                  <w:shd w:val="clear" w:color="auto" w:fill="auto"/>
                  <w:tcMar>
                    <w:top w:w="0" w:type="dxa"/>
                    <w:left w:w="0" w:type="dxa"/>
                    <w:bottom w:w="0" w:type="dxa"/>
                    <w:right w:w="0" w:type="dxa"/>
                  </w:tcMar>
                  <w:vAlign w:val="center"/>
                </w:tcPr>
                <w:p w14:paraId="7CFBAE42">
                  <w:pPr>
                    <w:adjustRightInd w:val="0"/>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rPr>
                    <w:t>1</w:t>
                  </w:r>
                </w:p>
              </w:tc>
              <w:tc>
                <w:tcPr>
                  <w:tcW w:w="833" w:type="dxa"/>
                  <w:tcBorders>
                    <w:tl2br w:val="nil"/>
                    <w:tr2bl w:val="nil"/>
                  </w:tcBorders>
                  <w:shd w:val="clear" w:color="auto" w:fill="auto"/>
                  <w:tcMar>
                    <w:top w:w="0" w:type="dxa"/>
                    <w:left w:w="0" w:type="dxa"/>
                    <w:bottom w:w="0" w:type="dxa"/>
                    <w:right w:w="0" w:type="dxa"/>
                  </w:tcMar>
                  <w:vAlign w:val="center"/>
                </w:tcPr>
                <w:p w14:paraId="4FEA6D85">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eastAsia="宋体" w:cs="Times New Roman"/>
                      <w:color w:val="auto"/>
                      <w:kern w:val="0"/>
                      <w:sz w:val="21"/>
                      <w:szCs w:val="21"/>
                      <w:highlight w:val="none"/>
                      <w:vertAlign w:val="baseline"/>
                      <w:lang w:val="en-US" w:eastAsia="zh-CN"/>
                    </w:rPr>
                    <w:t>0.0015</w:t>
                  </w:r>
                </w:p>
              </w:tc>
              <w:tc>
                <w:tcPr>
                  <w:tcW w:w="658" w:type="dxa"/>
                  <w:vMerge w:val="continue"/>
                  <w:tcBorders>
                    <w:tl2br w:val="nil"/>
                    <w:tr2bl w:val="nil"/>
                  </w:tcBorders>
                  <w:shd w:val="clear" w:color="auto" w:fill="auto"/>
                  <w:tcMar>
                    <w:top w:w="0" w:type="dxa"/>
                    <w:left w:w="0" w:type="dxa"/>
                    <w:bottom w:w="0" w:type="dxa"/>
                    <w:right w:w="0" w:type="dxa"/>
                  </w:tcMar>
                  <w:vAlign w:val="center"/>
                </w:tcPr>
                <w:p w14:paraId="500EFFED">
                  <w:pPr>
                    <w:adjustRightInd w:val="0"/>
                    <w:jc w:val="center"/>
                    <w:rPr>
                      <w:rFonts w:hint="default" w:ascii="Times New Roman" w:hAnsi="Times New Roman" w:eastAsia="宋体" w:cs="Times New Roman"/>
                      <w:bCs/>
                      <w:color w:val="auto"/>
                      <w:sz w:val="22"/>
                      <w:szCs w:val="22"/>
                      <w:highlight w:val="none"/>
                    </w:rPr>
                  </w:pPr>
                </w:p>
              </w:tc>
            </w:tr>
            <w:tr w14:paraId="7C681F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349" w:type="dxa"/>
                  <w:vMerge w:val="continue"/>
                  <w:tcBorders>
                    <w:tl2br w:val="nil"/>
                    <w:tr2bl w:val="nil"/>
                  </w:tcBorders>
                  <w:shd w:val="clear" w:color="auto" w:fill="auto"/>
                  <w:tcMar>
                    <w:top w:w="0" w:type="dxa"/>
                    <w:left w:w="0" w:type="dxa"/>
                    <w:bottom w:w="0" w:type="dxa"/>
                    <w:right w:w="0" w:type="dxa"/>
                  </w:tcMar>
                  <w:vAlign w:val="center"/>
                </w:tcPr>
                <w:p w14:paraId="00A27A10">
                  <w:pPr>
                    <w:adjustRightInd w:val="0"/>
                    <w:jc w:val="center"/>
                    <w:rPr>
                      <w:rFonts w:hint="default" w:ascii="Times New Roman" w:hAnsi="Times New Roman" w:eastAsia="宋体" w:cs="Times New Roman"/>
                      <w:color w:val="auto"/>
                      <w:sz w:val="22"/>
                      <w:szCs w:val="22"/>
                      <w:highlight w:val="none"/>
                    </w:rPr>
                  </w:pPr>
                </w:p>
              </w:tc>
              <w:tc>
                <w:tcPr>
                  <w:tcW w:w="891" w:type="dxa"/>
                  <w:vMerge w:val="continue"/>
                  <w:tcBorders>
                    <w:tl2br w:val="nil"/>
                    <w:tr2bl w:val="nil"/>
                  </w:tcBorders>
                  <w:shd w:val="clear" w:color="auto" w:fill="auto"/>
                  <w:tcMar>
                    <w:top w:w="0" w:type="dxa"/>
                    <w:left w:w="0" w:type="dxa"/>
                    <w:bottom w:w="0" w:type="dxa"/>
                    <w:right w:w="0" w:type="dxa"/>
                  </w:tcMar>
                  <w:vAlign w:val="center"/>
                </w:tcPr>
                <w:p w14:paraId="6865360F">
                  <w:pPr>
                    <w:adjustRightInd w:val="0"/>
                    <w:jc w:val="center"/>
                    <w:rPr>
                      <w:rFonts w:hint="default" w:ascii="Times New Roman" w:hAnsi="Times New Roman" w:eastAsia="宋体" w:cs="Times New Roman"/>
                      <w:color w:val="auto"/>
                      <w:sz w:val="22"/>
                      <w:szCs w:val="22"/>
                      <w:highlight w:val="none"/>
                    </w:rPr>
                  </w:pPr>
                </w:p>
              </w:tc>
              <w:tc>
                <w:tcPr>
                  <w:tcW w:w="1253" w:type="dxa"/>
                  <w:tcBorders>
                    <w:tl2br w:val="nil"/>
                    <w:tr2bl w:val="nil"/>
                  </w:tcBorders>
                  <w:shd w:val="clear" w:color="auto" w:fill="auto"/>
                  <w:tcMar>
                    <w:top w:w="0" w:type="dxa"/>
                    <w:left w:w="0" w:type="dxa"/>
                    <w:bottom w:w="0" w:type="dxa"/>
                    <w:right w:w="0" w:type="dxa"/>
                  </w:tcMar>
                  <w:vAlign w:val="center"/>
                </w:tcPr>
                <w:p w14:paraId="057B112A">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rPr>
                    <w:t>非甲烷总烃</w:t>
                  </w:r>
                </w:p>
              </w:tc>
              <w:tc>
                <w:tcPr>
                  <w:tcW w:w="1033" w:type="dxa"/>
                  <w:tcBorders>
                    <w:tl2br w:val="nil"/>
                    <w:tr2bl w:val="nil"/>
                  </w:tcBorders>
                  <w:shd w:val="clear" w:color="auto" w:fill="auto"/>
                  <w:tcMar>
                    <w:top w:w="0" w:type="dxa"/>
                    <w:left w:w="0" w:type="dxa"/>
                    <w:bottom w:w="0" w:type="dxa"/>
                    <w:right w:w="0" w:type="dxa"/>
                  </w:tcMar>
                  <w:vAlign w:val="center"/>
                </w:tcPr>
                <w:p w14:paraId="2698C650">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0.51</w:t>
                  </w:r>
                </w:p>
              </w:tc>
              <w:tc>
                <w:tcPr>
                  <w:tcW w:w="961" w:type="dxa"/>
                  <w:tcBorders>
                    <w:tl2br w:val="nil"/>
                    <w:tr2bl w:val="nil"/>
                  </w:tcBorders>
                  <w:shd w:val="clear" w:color="auto" w:fill="auto"/>
                  <w:tcMar>
                    <w:top w:w="0" w:type="dxa"/>
                    <w:left w:w="0" w:type="dxa"/>
                    <w:bottom w:w="0" w:type="dxa"/>
                    <w:right w:w="0" w:type="dxa"/>
                  </w:tcMar>
                  <w:vAlign w:val="center"/>
                </w:tcPr>
                <w:p w14:paraId="64DE91CF">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eastAsia="宋体" w:cs="Times New Roman"/>
                      <w:color w:val="auto"/>
                      <w:kern w:val="0"/>
                      <w:sz w:val="21"/>
                      <w:szCs w:val="21"/>
                      <w:highlight w:val="none"/>
                      <w:vertAlign w:val="baseline"/>
                      <w:lang w:val="en-US" w:eastAsia="zh-CN"/>
                    </w:rPr>
                    <w:t>0.0051</w:t>
                  </w:r>
                </w:p>
              </w:tc>
              <w:tc>
                <w:tcPr>
                  <w:tcW w:w="803" w:type="dxa"/>
                  <w:tcBorders>
                    <w:tl2br w:val="nil"/>
                    <w:tr2bl w:val="nil"/>
                  </w:tcBorders>
                  <w:shd w:val="clear" w:color="auto" w:fill="auto"/>
                  <w:tcMar>
                    <w:top w:w="0" w:type="dxa"/>
                    <w:left w:w="0" w:type="dxa"/>
                    <w:bottom w:w="0" w:type="dxa"/>
                    <w:right w:w="0" w:type="dxa"/>
                  </w:tcMar>
                  <w:vAlign w:val="center"/>
                </w:tcPr>
                <w:p w14:paraId="7A9E6235">
                  <w:pPr>
                    <w:adjustRightInd w:val="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sz w:val="22"/>
                      <w:szCs w:val="22"/>
                      <w:highlight w:val="none"/>
                    </w:rPr>
                    <w:t>1</w:t>
                  </w:r>
                </w:p>
              </w:tc>
              <w:tc>
                <w:tcPr>
                  <w:tcW w:w="768" w:type="dxa"/>
                  <w:tcBorders>
                    <w:tl2br w:val="nil"/>
                    <w:tr2bl w:val="nil"/>
                  </w:tcBorders>
                  <w:shd w:val="clear" w:color="auto" w:fill="auto"/>
                  <w:tcMar>
                    <w:top w:w="0" w:type="dxa"/>
                    <w:left w:w="0" w:type="dxa"/>
                    <w:bottom w:w="0" w:type="dxa"/>
                    <w:right w:w="0" w:type="dxa"/>
                  </w:tcMar>
                  <w:vAlign w:val="center"/>
                </w:tcPr>
                <w:p w14:paraId="2B82F0F6">
                  <w:pPr>
                    <w:adjustRightInd w:val="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sz w:val="22"/>
                      <w:szCs w:val="22"/>
                      <w:highlight w:val="none"/>
                    </w:rPr>
                    <w:t>1</w:t>
                  </w:r>
                </w:p>
              </w:tc>
              <w:tc>
                <w:tcPr>
                  <w:tcW w:w="833" w:type="dxa"/>
                  <w:tcBorders>
                    <w:tl2br w:val="nil"/>
                    <w:tr2bl w:val="nil"/>
                  </w:tcBorders>
                  <w:shd w:val="clear" w:color="auto" w:fill="auto"/>
                  <w:tcMar>
                    <w:top w:w="0" w:type="dxa"/>
                    <w:left w:w="0" w:type="dxa"/>
                    <w:bottom w:w="0" w:type="dxa"/>
                    <w:right w:w="0" w:type="dxa"/>
                  </w:tcMar>
                  <w:vAlign w:val="center"/>
                </w:tcPr>
                <w:p w14:paraId="31675711">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eastAsia="宋体" w:cs="Times New Roman"/>
                      <w:color w:val="auto"/>
                      <w:kern w:val="0"/>
                      <w:sz w:val="21"/>
                      <w:szCs w:val="21"/>
                      <w:highlight w:val="none"/>
                      <w:vertAlign w:val="baseline"/>
                      <w:lang w:val="en-US" w:eastAsia="zh-CN"/>
                    </w:rPr>
                    <w:t>0.0051</w:t>
                  </w:r>
                </w:p>
              </w:tc>
              <w:tc>
                <w:tcPr>
                  <w:tcW w:w="658" w:type="dxa"/>
                  <w:vMerge w:val="continue"/>
                  <w:tcBorders>
                    <w:tl2br w:val="nil"/>
                    <w:tr2bl w:val="nil"/>
                  </w:tcBorders>
                  <w:shd w:val="clear" w:color="auto" w:fill="auto"/>
                  <w:tcMar>
                    <w:top w:w="0" w:type="dxa"/>
                    <w:left w:w="0" w:type="dxa"/>
                    <w:bottom w:w="0" w:type="dxa"/>
                    <w:right w:w="0" w:type="dxa"/>
                  </w:tcMar>
                  <w:vAlign w:val="center"/>
                </w:tcPr>
                <w:p w14:paraId="494E5EB0">
                  <w:pPr>
                    <w:adjustRightInd w:val="0"/>
                    <w:jc w:val="center"/>
                    <w:rPr>
                      <w:rFonts w:hint="default" w:ascii="Times New Roman" w:hAnsi="Times New Roman" w:eastAsia="宋体" w:cs="Times New Roman"/>
                      <w:bCs/>
                      <w:color w:val="auto"/>
                      <w:sz w:val="22"/>
                      <w:szCs w:val="22"/>
                      <w:highlight w:val="none"/>
                    </w:rPr>
                  </w:pPr>
                </w:p>
              </w:tc>
            </w:tr>
            <w:tr w14:paraId="62893D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349" w:type="dxa"/>
                  <w:vMerge w:val="continue"/>
                  <w:tcBorders>
                    <w:tl2br w:val="nil"/>
                    <w:tr2bl w:val="nil"/>
                  </w:tcBorders>
                  <w:shd w:val="clear" w:color="auto" w:fill="auto"/>
                  <w:tcMar>
                    <w:top w:w="0" w:type="dxa"/>
                    <w:left w:w="0" w:type="dxa"/>
                    <w:bottom w:w="0" w:type="dxa"/>
                    <w:right w:w="0" w:type="dxa"/>
                  </w:tcMar>
                  <w:vAlign w:val="center"/>
                </w:tcPr>
                <w:p w14:paraId="1FAD8B54">
                  <w:pPr>
                    <w:adjustRightInd w:val="0"/>
                    <w:jc w:val="center"/>
                    <w:rPr>
                      <w:rFonts w:hint="default" w:ascii="Times New Roman" w:hAnsi="Times New Roman" w:eastAsia="宋体" w:cs="Times New Roman"/>
                      <w:color w:val="auto"/>
                      <w:sz w:val="22"/>
                      <w:szCs w:val="22"/>
                      <w:highlight w:val="none"/>
                    </w:rPr>
                  </w:pPr>
                </w:p>
              </w:tc>
              <w:tc>
                <w:tcPr>
                  <w:tcW w:w="891" w:type="dxa"/>
                  <w:vMerge w:val="continue"/>
                  <w:tcBorders>
                    <w:tl2br w:val="nil"/>
                    <w:tr2bl w:val="nil"/>
                  </w:tcBorders>
                  <w:shd w:val="clear" w:color="auto" w:fill="auto"/>
                  <w:tcMar>
                    <w:top w:w="0" w:type="dxa"/>
                    <w:left w:w="0" w:type="dxa"/>
                    <w:bottom w:w="0" w:type="dxa"/>
                    <w:right w:w="0" w:type="dxa"/>
                  </w:tcMar>
                  <w:vAlign w:val="center"/>
                </w:tcPr>
                <w:p w14:paraId="4DAC0E0C">
                  <w:pPr>
                    <w:adjustRightInd w:val="0"/>
                    <w:jc w:val="center"/>
                    <w:rPr>
                      <w:rFonts w:hint="default" w:ascii="Times New Roman" w:hAnsi="Times New Roman" w:eastAsia="宋体" w:cs="Times New Roman"/>
                      <w:color w:val="auto"/>
                      <w:sz w:val="22"/>
                      <w:szCs w:val="22"/>
                      <w:highlight w:val="none"/>
                    </w:rPr>
                  </w:pPr>
                </w:p>
              </w:tc>
              <w:tc>
                <w:tcPr>
                  <w:tcW w:w="1253" w:type="dxa"/>
                  <w:tcBorders>
                    <w:tl2br w:val="nil"/>
                    <w:tr2bl w:val="nil"/>
                  </w:tcBorders>
                  <w:shd w:val="clear" w:color="auto" w:fill="auto"/>
                  <w:tcMar>
                    <w:top w:w="0" w:type="dxa"/>
                    <w:left w:w="0" w:type="dxa"/>
                    <w:bottom w:w="0" w:type="dxa"/>
                    <w:right w:w="0" w:type="dxa"/>
                  </w:tcMar>
                  <w:vAlign w:val="center"/>
                </w:tcPr>
                <w:p w14:paraId="520AA690">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氯化氢</w:t>
                  </w:r>
                </w:p>
              </w:tc>
              <w:tc>
                <w:tcPr>
                  <w:tcW w:w="1033" w:type="dxa"/>
                  <w:tcBorders>
                    <w:tl2br w:val="nil"/>
                    <w:tr2bl w:val="nil"/>
                  </w:tcBorders>
                  <w:shd w:val="clear" w:color="auto" w:fill="auto"/>
                  <w:tcMar>
                    <w:top w:w="0" w:type="dxa"/>
                    <w:left w:w="0" w:type="dxa"/>
                    <w:bottom w:w="0" w:type="dxa"/>
                    <w:right w:w="0" w:type="dxa"/>
                  </w:tcMar>
                  <w:vAlign w:val="center"/>
                </w:tcPr>
                <w:p w14:paraId="4DA8F3C3">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0.23</w:t>
                  </w:r>
                </w:p>
              </w:tc>
              <w:tc>
                <w:tcPr>
                  <w:tcW w:w="961" w:type="dxa"/>
                  <w:tcBorders>
                    <w:tl2br w:val="nil"/>
                    <w:tr2bl w:val="nil"/>
                  </w:tcBorders>
                  <w:shd w:val="clear" w:color="auto" w:fill="auto"/>
                  <w:tcMar>
                    <w:top w:w="0" w:type="dxa"/>
                    <w:left w:w="0" w:type="dxa"/>
                    <w:bottom w:w="0" w:type="dxa"/>
                    <w:right w:w="0" w:type="dxa"/>
                  </w:tcMar>
                  <w:vAlign w:val="center"/>
                </w:tcPr>
                <w:p w14:paraId="3A465FC4">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0.00227</w:t>
                  </w:r>
                </w:p>
              </w:tc>
              <w:tc>
                <w:tcPr>
                  <w:tcW w:w="803" w:type="dxa"/>
                  <w:tcBorders>
                    <w:tl2br w:val="nil"/>
                    <w:tr2bl w:val="nil"/>
                  </w:tcBorders>
                  <w:shd w:val="clear" w:color="auto" w:fill="auto"/>
                  <w:tcMar>
                    <w:top w:w="0" w:type="dxa"/>
                    <w:left w:w="0" w:type="dxa"/>
                    <w:bottom w:w="0" w:type="dxa"/>
                    <w:right w:w="0" w:type="dxa"/>
                  </w:tcMar>
                  <w:vAlign w:val="center"/>
                </w:tcPr>
                <w:p w14:paraId="57C25AC9">
                  <w:pPr>
                    <w:adjustRightInd w:val="0"/>
                    <w:jc w:val="center"/>
                    <w:rPr>
                      <w:rFonts w:hint="default" w:ascii="Times New Roman" w:hAnsi="Times New Roman" w:eastAsia="宋体" w:cs="Times New Roman"/>
                      <w:color w:val="auto"/>
                      <w:sz w:val="22"/>
                      <w:szCs w:val="22"/>
                      <w:highlight w:val="none"/>
                      <w:lang w:val="en-US" w:eastAsia="zh-CN"/>
                    </w:rPr>
                  </w:pPr>
                  <w:r>
                    <w:rPr>
                      <w:rFonts w:hint="eastAsia" w:cs="Times New Roman"/>
                      <w:color w:val="auto"/>
                      <w:sz w:val="22"/>
                      <w:szCs w:val="22"/>
                      <w:highlight w:val="none"/>
                      <w:lang w:val="en-US" w:eastAsia="zh-CN"/>
                    </w:rPr>
                    <w:t>1</w:t>
                  </w:r>
                </w:p>
              </w:tc>
              <w:tc>
                <w:tcPr>
                  <w:tcW w:w="768" w:type="dxa"/>
                  <w:tcBorders>
                    <w:tl2br w:val="nil"/>
                    <w:tr2bl w:val="nil"/>
                  </w:tcBorders>
                  <w:shd w:val="clear" w:color="auto" w:fill="auto"/>
                  <w:tcMar>
                    <w:top w:w="0" w:type="dxa"/>
                    <w:left w:w="0" w:type="dxa"/>
                    <w:bottom w:w="0" w:type="dxa"/>
                    <w:right w:w="0" w:type="dxa"/>
                  </w:tcMar>
                  <w:vAlign w:val="center"/>
                </w:tcPr>
                <w:p w14:paraId="77FCF406">
                  <w:pPr>
                    <w:adjustRightInd w:val="0"/>
                    <w:jc w:val="center"/>
                    <w:rPr>
                      <w:rFonts w:hint="default" w:ascii="Times New Roman" w:hAnsi="Times New Roman" w:eastAsia="宋体" w:cs="Times New Roman"/>
                      <w:color w:val="auto"/>
                      <w:sz w:val="22"/>
                      <w:szCs w:val="22"/>
                      <w:highlight w:val="none"/>
                      <w:lang w:val="en-US" w:eastAsia="zh-CN"/>
                    </w:rPr>
                  </w:pPr>
                  <w:r>
                    <w:rPr>
                      <w:rFonts w:hint="eastAsia" w:cs="Times New Roman"/>
                      <w:color w:val="auto"/>
                      <w:sz w:val="22"/>
                      <w:szCs w:val="22"/>
                      <w:highlight w:val="none"/>
                      <w:lang w:val="en-US" w:eastAsia="zh-CN"/>
                    </w:rPr>
                    <w:t>1</w:t>
                  </w:r>
                </w:p>
              </w:tc>
              <w:tc>
                <w:tcPr>
                  <w:tcW w:w="833" w:type="dxa"/>
                  <w:tcBorders>
                    <w:tl2br w:val="nil"/>
                    <w:tr2bl w:val="nil"/>
                  </w:tcBorders>
                  <w:shd w:val="clear" w:color="auto" w:fill="auto"/>
                  <w:tcMar>
                    <w:top w:w="0" w:type="dxa"/>
                    <w:left w:w="0" w:type="dxa"/>
                    <w:bottom w:w="0" w:type="dxa"/>
                    <w:right w:w="0" w:type="dxa"/>
                  </w:tcMar>
                  <w:vAlign w:val="center"/>
                </w:tcPr>
                <w:p w14:paraId="4B8EF23A">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0.00227</w:t>
                  </w:r>
                </w:p>
              </w:tc>
              <w:tc>
                <w:tcPr>
                  <w:tcW w:w="658" w:type="dxa"/>
                  <w:vMerge w:val="continue"/>
                  <w:tcBorders>
                    <w:tl2br w:val="nil"/>
                    <w:tr2bl w:val="nil"/>
                  </w:tcBorders>
                  <w:shd w:val="clear" w:color="auto" w:fill="auto"/>
                  <w:tcMar>
                    <w:top w:w="0" w:type="dxa"/>
                    <w:left w:w="0" w:type="dxa"/>
                    <w:bottom w:w="0" w:type="dxa"/>
                    <w:right w:w="0" w:type="dxa"/>
                  </w:tcMar>
                  <w:vAlign w:val="center"/>
                </w:tcPr>
                <w:p w14:paraId="792B877E">
                  <w:pPr>
                    <w:adjustRightInd w:val="0"/>
                    <w:jc w:val="center"/>
                    <w:rPr>
                      <w:rFonts w:hint="default" w:ascii="Times New Roman" w:hAnsi="Times New Roman" w:eastAsia="宋体" w:cs="Times New Roman"/>
                      <w:bCs/>
                      <w:color w:val="auto"/>
                      <w:sz w:val="22"/>
                      <w:szCs w:val="22"/>
                      <w:highlight w:val="none"/>
                    </w:rPr>
                  </w:pPr>
                </w:p>
              </w:tc>
            </w:tr>
            <w:tr w14:paraId="5C9DC9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349" w:type="dxa"/>
                  <w:vMerge w:val="continue"/>
                  <w:tcBorders>
                    <w:tl2br w:val="nil"/>
                    <w:tr2bl w:val="nil"/>
                  </w:tcBorders>
                  <w:shd w:val="clear" w:color="auto" w:fill="auto"/>
                  <w:tcMar>
                    <w:top w:w="0" w:type="dxa"/>
                    <w:left w:w="0" w:type="dxa"/>
                    <w:bottom w:w="0" w:type="dxa"/>
                    <w:right w:w="0" w:type="dxa"/>
                  </w:tcMar>
                  <w:vAlign w:val="center"/>
                </w:tcPr>
                <w:p w14:paraId="04552E80">
                  <w:pPr>
                    <w:adjustRightInd w:val="0"/>
                    <w:jc w:val="center"/>
                    <w:rPr>
                      <w:rFonts w:hint="default" w:ascii="Times New Roman" w:hAnsi="Times New Roman" w:eastAsia="宋体" w:cs="Times New Roman"/>
                      <w:color w:val="auto"/>
                      <w:sz w:val="22"/>
                      <w:szCs w:val="22"/>
                      <w:highlight w:val="none"/>
                      <w:lang w:val="en-US" w:eastAsia="zh-CN"/>
                    </w:rPr>
                  </w:pPr>
                </w:p>
              </w:tc>
              <w:tc>
                <w:tcPr>
                  <w:tcW w:w="891" w:type="dxa"/>
                  <w:vMerge w:val="continue"/>
                  <w:tcBorders>
                    <w:tl2br w:val="nil"/>
                    <w:tr2bl w:val="nil"/>
                  </w:tcBorders>
                  <w:shd w:val="clear" w:color="auto" w:fill="auto"/>
                  <w:tcMar>
                    <w:top w:w="0" w:type="dxa"/>
                    <w:left w:w="0" w:type="dxa"/>
                    <w:bottom w:w="0" w:type="dxa"/>
                    <w:right w:w="0" w:type="dxa"/>
                  </w:tcMar>
                  <w:vAlign w:val="center"/>
                </w:tcPr>
                <w:p w14:paraId="1DBE80DF">
                  <w:pPr>
                    <w:adjustRightInd w:val="0"/>
                    <w:jc w:val="center"/>
                    <w:rPr>
                      <w:rFonts w:hint="default" w:ascii="Times New Roman" w:hAnsi="Times New Roman" w:eastAsia="宋体" w:cs="Times New Roman"/>
                      <w:color w:val="auto"/>
                      <w:sz w:val="22"/>
                      <w:szCs w:val="22"/>
                      <w:highlight w:val="none"/>
                    </w:rPr>
                  </w:pPr>
                </w:p>
              </w:tc>
              <w:tc>
                <w:tcPr>
                  <w:tcW w:w="1253" w:type="dxa"/>
                  <w:tcBorders>
                    <w:tl2br w:val="nil"/>
                    <w:tr2bl w:val="nil"/>
                  </w:tcBorders>
                  <w:shd w:val="clear" w:color="auto" w:fill="auto"/>
                  <w:tcMar>
                    <w:top w:w="0" w:type="dxa"/>
                    <w:left w:w="0" w:type="dxa"/>
                    <w:bottom w:w="0" w:type="dxa"/>
                    <w:right w:w="0" w:type="dxa"/>
                  </w:tcMar>
                  <w:vAlign w:val="center"/>
                </w:tcPr>
                <w:p w14:paraId="05831F14">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氮氧化物</w:t>
                  </w:r>
                </w:p>
              </w:tc>
              <w:tc>
                <w:tcPr>
                  <w:tcW w:w="1033" w:type="dxa"/>
                  <w:tcBorders>
                    <w:tl2br w:val="nil"/>
                    <w:tr2bl w:val="nil"/>
                  </w:tcBorders>
                  <w:shd w:val="clear" w:color="auto" w:fill="auto"/>
                  <w:tcMar>
                    <w:top w:w="0" w:type="dxa"/>
                    <w:left w:w="0" w:type="dxa"/>
                    <w:bottom w:w="0" w:type="dxa"/>
                    <w:right w:w="0" w:type="dxa"/>
                  </w:tcMar>
                  <w:vAlign w:val="center"/>
                </w:tcPr>
                <w:p w14:paraId="0B255B3F">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0.07</w:t>
                  </w:r>
                </w:p>
              </w:tc>
              <w:tc>
                <w:tcPr>
                  <w:tcW w:w="961" w:type="dxa"/>
                  <w:tcBorders>
                    <w:tl2br w:val="nil"/>
                    <w:tr2bl w:val="nil"/>
                  </w:tcBorders>
                  <w:shd w:val="clear" w:color="auto" w:fill="auto"/>
                  <w:tcMar>
                    <w:top w:w="0" w:type="dxa"/>
                    <w:left w:w="0" w:type="dxa"/>
                    <w:bottom w:w="0" w:type="dxa"/>
                    <w:right w:w="0" w:type="dxa"/>
                  </w:tcMar>
                  <w:vAlign w:val="center"/>
                </w:tcPr>
                <w:p w14:paraId="02AB3F79">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0.0007</w:t>
                  </w:r>
                </w:p>
              </w:tc>
              <w:tc>
                <w:tcPr>
                  <w:tcW w:w="803" w:type="dxa"/>
                  <w:tcBorders>
                    <w:tl2br w:val="nil"/>
                    <w:tr2bl w:val="nil"/>
                  </w:tcBorders>
                  <w:shd w:val="clear" w:color="auto" w:fill="auto"/>
                  <w:tcMar>
                    <w:top w:w="0" w:type="dxa"/>
                    <w:left w:w="0" w:type="dxa"/>
                    <w:bottom w:w="0" w:type="dxa"/>
                    <w:right w:w="0" w:type="dxa"/>
                  </w:tcMar>
                  <w:vAlign w:val="center"/>
                </w:tcPr>
                <w:p w14:paraId="4346DA77">
                  <w:pPr>
                    <w:adjustRightInd w:val="0"/>
                    <w:jc w:val="center"/>
                    <w:rPr>
                      <w:rFonts w:hint="eastAsia"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rPr>
                    <w:t>1</w:t>
                  </w:r>
                </w:p>
              </w:tc>
              <w:tc>
                <w:tcPr>
                  <w:tcW w:w="768" w:type="dxa"/>
                  <w:tcBorders>
                    <w:tl2br w:val="nil"/>
                    <w:tr2bl w:val="nil"/>
                  </w:tcBorders>
                  <w:shd w:val="clear" w:color="auto" w:fill="auto"/>
                  <w:tcMar>
                    <w:top w:w="0" w:type="dxa"/>
                    <w:left w:w="0" w:type="dxa"/>
                    <w:bottom w:w="0" w:type="dxa"/>
                    <w:right w:w="0" w:type="dxa"/>
                  </w:tcMar>
                  <w:vAlign w:val="center"/>
                </w:tcPr>
                <w:p w14:paraId="75FACAD0">
                  <w:pPr>
                    <w:adjustRightInd w:val="0"/>
                    <w:jc w:val="center"/>
                    <w:rPr>
                      <w:rFonts w:hint="eastAsia"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rPr>
                    <w:t>1</w:t>
                  </w:r>
                </w:p>
              </w:tc>
              <w:tc>
                <w:tcPr>
                  <w:tcW w:w="833" w:type="dxa"/>
                  <w:tcBorders>
                    <w:tl2br w:val="nil"/>
                    <w:tr2bl w:val="nil"/>
                  </w:tcBorders>
                  <w:shd w:val="clear" w:color="auto" w:fill="auto"/>
                  <w:tcMar>
                    <w:top w:w="0" w:type="dxa"/>
                    <w:left w:w="0" w:type="dxa"/>
                    <w:bottom w:w="0" w:type="dxa"/>
                    <w:right w:w="0" w:type="dxa"/>
                  </w:tcMar>
                  <w:vAlign w:val="center"/>
                </w:tcPr>
                <w:p w14:paraId="7E1DD306">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0.0007</w:t>
                  </w:r>
                </w:p>
              </w:tc>
              <w:tc>
                <w:tcPr>
                  <w:tcW w:w="658" w:type="dxa"/>
                  <w:vMerge w:val="continue"/>
                  <w:tcBorders>
                    <w:tl2br w:val="nil"/>
                    <w:tr2bl w:val="nil"/>
                  </w:tcBorders>
                  <w:shd w:val="clear" w:color="auto" w:fill="auto"/>
                  <w:tcMar>
                    <w:top w:w="0" w:type="dxa"/>
                    <w:left w:w="0" w:type="dxa"/>
                    <w:bottom w:w="0" w:type="dxa"/>
                    <w:right w:w="0" w:type="dxa"/>
                  </w:tcMar>
                  <w:vAlign w:val="center"/>
                </w:tcPr>
                <w:p w14:paraId="059F8118">
                  <w:pPr>
                    <w:adjustRightInd w:val="0"/>
                    <w:jc w:val="center"/>
                    <w:rPr>
                      <w:rFonts w:hint="default" w:ascii="Times New Roman" w:hAnsi="Times New Roman" w:eastAsia="宋体" w:cs="Times New Roman"/>
                      <w:bCs/>
                      <w:color w:val="auto"/>
                      <w:sz w:val="22"/>
                      <w:szCs w:val="22"/>
                      <w:highlight w:val="none"/>
                    </w:rPr>
                  </w:pPr>
                </w:p>
              </w:tc>
            </w:tr>
            <w:tr w14:paraId="58F7EC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349" w:type="dxa"/>
                  <w:vMerge w:val="continue"/>
                  <w:tcBorders>
                    <w:tl2br w:val="nil"/>
                    <w:tr2bl w:val="nil"/>
                  </w:tcBorders>
                  <w:shd w:val="clear" w:color="auto" w:fill="auto"/>
                  <w:tcMar>
                    <w:top w:w="0" w:type="dxa"/>
                    <w:left w:w="0" w:type="dxa"/>
                    <w:bottom w:w="0" w:type="dxa"/>
                    <w:right w:w="0" w:type="dxa"/>
                  </w:tcMar>
                  <w:vAlign w:val="center"/>
                </w:tcPr>
                <w:p w14:paraId="39E4C5A4">
                  <w:pPr>
                    <w:adjustRightInd w:val="0"/>
                    <w:jc w:val="center"/>
                    <w:rPr>
                      <w:rFonts w:hint="default" w:ascii="Times New Roman" w:hAnsi="Times New Roman" w:eastAsia="宋体" w:cs="Times New Roman"/>
                      <w:color w:val="auto"/>
                      <w:sz w:val="22"/>
                      <w:szCs w:val="22"/>
                      <w:highlight w:val="none"/>
                    </w:rPr>
                  </w:pPr>
                </w:p>
              </w:tc>
              <w:tc>
                <w:tcPr>
                  <w:tcW w:w="891" w:type="dxa"/>
                  <w:vMerge w:val="continue"/>
                  <w:tcBorders>
                    <w:tl2br w:val="nil"/>
                    <w:tr2bl w:val="nil"/>
                  </w:tcBorders>
                  <w:shd w:val="clear" w:color="auto" w:fill="auto"/>
                  <w:tcMar>
                    <w:top w:w="0" w:type="dxa"/>
                    <w:left w:w="0" w:type="dxa"/>
                    <w:bottom w:w="0" w:type="dxa"/>
                    <w:right w:w="0" w:type="dxa"/>
                  </w:tcMar>
                  <w:vAlign w:val="center"/>
                </w:tcPr>
                <w:p w14:paraId="2BEB6212">
                  <w:pPr>
                    <w:adjustRightInd w:val="0"/>
                    <w:jc w:val="center"/>
                    <w:rPr>
                      <w:rFonts w:hint="default" w:ascii="Times New Roman" w:hAnsi="Times New Roman" w:eastAsia="宋体" w:cs="Times New Roman"/>
                      <w:color w:val="auto"/>
                      <w:sz w:val="22"/>
                      <w:szCs w:val="22"/>
                      <w:highlight w:val="none"/>
                    </w:rPr>
                  </w:pPr>
                </w:p>
              </w:tc>
              <w:tc>
                <w:tcPr>
                  <w:tcW w:w="1253" w:type="dxa"/>
                  <w:tcBorders>
                    <w:tl2br w:val="nil"/>
                    <w:tr2bl w:val="nil"/>
                  </w:tcBorders>
                  <w:shd w:val="clear" w:color="auto" w:fill="auto"/>
                  <w:tcMar>
                    <w:top w:w="0" w:type="dxa"/>
                    <w:left w:w="0" w:type="dxa"/>
                    <w:bottom w:w="0" w:type="dxa"/>
                    <w:right w:w="0" w:type="dxa"/>
                  </w:tcMar>
                  <w:vAlign w:val="center"/>
                </w:tcPr>
                <w:p w14:paraId="58BD0F5C">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硫酸雾</w:t>
                  </w:r>
                </w:p>
              </w:tc>
              <w:tc>
                <w:tcPr>
                  <w:tcW w:w="1033" w:type="dxa"/>
                  <w:tcBorders>
                    <w:tl2br w:val="nil"/>
                    <w:tr2bl w:val="nil"/>
                  </w:tcBorders>
                  <w:shd w:val="clear" w:color="auto" w:fill="auto"/>
                  <w:tcMar>
                    <w:top w:w="0" w:type="dxa"/>
                    <w:left w:w="0" w:type="dxa"/>
                    <w:bottom w:w="0" w:type="dxa"/>
                    <w:right w:w="0" w:type="dxa"/>
                  </w:tcMar>
                  <w:vAlign w:val="center"/>
                </w:tcPr>
                <w:p w14:paraId="70D2588C">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0.01</w:t>
                  </w:r>
                </w:p>
              </w:tc>
              <w:tc>
                <w:tcPr>
                  <w:tcW w:w="961" w:type="dxa"/>
                  <w:tcBorders>
                    <w:tl2br w:val="nil"/>
                    <w:tr2bl w:val="nil"/>
                  </w:tcBorders>
                  <w:shd w:val="clear" w:color="auto" w:fill="auto"/>
                  <w:tcMar>
                    <w:top w:w="0" w:type="dxa"/>
                    <w:left w:w="0" w:type="dxa"/>
                    <w:bottom w:w="0" w:type="dxa"/>
                    <w:right w:w="0" w:type="dxa"/>
                  </w:tcMar>
                  <w:vAlign w:val="center"/>
                </w:tcPr>
                <w:p w14:paraId="367C0DFD">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0.00005</w:t>
                  </w:r>
                </w:p>
              </w:tc>
              <w:tc>
                <w:tcPr>
                  <w:tcW w:w="803" w:type="dxa"/>
                  <w:tcBorders>
                    <w:tl2br w:val="nil"/>
                    <w:tr2bl w:val="nil"/>
                  </w:tcBorders>
                  <w:shd w:val="clear" w:color="auto" w:fill="auto"/>
                  <w:tcMar>
                    <w:top w:w="0" w:type="dxa"/>
                    <w:left w:w="0" w:type="dxa"/>
                    <w:bottom w:w="0" w:type="dxa"/>
                    <w:right w:w="0" w:type="dxa"/>
                  </w:tcMar>
                  <w:vAlign w:val="center"/>
                </w:tcPr>
                <w:p w14:paraId="5D02743C">
                  <w:pPr>
                    <w:adjustRightInd w:val="0"/>
                    <w:jc w:val="center"/>
                    <w:rPr>
                      <w:rFonts w:hint="eastAsia"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rPr>
                    <w:t>1</w:t>
                  </w:r>
                </w:p>
              </w:tc>
              <w:tc>
                <w:tcPr>
                  <w:tcW w:w="768" w:type="dxa"/>
                  <w:tcBorders>
                    <w:tl2br w:val="nil"/>
                    <w:tr2bl w:val="nil"/>
                  </w:tcBorders>
                  <w:shd w:val="clear" w:color="auto" w:fill="auto"/>
                  <w:tcMar>
                    <w:top w:w="0" w:type="dxa"/>
                    <w:left w:w="0" w:type="dxa"/>
                    <w:bottom w:w="0" w:type="dxa"/>
                    <w:right w:w="0" w:type="dxa"/>
                  </w:tcMar>
                  <w:vAlign w:val="center"/>
                </w:tcPr>
                <w:p w14:paraId="331BD921">
                  <w:pPr>
                    <w:adjustRightInd w:val="0"/>
                    <w:jc w:val="center"/>
                    <w:rPr>
                      <w:rFonts w:hint="eastAsia"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rPr>
                    <w:t>1</w:t>
                  </w:r>
                </w:p>
              </w:tc>
              <w:tc>
                <w:tcPr>
                  <w:tcW w:w="833" w:type="dxa"/>
                  <w:tcBorders>
                    <w:tl2br w:val="nil"/>
                    <w:tr2bl w:val="nil"/>
                  </w:tcBorders>
                  <w:shd w:val="clear" w:color="auto" w:fill="auto"/>
                  <w:tcMar>
                    <w:top w:w="0" w:type="dxa"/>
                    <w:left w:w="0" w:type="dxa"/>
                    <w:bottom w:w="0" w:type="dxa"/>
                    <w:right w:w="0" w:type="dxa"/>
                  </w:tcMar>
                  <w:vAlign w:val="center"/>
                </w:tcPr>
                <w:p w14:paraId="25158F33">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0.00005</w:t>
                  </w:r>
                </w:p>
              </w:tc>
              <w:tc>
                <w:tcPr>
                  <w:tcW w:w="658" w:type="dxa"/>
                  <w:vMerge w:val="continue"/>
                  <w:tcBorders>
                    <w:tl2br w:val="nil"/>
                    <w:tr2bl w:val="nil"/>
                  </w:tcBorders>
                  <w:shd w:val="clear" w:color="auto" w:fill="auto"/>
                  <w:tcMar>
                    <w:top w:w="0" w:type="dxa"/>
                    <w:left w:w="0" w:type="dxa"/>
                    <w:bottom w:w="0" w:type="dxa"/>
                    <w:right w:w="0" w:type="dxa"/>
                  </w:tcMar>
                  <w:vAlign w:val="center"/>
                </w:tcPr>
                <w:p w14:paraId="6E0A90A1">
                  <w:pPr>
                    <w:adjustRightInd w:val="0"/>
                    <w:jc w:val="center"/>
                    <w:rPr>
                      <w:rFonts w:hint="default" w:ascii="Times New Roman" w:hAnsi="Times New Roman" w:eastAsia="宋体" w:cs="Times New Roman"/>
                      <w:bCs/>
                      <w:color w:val="auto"/>
                      <w:sz w:val="22"/>
                      <w:szCs w:val="22"/>
                      <w:highlight w:val="none"/>
                    </w:rPr>
                  </w:pPr>
                </w:p>
              </w:tc>
            </w:tr>
            <w:tr w14:paraId="076F0D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349" w:type="dxa"/>
                  <w:vMerge w:val="continue"/>
                  <w:tcBorders>
                    <w:tl2br w:val="nil"/>
                    <w:tr2bl w:val="nil"/>
                  </w:tcBorders>
                  <w:shd w:val="clear" w:color="auto" w:fill="auto"/>
                  <w:tcMar>
                    <w:top w:w="0" w:type="dxa"/>
                    <w:left w:w="0" w:type="dxa"/>
                    <w:bottom w:w="0" w:type="dxa"/>
                    <w:right w:w="0" w:type="dxa"/>
                  </w:tcMar>
                  <w:vAlign w:val="center"/>
                </w:tcPr>
                <w:p w14:paraId="65B6CD6D">
                  <w:pPr>
                    <w:adjustRightInd w:val="0"/>
                    <w:jc w:val="center"/>
                    <w:rPr>
                      <w:rFonts w:hint="default" w:ascii="Times New Roman" w:hAnsi="Times New Roman" w:eastAsia="宋体" w:cs="Times New Roman"/>
                      <w:color w:val="auto"/>
                      <w:sz w:val="22"/>
                      <w:szCs w:val="22"/>
                      <w:highlight w:val="none"/>
                    </w:rPr>
                  </w:pPr>
                </w:p>
              </w:tc>
              <w:tc>
                <w:tcPr>
                  <w:tcW w:w="891" w:type="dxa"/>
                  <w:vMerge w:val="continue"/>
                  <w:tcBorders>
                    <w:tl2br w:val="nil"/>
                    <w:tr2bl w:val="nil"/>
                  </w:tcBorders>
                  <w:shd w:val="clear" w:color="auto" w:fill="auto"/>
                  <w:tcMar>
                    <w:top w:w="0" w:type="dxa"/>
                    <w:left w:w="0" w:type="dxa"/>
                    <w:bottom w:w="0" w:type="dxa"/>
                    <w:right w:w="0" w:type="dxa"/>
                  </w:tcMar>
                  <w:vAlign w:val="center"/>
                </w:tcPr>
                <w:p w14:paraId="17B59309">
                  <w:pPr>
                    <w:adjustRightInd w:val="0"/>
                    <w:jc w:val="center"/>
                    <w:rPr>
                      <w:rFonts w:hint="default" w:ascii="Times New Roman" w:hAnsi="Times New Roman" w:eastAsia="宋体" w:cs="Times New Roman"/>
                      <w:color w:val="auto"/>
                      <w:sz w:val="22"/>
                      <w:szCs w:val="22"/>
                      <w:highlight w:val="none"/>
                    </w:rPr>
                  </w:pPr>
                </w:p>
              </w:tc>
              <w:tc>
                <w:tcPr>
                  <w:tcW w:w="1253" w:type="dxa"/>
                  <w:tcBorders>
                    <w:tl2br w:val="nil"/>
                    <w:tr2bl w:val="nil"/>
                  </w:tcBorders>
                  <w:shd w:val="clear" w:color="auto" w:fill="auto"/>
                  <w:tcMar>
                    <w:top w:w="0" w:type="dxa"/>
                    <w:left w:w="0" w:type="dxa"/>
                    <w:bottom w:w="0" w:type="dxa"/>
                    <w:right w:w="0" w:type="dxa"/>
                  </w:tcMar>
                  <w:vAlign w:val="center"/>
                </w:tcPr>
                <w:p w14:paraId="2D637828">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氨</w:t>
                  </w:r>
                </w:p>
              </w:tc>
              <w:tc>
                <w:tcPr>
                  <w:tcW w:w="1033" w:type="dxa"/>
                  <w:tcBorders>
                    <w:tl2br w:val="nil"/>
                    <w:tr2bl w:val="nil"/>
                  </w:tcBorders>
                  <w:shd w:val="clear" w:color="auto" w:fill="auto"/>
                  <w:tcMar>
                    <w:top w:w="0" w:type="dxa"/>
                    <w:left w:w="0" w:type="dxa"/>
                    <w:bottom w:w="0" w:type="dxa"/>
                    <w:right w:w="0" w:type="dxa"/>
                  </w:tcMar>
                  <w:vAlign w:val="center"/>
                </w:tcPr>
                <w:p w14:paraId="33E0B238">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0.04</w:t>
                  </w:r>
                </w:p>
              </w:tc>
              <w:tc>
                <w:tcPr>
                  <w:tcW w:w="961" w:type="dxa"/>
                  <w:tcBorders>
                    <w:tl2br w:val="nil"/>
                    <w:tr2bl w:val="nil"/>
                  </w:tcBorders>
                  <w:shd w:val="clear" w:color="auto" w:fill="auto"/>
                  <w:tcMar>
                    <w:top w:w="0" w:type="dxa"/>
                    <w:left w:w="0" w:type="dxa"/>
                    <w:bottom w:w="0" w:type="dxa"/>
                    <w:right w:w="0" w:type="dxa"/>
                  </w:tcMar>
                  <w:vAlign w:val="center"/>
                </w:tcPr>
                <w:p w14:paraId="643DF6B4">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0.0004</w:t>
                  </w:r>
                </w:p>
              </w:tc>
              <w:tc>
                <w:tcPr>
                  <w:tcW w:w="803" w:type="dxa"/>
                  <w:tcBorders>
                    <w:tl2br w:val="nil"/>
                    <w:tr2bl w:val="nil"/>
                  </w:tcBorders>
                  <w:shd w:val="clear" w:color="auto" w:fill="auto"/>
                  <w:tcMar>
                    <w:top w:w="0" w:type="dxa"/>
                    <w:left w:w="0" w:type="dxa"/>
                    <w:bottom w:w="0" w:type="dxa"/>
                    <w:right w:w="0" w:type="dxa"/>
                  </w:tcMar>
                  <w:vAlign w:val="center"/>
                </w:tcPr>
                <w:p w14:paraId="5AE6C8DE">
                  <w:pPr>
                    <w:adjustRightInd w:val="0"/>
                    <w:jc w:val="center"/>
                    <w:rPr>
                      <w:rFonts w:hint="eastAsia"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rPr>
                    <w:t>1</w:t>
                  </w:r>
                </w:p>
              </w:tc>
              <w:tc>
                <w:tcPr>
                  <w:tcW w:w="768" w:type="dxa"/>
                  <w:tcBorders>
                    <w:tl2br w:val="nil"/>
                    <w:tr2bl w:val="nil"/>
                  </w:tcBorders>
                  <w:shd w:val="clear" w:color="auto" w:fill="auto"/>
                  <w:tcMar>
                    <w:top w:w="0" w:type="dxa"/>
                    <w:left w:w="0" w:type="dxa"/>
                    <w:bottom w:w="0" w:type="dxa"/>
                    <w:right w:w="0" w:type="dxa"/>
                  </w:tcMar>
                  <w:vAlign w:val="center"/>
                </w:tcPr>
                <w:p w14:paraId="37FAA81E">
                  <w:pPr>
                    <w:adjustRightInd w:val="0"/>
                    <w:jc w:val="center"/>
                    <w:rPr>
                      <w:rFonts w:hint="eastAsia"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rPr>
                    <w:t>1</w:t>
                  </w:r>
                </w:p>
              </w:tc>
              <w:tc>
                <w:tcPr>
                  <w:tcW w:w="833" w:type="dxa"/>
                  <w:tcBorders>
                    <w:tl2br w:val="nil"/>
                    <w:tr2bl w:val="nil"/>
                  </w:tcBorders>
                  <w:shd w:val="clear" w:color="auto" w:fill="auto"/>
                  <w:tcMar>
                    <w:top w:w="0" w:type="dxa"/>
                    <w:left w:w="0" w:type="dxa"/>
                    <w:bottom w:w="0" w:type="dxa"/>
                    <w:right w:w="0" w:type="dxa"/>
                  </w:tcMar>
                  <w:vAlign w:val="center"/>
                </w:tcPr>
                <w:p w14:paraId="48DAC51B">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0.0004</w:t>
                  </w:r>
                </w:p>
              </w:tc>
              <w:tc>
                <w:tcPr>
                  <w:tcW w:w="658" w:type="dxa"/>
                  <w:vMerge w:val="continue"/>
                  <w:tcBorders>
                    <w:tl2br w:val="nil"/>
                    <w:tr2bl w:val="nil"/>
                  </w:tcBorders>
                  <w:shd w:val="clear" w:color="auto" w:fill="auto"/>
                  <w:tcMar>
                    <w:top w:w="0" w:type="dxa"/>
                    <w:left w:w="0" w:type="dxa"/>
                    <w:bottom w:w="0" w:type="dxa"/>
                    <w:right w:w="0" w:type="dxa"/>
                  </w:tcMar>
                  <w:vAlign w:val="center"/>
                </w:tcPr>
                <w:p w14:paraId="3C74DD10">
                  <w:pPr>
                    <w:adjustRightInd w:val="0"/>
                    <w:jc w:val="center"/>
                    <w:rPr>
                      <w:rFonts w:hint="default" w:ascii="Times New Roman" w:hAnsi="Times New Roman" w:eastAsia="宋体" w:cs="Times New Roman"/>
                      <w:bCs/>
                      <w:color w:val="auto"/>
                      <w:sz w:val="22"/>
                      <w:szCs w:val="22"/>
                      <w:highlight w:val="none"/>
                    </w:rPr>
                  </w:pPr>
                </w:p>
              </w:tc>
            </w:tr>
          </w:tbl>
          <w:p w14:paraId="764E049A">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上表可知，非正常工况下，</w:t>
            </w:r>
            <w:r>
              <w:rPr>
                <w:rFonts w:hint="eastAsia" w:cs="Times New Roman"/>
                <w:color w:val="auto"/>
                <w:sz w:val="24"/>
                <w:highlight w:val="none"/>
                <w:lang w:val="en-US" w:eastAsia="zh-CN"/>
              </w:rPr>
              <w:t>本</w:t>
            </w:r>
            <w:r>
              <w:rPr>
                <w:rFonts w:hint="default" w:ascii="Times New Roman" w:hAnsi="Times New Roman" w:eastAsia="宋体" w:cs="Times New Roman"/>
                <w:color w:val="auto"/>
                <w:sz w:val="24"/>
                <w:highlight w:val="none"/>
                <w:lang w:val="en-US" w:eastAsia="zh-CN"/>
              </w:rPr>
              <w:t>项目</w:t>
            </w:r>
            <w:r>
              <w:rPr>
                <w:rFonts w:hint="eastAsia" w:cs="Times New Roman"/>
                <w:color w:val="auto"/>
                <w:sz w:val="24"/>
                <w:highlight w:val="none"/>
                <w:lang w:val="en-US" w:eastAsia="zh-CN"/>
              </w:rPr>
              <w:t>完成后，</w:t>
            </w:r>
            <w:r>
              <w:rPr>
                <w:rFonts w:hint="default" w:ascii="Times New Roman" w:hAnsi="Times New Roman" w:eastAsia="宋体" w:cs="Times New Roman"/>
                <w:color w:val="auto"/>
                <w:sz w:val="24"/>
                <w:highlight w:val="none"/>
                <w:lang w:val="en-US" w:eastAsia="zh-CN"/>
              </w:rPr>
              <w:t>排放浓度和排放速率能满足北京市《大气污染物综合排放标准》（DB11/501-2017）表 3 中</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生产工艺废气及其他废气大气污染物排放限值</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第 II 时段排放限值要求，非正常工况较正常工况排污量都有所增加，为确保项目废气处理装置正常运行，应立即停止所有产生污染的实验活动，检查维修环保设施，直至故障排除。</w:t>
            </w:r>
          </w:p>
          <w:p w14:paraId="085415A6">
            <w:pPr>
              <w:numPr>
                <w:ilvl w:val="255"/>
                <w:numId w:val="0"/>
              </w:numPr>
              <w:adjustRightInd w:val="0"/>
              <w:spacing w:line="360" w:lineRule="auto"/>
              <w:ind w:left="420" w:left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eastAsia="zh-CN"/>
              </w:rPr>
              <w:t>（</w:t>
            </w:r>
            <w:r>
              <w:rPr>
                <w:rFonts w:hint="eastAsia"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rPr>
              <w:t>自行监测计划</w:t>
            </w:r>
          </w:p>
          <w:p w14:paraId="0A1DBD20">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本项目废气监测计划详见下表。</w:t>
            </w:r>
          </w:p>
          <w:p w14:paraId="115D03F0">
            <w:pPr>
              <w:keepNext w:val="0"/>
              <w:keepLines w:val="0"/>
              <w:widowControl/>
              <w:numPr>
                <w:ilvl w:val="0"/>
                <w:numId w:val="40"/>
              </w:numPr>
              <w:suppressLineNumbers w:val="0"/>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项目废气监测计划</w:t>
            </w:r>
          </w:p>
          <w:tbl>
            <w:tblPr>
              <w:tblStyle w:val="23"/>
              <w:tblW w:w="7617"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233"/>
              <w:gridCol w:w="2825"/>
              <w:gridCol w:w="1196"/>
              <w:gridCol w:w="1424"/>
            </w:tblGrid>
            <w:tr w14:paraId="68909B9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459" w:hRule="atLeast"/>
              </w:trPr>
              <w:tc>
                <w:tcPr>
                  <w:tcW w:w="616" w:type="pct"/>
                  <w:tcBorders>
                    <w:tl2br w:val="nil"/>
                    <w:tr2bl w:val="nil"/>
                  </w:tcBorders>
                  <w:vAlign w:val="center"/>
                </w:tcPr>
                <w:p w14:paraId="659BB242">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时段</w:t>
                  </w:r>
                </w:p>
              </w:tc>
              <w:tc>
                <w:tcPr>
                  <w:tcW w:w="809" w:type="pct"/>
                  <w:tcBorders>
                    <w:tl2br w:val="nil"/>
                    <w:tr2bl w:val="nil"/>
                  </w:tcBorders>
                  <w:vAlign w:val="center"/>
                </w:tcPr>
                <w:p w14:paraId="098EA877">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监测内容</w:t>
                  </w:r>
                </w:p>
              </w:tc>
              <w:tc>
                <w:tcPr>
                  <w:tcW w:w="1854" w:type="pct"/>
                  <w:tcBorders>
                    <w:tl2br w:val="nil"/>
                    <w:tr2bl w:val="nil"/>
                  </w:tcBorders>
                  <w:vAlign w:val="center"/>
                </w:tcPr>
                <w:p w14:paraId="23510197">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
                      <w:color w:val="auto"/>
                      <w:szCs w:val="21"/>
                      <w:highlight w:val="none"/>
                    </w:rPr>
                    <w:t>监测因子</w:t>
                  </w:r>
                </w:p>
              </w:tc>
              <w:tc>
                <w:tcPr>
                  <w:tcW w:w="785" w:type="pct"/>
                  <w:tcBorders>
                    <w:tl2br w:val="nil"/>
                    <w:tr2bl w:val="nil"/>
                  </w:tcBorders>
                  <w:vAlign w:val="center"/>
                </w:tcPr>
                <w:p w14:paraId="78FC5A9C">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监测点位</w:t>
                  </w:r>
                </w:p>
              </w:tc>
              <w:tc>
                <w:tcPr>
                  <w:tcW w:w="934" w:type="pct"/>
                  <w:tcBorders>
                    <w:tl2br w:val="nil"/>
                    <w:tr2bl w:val="nil"/>
                  </w:tcBorders>
                  <w:vAlign w:val="center"/>
                </w:tcPr>
                <w:p w14:paraId="2A32BE3D">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监测频次</w:t>
                  </w:r>
                </w:p>
              </w:tc>
            </w:tr>
            <w:tr w14:paraId="1FB061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16" w:type="pct"/>
                  <w:tcBorders>
                    <w:tl2br w:val="nil"/>
                    <w:tr2bl w:val="nil"/>
                  </w:tcBorders>
                  <w:vAlign w:val="center"/>
                </w:tcPr>
                <w:p w14:paraId="00FE1540">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运营期</w:t>
                  </w:r>
                </w:p>
              </w:tc>
              <w:tc>
                <w:tcPr>
                  <w:tcW w:w="809" w:type="pct"/>
                  <w:tcBorders>
                    <w:tl2br w:val="nil"/>
                    <w:tr2bl w:val="nil"/>
                  </w:tcBorders>
                  <w:vAlign w:val="center"/>
                </w:tcPr>
                <w:p w14:paraId="55B25A2C">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废气</w:t>
                  </w:r>
                </w:p>
              </w:tc>
              <w:tc>
                <w:tcPr>
                  <w:tcW w:w="1854" w:type="pct"/>
                  <w:tcBorders>
                    <w:tl2br w:val="nil"/>
                    <w:tr2bl w:val="nil"/>
                  </w:tcBorders>
                  <w:vAlign w:val="center"/>
                </w:tcPr>
                <w:p w14:paraId="12EABF43">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Cs/>
                      <w:color w:val="auto"/>
                      <w:szCs w:val="21"/>
                      <w:highlight w:val="none"/>
                      <w:lang w:val="en-US" w:eastAsia="zh-CN"/>
                    </w:rPr>
                  </w:pPr>
                  <w:r>
                    <w:rPr>
                      <w:rFonts w:hint="eastAsia" w:cs="Times New Roman"/>
                      <w:color w:val="auto"/>
                      <w:kern w:val="0"/>
                      <w:sz w:val="21"/>
                      <w:szCs w:val="21"/>
                      <w:highlight w:val="none"/>
                      <w:vertAlign w:val="baseline"/>
                      <w:lang w:val="en-US" w:eastAsia="zh-CN"/>
                    </w:rPr>
                    <w:t>非甲烷总烃、甲醇、其他A类物质（乙酸）、其他C类物质（乙酸乙酯、乙醚、丙酮、正己烷）、</w:t>
                  </w:r>
                  <w:r>
                    <w:rPr>
                      <w:rFonts w:hint="eastAsia" w:cs="Times New Roman"/>
                      <w:b w:val="0"/>
                      <w:bCs w:val="0"/>
                      <w:color w:val="auto"/>
                      <w:kern w:val="0"/>
                      <w:sz w:val="21"/>
                      <w:szCs w:val="21"/>
                      <w:highlight w:val="none"/>
                      <w:vertAlign w:val="baseline"/>
                      <w:lang w:val="en-US" w:eastAsia="zh-CN"/>
                    </w:rPr>
                    <w:t>氯化氢、</w:t>
                  </w:r>
                  <w:r>
                    <w:rPr>
                      <w:rFonts w:hint="eastAsia" w:cs="Times New Roman"/>
                      <w:b w:val="0"/>
                      <w:bCs w:val="0"/>
                      <w:color w:val="auto"/>
                      <w:kern w:val="0"/>
                      <w:sz w:val="21"/>
                      <w:szCs w:val="21"/>
                      <w:highlight w:val="none"/>
                      <w:vertAlign w:val="baseline"/>
                      <w:lang w:val="en-US" w:eastAsia="zh-CN" w:bidi="ar-SA"/>
                    </w:rPr>
                    <w:t>氮氧化物、硫酸雾</w:t>
                  </w:r>
                  <w:r>
                    <w:rPr>
                      <w:rFonts w:hint="eastAsia" w:cs="Times New Roman"/>
                      <w:b w:val="0"/>
                      <w:bCs w:val="0"/>
                      <w:color w:val="auto"/>
                      <w:kern w:val="0"/>
                      <w:sz w:val="21"/>
                      <w:szCs w:val="21"/>
                      <w:highlight w:val="none"/>
                      <w:vertAlign w:val="baseline"/>
                      <w:lang w:val="en-US" w:eastAsia="zh-CN"/>
                    </w:rPr>
                    <w:t>、氨</w:t>
                  </w:r>
                </w:p>
              </w:tc>
              <w:tc>
                <w:tcPr>
                  <w:tcW w:w="785" w:type="pct"/>
                  <w:tcBorders>
                    <w:tl2br w:val="nil"/>
                    <w:tr2bl w:val="nil"/>
                  </w:tcBorders>
                  <w:vAlign w:val="center"/>
                </w:tcPr>
                <w:p w14:paraId="5F9551A5">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rPr>
                    <w:t>DA00</w:t>
                  </w:r>
                  <w:r>
                    <w:rPr>
                      <w:rFonts w:hint="default" w:ascii="Times New Roman" w:hAnsi="Times New Roman" w:eastAsia="宋体" w:cs="Times New Roman"/>
                      <w:bCs/>
                      <w:color w:val="auto"/>
                      <w:szCs w:val="21"/>
                      <w:highlight w:val="none"/>
                      <w:lang w:val="en-US" w:eastAsia="zh-CN"/>
                    </w:rPr>
                    <w:t>1</w:t>
                  </w:r>
                </w:p>
              </w:tc>
              <w:tc>
                <w:tcPr>
                  <w:tcW w:w="934" w:type="pct"/>
                  <w:tcBorders>
                    <w:tl2br w:val="nil"/>
                    <w:tr2bl w:val="nil"/>
                  </w:tcBorders>
                  <w:vAlign w:val="center"/>
                </w:tcPr>
                <w:p w14:paraId="2C17C10D">
                  <w:pPr>
                    <w:adjustRightInd w:val="0"/>
                    <w:snapToGrid w:val="0"/>
                    <w:jc w:val="both"/>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每年1次</w:t>
                  </w:r>
                </w:p>
              </w:tc>
            </w:tr>
          </w:tbl>
          <w:p w14:paraId="16AFBD65">
            <w:pPr>
              <w:adjustRightInd w:val="0"/>
              <w:snapToGrid w:val="0"/>
              <w:rPr>
                <w:rFonts w:hint="default" w:ascii="Times New Roman" w:hAnsi="Times New Roman" w:eastAsia="宋体" w:cs="Times New Roman"/>
                <w:bCs/>
                <w:color w:val="auto"/>
                <w:spacing w:val="-10"/>
                <w:szCs w:val="21"/>
                <w:highlight w:val="none"/>
              </w:rPr>
            </w:pPr>
            <w:r>
              <w:rPr>
                <w:rFonts w:hint="default" w:ascii="Times New Roman" w:hAnsi="Times New Roman" w:eastAsia="宋体" w:cs="Times New Roman"/>
                <w:bCs/>
                <w:color w:val="auto"/>
                <w:spacing w:val="-10"/>
                <w:szCs w:val="21"/>
                <w:highlight w:val="none"/>
              </w:rPr>
              <w:t>（注：</w:t>
            </w:r>
            <w:r>
              <w:rPr>
                <w:rFonts w:hint="default" w:ascii="Times New Roman" w:hAnsi="Times New Roman" w:eastAsia="宋体" w:cs="Times New Roman"/>
                <w:bCs/>
                <w:color w:val="auto"/>
                <w:szCs w:val="21"/>
                <w:highlight w:val="none"/>
              </w:rPr>
              <w:t>废气监测计划参照《</w:t>
            </w:r>
            <w:r>
              <w:rPr>
                <w:rFonts w:hint="default" w:ascii="Times New Roman" w:hAnsi="Times New Roman" w:eastAsia="宋体" w:cs="Times New Roman"/>
                <w:bCs/>
                <w:color w:val="auto"/>
                <w:szCs w:val="21"/>
                <w:highlight w:val="none"/>
                <w:lang w:val="ru-RU"/>
              </w:rPr>
              <w:t>排污单位自行监测技术指南 总则</w:t>
            </w:r>
            <w:r>
              <w:rPr>
                <w:rFonts w:hint="default" w:ascii="Times New Roman" w:hAnsi="Times New Roman" w:eastAsia="宋体" w:cs="Times New Roman"/>
                <w:bCs/>
                <w:color w:val="auto"/>
                <w:szCs w:val="21"/>
                <w:highlight w:val="none"/>
              </w:rPr>
              <w:t>》（HJ819-2017）</w:t>
            </w:r>
            <w:r>
              <w:rPr>
                <w:rFonts w:hint="default" w:ascii="Times New Roman" w:hAnsi="Times New Roman" w:eastAsia="宋体" w:cs="Times New Roman"/>
                <w:bCs/>
                <w:color w:val="auto"/>
                <w:spacing w:val="-10"/>
                <w:szCs w:val="21"/>
                <w:highlight w:val="none"/>
              </w:rPr>
              <w:t>）</w:t>
            </w:r>
          </w:p>
          <w:p w14:paraId="5B20B509">
            <w:pPr>
              <w:adjustRightInd w:val="0"/>
              <w:snapToGrid w:val="0"/>
              <w:rPr>
                <w:rFonts w:hint="default" w:ascii="Times New Roman" w:hAnsi="Times New Roman" w:eastAsia="宋体" w:cs="Times New Roman"/>
                <w:bCs/>
                <w:color w:val="auto"/>
                <w:spacing w:val="-10"/>
                <w:szCs w:val="21"/>
                <w:highlight w:val="none"/>
              </w:rPr>
            </w:pPr>
          </w:p>
          <w:p w14:paraId="5F6A7D05">
            <w:pPr>
              <w:numPr>
                <w:ilvl w:val="0"/>
                <w:numId w:val="38"/>
              </w:numPr>
              <w:adjustRightInd w:val="0"/>
              <w:snapToGrid w:val="0"/>
              <w:spacing w:line="360" w:lineRule="auto"/>
              <w:rPr>
                <w:rFonts w:hint="default" w:ascii="Times New Roman" w:hAnsi="Times New Roman" w:eastAsia="宋体" w:cs="Times New Roman"/>
                <w:b/>
                <w:bCs/>
                <w:color w:val="auto"/>
                <w:spacing w:val="-10"/>
                <w:sz w:val="24"/>
                <w:highlight w:val="none"/>
              </w:rPr>
            </w:pPr>
            <w:r>
              <w:rPr>
                <w:rFonts w:hint="default" w:ascii="Times New Roman" w:hAnsi="Times New Roman" w:eastAsia="宋体" w:cs="Times New Roman"/>
                <w:b/>
                <w:bCs/>
                <w:color w:val="auto"/>
                <w:spacing w:val="-10"/>
                <w:sz w:val="24"/>
                <w:highlight w:val="none"/>
              </w:rPr>
              <w:t>废水</w:t>
            </w:r>
          </w:p>
          <w:p w14:paraId="2CD07F08">
            <w:pPr>
              <w:numPr>
                <w:ilvl w:val="255"/>
                <w:numId w:val="0"/>
              </w:numPr>
              <w:adjustRightInd w:val="0"/>
              <w:spacing w:line="360" w:lineRule="auto"/>
              <w:ind w:left="420" w:left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eastAsia="zh-CN"/>
              </w:rPr>
              <w:t>（1）</w:t>
            </w:r>
            <w:r>
              <w:rPr>
                <w:rFonts w:hint="default" w:ascii="Times New Roman" w:hAnsi="Times New Roman" w:eastAsia="宋体" w:cs="Times New Roman"/>
                <w:b/>
                <w:bCs/>
                <w:color w:val="auto"/>
                <w:sz w:val="24"/>
                <w:highlight w:val="none"/>
                <w:lang w:val="en-US" w:eastAsia="zh-CN"/>
              </w:rPr>
              <w:t>废水源强核算</w:t>
            </w:r>
          </w:p>
          <w:p w14:paraId="23D8A12C">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本</w:t>
            </w:r>
            <w:r>
              <w:rPr>
                <w:rFonts w:hint="default" w:ascii="Times New Roman" w:hAnsi="Times New Roman" w:eastAsia="宋体" w:cs="Times New Roman"/>
                <w:color w:val="auto"/>
                <w:sz w:val="24"/>
                <w:highlight w:val="none"/>
                <w:lang w:val="en-US" w:eastAsia="zh-CN"/>
              </w:rPr>
              <w:t>项目排放的废水主要为生活污水</w:t>
            </w:r>
            <w:r>
              <w:rPr>
                <w:rFonts w:hint="default" w:ascii="Times New Roman" w:hAnsi="Times New Roman" w:eastAsia="宋体" w:cs="Times New Roman"/>
                <w:color w:val="auto"/>
                <w:sz w:val="24"/>
                <w:szCs w:val="32"/>
                <w:highlight w:val="none"/>
                <w:lang w:val="en-US" w:eastAsia="zh-CN"/>
              </w:rPr>
              <w:t>、纯水制备废水、</w:t>
            </w:r>
            <w:r>
              <w:rPr>
                <w:rFonts w:hint="eastAsia" w:ascii="Times New Roman" w:hAnsi="Times New Roman" w:eastAsia="宋体" w:cs="Times New Roman"/>
                <w:color w:val="auto"/>
                <w:sz w:val="24"/>
                <w:szCs w:val="32"/>
                <w:highlight w:val="none"/>
                <w:lang w:val="en-US" w:eastAsia="zh-CN"/>
              </w:rPr>
              <w:t>高压蒸汽灭菌废水、容器第三遍及以后</w:t>
            </w:r>
            <w:r>
              <w:rPr>
                <w:rFonts w:hint="default" w:ascii="Times New Roman" w:hAnsi="Times New Roman" w:eastAsia="宋体" w:cs="Times New Roman"/>
                <w:color w:val="auto"/>
                <w:sz w:val="24"/>
                <w:szCs w:val="32"/>
                <w:highlight w:val="none"/>
                <w:lang w:val="en-US" w:eastAsia="zh-CN"/>
              </w:rPr>
              <w:t>清洗废水</w:t>
            </w:r>
            <w:r>
              <w:rPr>
                <w:rFonts w:hint="eastAsia" w:cs="Times New Roman"/>
                <w:color w:val="auto"/>
                <w:sz w:val="24"/>
                <w:szCs w:val="32"/>
                <w:highlight w:val="none"/>
                <w:lang w:val="en-US" w:eastAsia="zh-CN"/>
              </w:rPr>
              <w:t>（</w:t>
            </w:r>
            <w:r>
              <w:rPr>
                <w:rFonts w:hint="eastAsia" w:cs="Times New Roman"/>
                <w:b w:val="0"/>
                <w:bCs w:val="0"/>
                <w:color w:val="auto"/>
                <w:sz w:val="24"/>
                <w:highlight w:val="none"/>
                <w:lang w:val="en-US" w:eastAsia="zh-CN"/>
              </w:rPr>
              <w:t>涉及铬酸钾的清洗废水全部作危险废物收集处置</w:t>
            </w:r>
            <w:r>
              <w:rPr>
                <w:rFonts w:hint="eastAsia" w:cs="Times New Roman"/>
                <w:color w:val="auto"/>
                <w:sz w:val="24"/>
                <w:szCs w:val="32"/>
                <w:highlight w:val="none"/>
                <w:lang w:val="en-US" w:eastAsia="zh-CN"/>
              </w:rPr>
              <w:t>）、地面清洗废水</w:t>
            </w:r>
            <w:r>
              <w:rPr>
                <w:rFonts w:hint="default" w:ascii="Times New Roman" w:hAnsi="Times New Roman" w:eastAsia="宋体" w:cs="Times New Roman"/>
                <w:color w:val="auto"/>
                <w:sz w:val="24"/>
                <w:szCs w:val="32"/>
                <w:highlight w:val="none"/>
                <w:lang w:val="en-US" w:eastAsia="zh-CN"/>
              </w:rPr>
              <w:t>，</w:t>
            </w:r>
            <w:r>
              <w:rPr>
                <w:rFonts w:hint="eastAsia" w:cs="Times New Roman"/>
                <w:color w:val="auto"/>
                <w:sz w:val="24"/>
                <w:szCs w:val="32"/>
                <w:highlight w:val="none"/>
                <w:lang w:val="en-US" w:eastAsia="zh-CN"/>
              </w:rPr>
              <w:t>以上</w:t>
            </w:r>
            <w:r>
              <w:rPr>
                <w:rFonts w:hint="eastAsia" w:cs="Times New Roman"/>
                <w:color w:val="auto"/>
                <w:sz w:val="24"/>
                <w:highlight w:val="none"/>
                <w:lang w:val="en-US" w:eastAsia="zh-CN"/>
              </w:rPr>
              <w:t>废水</w:t>
            </w:r>
            <w:r>
              <w:rPr>
                <w:rFonts w:hint="default" w:cs="Times New Roman"/>
                <w:color w:val="auto"/>
                <w:sz w:val="24"/>
                <w:highlight w:val="none"/>
                <w:lang w:val="en-US" w:eastAsia="zh-CN"/>
              </w:rPr>
              <w:t>一同</w:t>
            </w:r>
            <w:r>
              <w:rPr>
                <w:rFonts w:hint="eastAsia" w:ascii="Times New Roman" w:hAnsi="Times New Roman" w:eastAsia="宋体" w:cs="Times New Roman"/>
                <w:color w:val="auto"/>
                <w:sz w:val="24"/>
                <w:szCs w:val="32"/>
                <w:highlight w:val="none"/>
                <w:lang w:val="en-US" w:eastAsia="zh-CN"/>
              </w:rPr>
              <w:t>进</w:t>
            </w:r>
            <w:r>
              <w:rPr>
                <w:rFonts w:hint="default" w:ascii="Times New Roman" w:hAnsi="Times New Roman" w:eastAsia="宋体" w:cs="Times New Roman"/>
                <w:color w:val="auto"/>
                <w:sz w:val="24"/>
                <w:szCs w:val="32"/>
                <w:highlight w:val="none"/>
              </w:rPr>
              <w:t>园区化粪池处理后排入市政管网</w:t>
            </w:r>
            <w:r>
              <w:rPr>
                <w:rFonts w:hint="eastAsia" w:cs="Times New Roman"/>
                <w:color w:val="auto"/>
                <w:sz w:val="24"/>
                <w:szCs w:val="32"/>
                <w:highlight w:val="none"/>
                <w:lang w:eastAsia="zh-CN"/>
              </w:rPr>
              <w:t>，</w:t>
            </w:r>
            <w:r>
              <w:rPr>
                <w:rFonts w:hint="eastAsia" w:cs="Times New Roman"/>
                <w:color w:val="auto"/>
                <w:sz w:val="24"/>
                <w:szCs w:val="32"/>
                <w:highlight w:val="none"/>
                <w:lang w:val="en-US" w:eastAsia="zh-CN"/>
              </w:rPr>
              <w:t>最终进</w:t>
            </w:r>
            <w:r>
              <w:rPr>
                <w:rFonts w:hint="eastAsia" w:cs="Times New Roman"/>
                <w:color w:val="auto"/>
                <w:sz w:val="24"/>
                <w:highlight w:val="none"/>
                <w:lang w:val="en-US" w:eastAsia="zh-CN"/>
              </w:rPr>
              <w:t>北京新城禹潞环保科技有限责任公司—金桥基地第一污水处理厂</w:t>
            </w:r>
            <w:r>
              <w:rPr>
                <w:rFonts w:hint="default" w:ascii="Times New Roman" w:hAnsi="Times New Roman" w:eastAsia="宋体" w:cs="Times New Roman"/>
                <w:color w:val="auto"/>
                <w:sz w:val="24"/>
                <w:highlight w:val="none"/>
                <w:lang w:val="en-US" w:eastAsia="zh-CN"/>
              </w:rPr>
              <w:t>。</w:t>
            </w:r>
          </w:p>
          <w:p w14:paraId="17107B1B">
            <w:pPr>
              <w:numPr>
                <w:ilvl w:val="0"/>
                <w:numId w:val="0"/>
              </w:numPr>
              <w:adjustRightInd w:val="0"/>
              <w:spacing w:line="360" w:lineRule="auto"/>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本项目生活污水排放量318.8</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 xml:space="preserve"> /a</w:t>
            </w:r>
            <w:r>
              <w:rPr>
                <w:rFonts w:hint="eastAsia" w:cs="Times New Roman"/>
                <w:color w:val="auto"/>
                <w:sz w:val="24"/>
                <w:highlight w:val="none"/>
                <w:lang w:val="en-US" w:eastAsia="zh-CN"/>
              </w:rPr>
              <w:t>、容器第三遍及以后</w:t>
            </w:r>
            <w:r>
              <w:rPr>
                <w:rFonts w:hint="default" w:cs="Times New Roman"/>
                <w:color w:val="auto"/>
                <w:sz w:val="24"/>
                <w:highlight w:val="none"/>
                <w:lang w:val="en-US" w:eastAsia="zh-CN"/>
              </w:rPr>
              <w:t>清洗废水</w:t>
            </w:r>
            <w:r>
              <w:rPr>
                <w:rFonts w:hint="eastAsia" w:cs="Times New Roman"/>
                <w:color w:val="auto"/>
                <w:sz w:val="24"/>
                <w:highlight w:val="none"/>
                <w:lang w:val="en-US" w:eastAsia="zh-CN"/>
              </w:rPr>
              <w:t>0.9</w:t>
            </w:r>
            <w:r>
              <w:rPr>
                <w:rFonts w:hint="default" w:ascii="Times New Roman" w:hAnsi="Times New Roman" w:eastAsia="宋体" w:cs="Times New Roman"/>
                <w:bCs/>
                <w:color w:val="auto"/>
                <w:sz w:val="24"/>
                <w:highlight w:val="none"/>
                <w:lang w:val="en-US" w:eastAsia="zh-CN"/>
              </w:rPr>
              <w:t>m</w:t>
            </w:r>
            <w:r>
              <w:rPr>
                <w:rFonts w:hint="default" w:ascii="Times New Roman" w:hAnsi="Times New Roman" w:eastAsia="宋体" w:cs="Times New Roman"/>
                <w:bCs/>
                <w:color w:val="auto"/>
                <w:sz w:val="24"/>
                <w:highlight w:val="none"/>
                <w:vertAlign w:val="superscript"/>
                <w:lang w:val="en-US" w:eastAsia="zh-CN"/>
              </w:rPr>
              <w:t>3</w:t>
            </w:r>
            <w:r>
              <w:rPr>
                <w:rFonts w:hint="default" w:ascii="Times New Roman" w:hAnsi="Times New Roman" w:eastAsia="宋体" w:cs="Times New Roman"/>
                <w:bCs/>
                <w:color w:val="auto"/>
                <w:sz w:val="24"/>
                <w:highlight w:val="none"/>
              </w:rPr>
              <w:t>/a</w:t>
            </w:r>
            <w:r>
              <w:rPr>
                <w:rFonts w:hint="eastAsia" w:cs="Times New Roman"/>
                <w:bCs/>
                <w:color w:val="auto"/>
                <w:sz w:val="24"/>
                <w:highlight w:val="none"/>
                <w:lang w:eastAsia="zh-CN"/>
              </w:rPr>
              <w:t>、</w:t>
            </w:r>
            <w:r>
              <w:rPr>
                <w:rFonts w:hint="eastAsia" w:cs="Times New Roman"/>
                <w:bCs/>
                <w:color w:val="auto"/>
                <w:sz w:val="24"/>
                <w:highlight w:val="none"/>
                <w:lang w:val="en-US" w:eastAsia="zh-CN"/>
              </w:rPr>
              <w:t>纯水制备废水3.1</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 xml:space="preserve"> /a</w:t>
            </w:r>
            <w:r>
              <w:rPr>
                <w:rFonts w:hint="eastAsia" w:cs="Times New Roman"/>
                <w:color w:val="auto"/>
                <w:sz w:val="24"/>
                <w:highlight w:val="none"/>
                <w:lang w:val="en-US" w:eastAsia="zh-CN"/>
              </w:rPr>
              <w:t>、高压蒸汽灭菌冷凝废水0.09</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 xml:space="preserve"> /a</w:t>
            </w:r>
            <w:r>
              <w:rPr>
                <w:rFonts w:hint="eastAsia" w:cs="Times New Roman"/>
                <w:color w:val="auto"/>
                <w:sz w:val="24"/>
                <w:highlight w:val="none"/>
                <w:lang w:val="en-US" w:eastAsia="zh-CN"/>
              </w:rPr>
              <w:t>、地面清洗废水9</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 xml:space="preserve"> /a</w:t>
            </w:r>
            <w:r>
              <w:rPr>
                <w:rFonts w:hint="eastAsia" w:eastAsia="宋体" w:cs="Times New Roman"/>
                <w:color w:val="auto"/>
                <w:sz w:val="24"/>
                <w:highlight w:val="none"/>
                <w:lang w:val="en-US" w:eastAsia="zh-CN"/>
              </w:rPr>
              <w:t>，</w:t>
            </w:r>
            <w:r>
              <w:rPr>
                <w:rFonts w:hint="default" w:cs="Times New Roman"/>
                <w:color w:val="auto"/>
                <w:sz w:val="24"/>
                <w:highlight w:val="none"/>
                <w:lang w:val="en-US" w:eastAsia="zh-CN"/>
              </w:rPr>
              <w:t>废水排放总量为</w:t>
            </w:r>
            <w:r>
              <w:rPr>
                <w:rFonts w:hint="eastAsia" w:cs="Times New Roman"/>
                <w:color w:val="auto"/>
                <w:sz w:val="24"/>
                <w:highlight w:val="none"/>
                <w:lang w:val="en-US" w:eastAsia="zh-CN"/>
              </w:rPr>
              <w:t xml:space="preserve">331.89 </w:t>
            </w:r>
            <w:r>
              <w:rPr>
                <w:rFonts w:hint="default" w:cs="Times New Roman"/>
                <w:color w:val="auto"/>
                <w:sz w:val="24"/>
                <w:highlight w:val="none"/>
                <w:lang w:val="en-US" w:eastAsia="zh-CN"/>
              </w:rPr>
              <w:t>m</w:t>
            </w:r>
            <w:r>
              <w:rPr>
                <w:rFonts w:hint="default" w:cs="Times New Roman"/>
                <w:color w:val="auto"/>
                <w:sz w:val="24"/>
                <w:highlight w:val="none"/>
                <w:vertAlign w:val="superscript"/>
                <w:lang w:val="en-US" w:eastAsia="zh-CN"/>
              </w:rPr>
              <w:t xml:space="preserve">3 </w:t>
            </w:r>
            <w:r>
              <w:rPr>
                <w:rFonts w:hint="default" w:cs="Times New Roman"/>
                <w:color w:val="auto"/>
                <w:sz w:val="24"/>
                <w:highlight w:val="none"/>
                <w:lang w:val="en-US" w:eastAsia="zh-CN"/>
              </w:rPr>
              <w:t>/a（</w:t>
            </w:r>
            <w:r>
              <w:rPr>
                <w:rFonts w:hint="eastAsia" w:cs="Times New Roman"/>
                <w:color w:val="auto"/>
                <w:sz w:val="24"/>
                <w:highlight w:val="none"/>
                <w:lang w:val="en-US" w:eastAsia="zh-CN"/>
              </w:rPr>
              <w:t>1.33</w:t>
            </w:r>
            <w:r>
              <w:rPr>
                <w:rFonts w:hint="default" w:cs="Times New Roman"/>
                <w:color w:val="auto"/>
                <w:sz w:val="24"/>
                <w:highlight w:val="none"/>
                <w:lang w:val="en-US" w:eastAsia="zh-CN"/>
              </w:rPr>
              <w:t xml:space="preserve"> m</w:t>
            </w:r>
            <w:r>
              <w:rPr>
                <w:rFonts w:hint="default" w:cs="Times New Roman"/>
                <w:color w:val="auto"/>
                <w:sz w:val="24"/>
                <w:highlight w:val="none"/>
                <w:vertAlign w:val="superscript"/>
                <w:lang w:val="en-US" w:eastAsia="zh-CN"/>
              </w:rPr>
              <w:t>3</w:t>
            </w:r>
            <w:r>
              <w:rPr>
                <w:rFonts w:hint="default" w:cs="Times New Roman"/>
                <w:color w:val="auto"/>
                <w:sz w:val="24"/>
                <w:highlight w:val="none"/>
                <w:lang w:val="en-US" w:eastAsia="zh-CN"/>
              </w:rPr>
              <w:t xml:space="preserve"> /d</w:t>
            </w:r>
            <w:r>
              <w:rPr>
                <w:rFonts w:hint="default" w:ascii="Times New Roman" w:hAnsi="Times New Roman" w:eastAsia="宋体" w:cs="Times New Roman"/>
                <w:color w:val="auto"/>
                <w:sz w:val="24"/>
                <w:highlight w:val="none"/>
                <w:lang w:val="en-US" w:eastAsia="zh-CN"/>
              </w:rPr>
              <w:t>）。</w:t>
            </w:r>
          </w:p>
          <w:p w14:paraId="7409A7DC">
            <w:pPr>
              <w:numPr>
                <w:ilvl w:val="0"/>
                <w:numId w:val="43"/>
              </w:numPr>
              <w:adjustRightInd w:val="0"/>
              <w:spacing w:line="360" w:lineRule="auto"/>
              <w:ind w:left="20" w:leftChars="0" w:firstLineChars="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生活污水</w:t>
            </w:r>
            <w:r>
              <w:rPr>
                <w:rFonts w:hint="eastAsia" w:cs="Times New Roman"/>
                <w:color w:val="auto"/>
                <w:sz w:val="24"/>
                <w:highlight w:val="none"/>
                <w:lang w:eastAsia="zh-CN"/>
              </w:rPr>
              <w:t>、</w:t>
            </w:r>
            <w:r>
              <w:rPr>
                <w:rFonts w:hint="eastAsia" w:cs="Times New Roman"/>
                <w:color w:val="auto"/>
                <w:sz w:val="24"/>
                <w:highlight w:val="none"/>
                <w:lang w:val="en-US" w:eastAsia="zh-CN"/>
              </w:rPr>
              <w:t>地面清洗废水</w:t>
            </w:r>
          </w:p>
          <w:p w14:paraId="5EFD8EEE">
            <w:pPr>
              <w:adjustRightInd w:val="0"/>
              <w:spacing w:line="360" w:lineRule="auto"/>
              <w:ind w:firstLine="600" w:firstLineChars="25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本项目生活污水</w:t>
            </w:r>
            <w:r>
              <w:rPr>
                <w:rFonts w:hint="eastAsia" w:cs="Times New Roman"/>
                <w:color w:val="auto"/>
                <w:sz w:val="24"/>
                <w:highlight w:val="none"/>
                <w:lang w:eastAsia="zh-CN"/>
              </w:rPr>
              <w:t>、</w:t>
            </w:r>
            <w:r>
              <w:rPr>
                <w:rFonts w:hint="eastAsia" w:cs="Times New Roman"/>
                <w:color w:val="auto"/>
                <w:sz w:val="24"/>
                <w:highlight w:val="none"/>
                <w:lang w:val="en-US" w:eastAsia="zh-CN"/>
              </w:rPr>
              <w:t>地面清洗废水参考</w:t>
            </w:r>
            <w:r>
              <w:rPr>
                <w:rFonts w:hint="default" w:ascii="Times New Roman" w:hAnsi="Times New Roman" w:eastAsia="宋体" w:cs="Times New Roman"/>
                <w:color w:val="auto"/>
                <w:sz w:val="24"/>
                <w:highlight w:val="none"/>
                <w:lang w:val="en-US" w:eastAsia="zh-CN"/>
              </w:rPr>
              <w:t>《水工业工程设计手册-建筑和小区给排水》中</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12.2.2 污水水量和水质</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，本项目生活污水</w:t>
            </w:r>
            <w:r>
              <w:rPr>
                <w:rFonts w:hint="eastAsia" w:cs="Times New Roman"/>
                <w:color w:val="auto"/>
                <w:sz w:val="24"/>
                <w:highlight w:val="none"/>
                <w:lang w:eastAsia="zh-CN"/>
              </w:rPr>
              <w:t>、</w:t>
            </w:r>
            <w:r>
              <w:rPr>
                <w:rFonts w:hint="eastAsia" w:cs="Times New Roman"/>
                <w:color w:val="auto"/>
                <w:sz w:val="24"/>
                <w:highlight w:val="none"/>
                <w:lang w:val="en-US" w:eastAsia="zh-CN"/>
              </w:rPr>
              <w:t>地面清洗废水</w:t>
            </w:r>
            <w:r>
              <w:rPr>
                <w:rFonts w:hint="default" w:ascii="Times New Roman" w:hAnsi="Times New Roman" w:eastAsia="宋体" w:cs="Times New Roman"/>
                <w:color w:val="auto"/>
                <w:sz w:val="24"/>
                <w:highlight w:val="none"/>
                <w:lang w:val="en-US" w:eastAsia="zh-CN"/>
              </w:rPr>
              <w:t>排放量为</w:t>
            </w:r>
            <w:r>
              <w:rPr>
                <w:rFonts w:hint="eastAsia" w:cs="Times New Roman"/>
                <w:color w:val="auto"/>
                <w:sz w:val="24"/>
                <w:highlight w:val="none"/>
                <w:lang w:val="en-US" w:eastAsia="zh-CN"/>
              </w:rPr>
              <w:t>327.8</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 xml:space="preserve"> /a，水质及排放量参数详见下表。</w:t>
            </w:r>
          </w:p>
          <w:p w14:paraId="6B94BC88">
            <w:pPr>
              <w:keepNext w:val="0"/>
              <w:keepLines w:val="0"/>
              <w:widowControl/>
              <w:numPr>
                <w:ilvl w:val="0"/>
                <w:numId w:val="40"/>
              </w:numPr>
              <w:suppressLineNumbers w:val="0"/>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 xml:space="preserve"> </w:t>
            </w:r>
            <w:r>
              <w:rPr>
                <w:rFonts w:hint="default" w:ascii="Times New Roman" w:hAnsi="Times New Roman" w:eastAsia="宋体" w:cs="Times New Roman"/>
                <w:b/>
                <w:bCs/>
                <w:color w:val="auto"/>
                <w:sz w:val="24"/>
                <w:highlight w:val="none"/>
              </w:rPr>
              <w:t>生活污水水质</w:t>
            </w:r>
            <w:r>
              <w:rPr>
                <w:rFonts w:hint="default" w:ascii="Times New Roman" w:hAnsi="Times New Roman" w:eastAsia="宋体" w:cs="Times New Roman"/>
                <w:b/>
                <w:bCs/>
                <w:color w:val="auto"/>
                <w:sz w:val="24"/>
                <w:highlight w:val="none"/>
                <w:lang w:val="en-US" w:eastAsia="zh-CN"/>
              </w:rPr>
              <w:t>及排放量</w:t>
            </w:r>
          </w:p>
          <w:tbl>
            <w:tblPr>
              <w:tblStyle w:val="23"/>
              <w:tblW w:w="7456"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50"/>
              <w:gridCol w:w="2113"/>
              <w:gridCol w:w="916"/>
              <w:gridCol w:w="869"/>
              <w:gridCol w:w="869"/>
              <w:gridCol w:w="869"/>
              <w:gridCol w:w="870"/>
            </w:tblGrid>
            <w:tr w14:paraId="2D7DEFF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637" w:type="pct"/>
                  <w:tcBorders>
                    <w:tl2br w:val="nil"/>
                    <w:tr2bl w:val="nil"/>
                  </w:tcBorders>
                  <w:vAlign w:val="center"/>
                </w:tcPr>
                <w:p w14:paraId="74D584CE">
                  <w:pPr>
                    <w:adjustRightInd w:val="0"/>
                    <w:snapToGrid w:val="0"/>
                    <w:jc w:val="center"/>
                    <w:rPr>
                      <w:rFonts w:hint="default" w:ascii="Times New Roman" w:hAnsi="Times New Roman" w:eastAsia="宋体" w:cs="Times New Roman"/>
                      <w:b/>
                      <w:color w:val="auto"/>
                      <w:szCs w:val="21"/>
                      <w:highlight w:val="none"/>
                      <w:lang w:val="en-US" w:eastAsia="zh-CN"/>
                    </w:rPr>
                  </w:pPr>
                  <w:r>
                    <w:rPr>
                      <w:rFonts w:hint="eastAsia" w:cs="Times New Roman"/>
                      <w:b/>
                      <w:color w:val="auto"/>
                      <w:szCs w:val="21"/>
                      <w:highlight w:val="none"/>
                      <w:lang w:val="en-US" w:eastAsia="zh-CN"/>
                    </w:rPr>
                    <w:t>水量</w:t>
                  </w:r>
                </w:p>
              </w:tc>
              <w:tc>
                <w:tcPr>
                  <w:tcW w:w="1416" w:type="pct"/>
                  <w:tcBorders>
                    <w:tl2br w:val="nil"/>
                    <w:tr2bl w:val="nil"/>
                  </w:tcBorders>
                  <w:vAlign w:val="center"/>
                </w:tcPr>
                <w:p w14:paraId="373160A7">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项目</w:t>
                  </w:r>
                </w:p>
              </w:tc>
              <w:tc>
                <w:tcPr>
                  <w:tcW w:w="614" w:type="pct"/>
                  <w:tcBorders>
                    <w:tl2br w:val="nil"/>
                    <w:tr2bl w:val="nil"/>
                  </w:tcBorders>
                  <w:vAlign w:val="center"/>
                </w:tcPr>
                <w:p w14:paraId="06BD8466">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COD</w:t>
                  </w:r>
                  <w:r>
                    <w:rPr>
                      <w:rFonts w:hint="default" w:ascii="Times New Roman" w:hAnsi="Times New Roman" w:eastAsia="宋体" w:cs="Times New Roman"/>
                      <w:b/>
                      <w:color w:val="auto"/>
                      <w:szCs w:val="21"/>
                      <w:highlight w:val="none"/>
                      <w:vertAlign w:val="subscript"/>
                    </w:rPr>
                    <w:t>Cr</w:t>
                  </w:r>
                </w:p>
              </w:tc>
              <w:tc>
                <w:tcPr>
                  <w:tcW w:w="582" w:type="pct"/>
                  <w:tcBorders>
                    <w:tl2br w:val="nil"/>
                    <w:tr2bl w:val="nil"/>
                  </w:tcBorders>
                  <w:vAlign w:val="center"/>
                </w:tcPr>
                <w:p w14:paraId="4DD071A4">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BOD</w:t>
                  </w:r>
                  <w:r>
                    <w:rPr>
                      <w:rFonts w:hint="default" w:ascii="Times New Roman" w:hAnsi="Times New Roman" w:eastAsia="宋体" w:cs="Times New Roman"/>
                      <w:b/>
                      <w:color w:val="auto"/>
                      <w:szCs w:val="21"/>
                      <w:highlight w:val="none"/>
                      <w:vertAlign w:val="subscript"/>
                    </w:rPr>
                    <w:t>5</w:t>
                  </w:r>
                </w:p>
              </w:tc>
              <w:tc>
                <w:tcPr>
                  <w:tcW w:w="582" w:type="pct"/>
                  <w:tcBorders>
                    <w:tl2br w:val="nil"/>
                    <w:tr2bl w:val="nil"/>
                  </w:tcBorders>
                  <w:vAlign w:val="center"/>
                </w:tcPr>
                <w:p w14:paraId="2053B992">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SS</w:t>
                  </w:r>
                </w:p>
              </w:tc>
              <w:tc>
                <w:tcPr>
                  <w:tcW w:w="582" w:type="pct"/>
                  <w:tcBorders>
                    <w:tl2br w:val="nil"/>
                    <w:tr2bl w:val="nil"/>
                  </w:tcBorders>
                  <w:vAlign w:val="center"/>
                </w:tcPr>
                <w:p w14:paraId="1FB181D6">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氨氮</w:t>
                  </w:r>
                </w:p>
              </w:tc>
              <w:tc>
                <w:tcPr>
                  <w:tcW w:w="583" w:type="pct"/>
                  <w:tcBorders>
                    <w:tl2br w:val="nil"/>
                    <w:tr2bl w:val="nil"/>
                  </w:tcBorders>
                  <w:vAlign w:val="center"/>
                </w:tcPr>
                <w:p w14:paraId="418201D8">
                  <w:pPr>
                    <w:adjustRightInd w:val="0"/>
                    <w:snapToGrid w:val="0"/>
                    <w:jc w:val="center"/>
                    <w:rPr>
                      <w:rFonts w:hint="default" w:ascii="Times New Roman" w:hAnsi="Times New Roman" w:eastAsia="宋体" w:cs="Times New Roman"/>
                      <w:b/>
                      <w:color w:val="auto"/>
                      <w:szCs w:val="21"/>
                      <w:highlight w:val="none"/>
                      <w:lang w:eastAsia="zh-CN"/>
                    </w:rPr>
                  </w:pPr>
                  <w:r>
                    <w:rPr>
                      <w:rFonts w:hint="default" w:ascii="Times New Roman" w:hAnsi="Times New Roman" w:eastAsia="宋体" w:cs="Times New Roman"/>
                      <w:b/>
                      <w:color w:val="auto"/>
                      <w:szCs w:val="21"/>
                      <w:highlight w:val="none"/>
                      <w:lang w:eastAsia="zh-CN"/>
                    </w:rPr>
                    <w:t>pH</w:t>
                  </w:r>
                </w:p>
              </w:tc>
            </w:tr>
            <w:tr w14:paraId="769A17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6" w:hRule="atLeast"/>
                <w:jc w:val="center"/>
              </w:trPr>
              <w:tc>
                <w:tcPr>
                  <w:tcW w:w="637" w:type="pct"/>
                  <w:vMerge w:val="restart"/>
                  <w:tcBorders>
                    <w:tl2br w:val="nil"/>
                    <w:tr2bl w:val="nil"/>
                  </w:tcBorders>
                  <w:vAlign w:val="center"/>
                </w:tcPr>
                <w:p w14:paraId="38CA44CE">
                  <w:pPr>
                    <w:keepNext w:val="0"/>
                    <w:keepLines w:val="0"/>
                    <w:widowControl/>
                    <w:suppressLineNumbers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 xml:space="preserve">327.8 </w:t>
                  </w:r>
                </w:p>
                <w:p w14:paraId="63B2584B">
                  <w:pPr>
                    <w:keepNext w:val="0"/>
                    <w:keepLines w:val="0"/>
                    <w:widowControl/>
                    <w:suppressLineNumbers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 xml:space="preserve"> /a</w:t>
                  </w:r>
                </w:p>
              </w:tc>
              <w:tc>
                <w:tcPr>
                  <w:tcW w:w="1416" w:type="pct"/>
                  <w:tcBorders>
                    <w:tl2br w:val="nil"/>
                    <w:tr2bl w:val="nil"/>
                  </w:tcBorders>
                  <w:vAlign w:val="center"/>
                </w:tcPr>
                <w:p w14:paraId="36C6F21C">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浓度范围</w:t>
                  </w:r>
                  <w:r>
                    <w:rPr>
                      <w:rFonts w:hint="default" w:ascii="Times New Roman" w:hAnsi="Times New Roman" w:eastAsia="宋体" w:cs="Times New Roman"/>
                      <w:color w:val="auto"/>
                      <w:szCs w:val="21"/>
                      <w:highlight w:val="none"/>
                    </w:rPr>
                    <w:t>（mg/L）</w:t>
                  </w:r>
                </w:p>
              </w:tc>
              <w:tc>
                <w:tcPr>
                  <w:tcW w:w="614" w:type="pct"/>
                  <w:tcBorders>
                    <w:tl2br w:val="nil"/>
                    <w:tr2bl w:val="nil"/>
                  </w:tcBorders>
                  <w:vAlign w:val="center"/>
                </w:tcPr>
                <w:p w14:paraId="3826C9FE">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350~450</w:t>
                  </w:r>
                </w:p>
              </w:tc>
              <w:tc>
                <w:tcPr>
                  <w:tcW w:w="582" w:type="pct"/>
                  <w:tcBorders>
                    <w:tl2br w:val="nil"/>
                    <w:tr2bl w:val="nil"/>
                  </w:tcBorders>
                  <w:vAlign w:val="center"/>
                </w:tcPr>
                <w:p w14:paraId="53E6805F">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180~250</w:t>
                  </w:r>
                </w:p>
              </w:tc>
              <w:tc>
                <w:tcPr>
                  <w:tcW w:w="582" w:type="pct"/>
                  <w:tcBorders>
                    <w:tl2br w:val="nil"/>
                    <w:tr2bl w:val="nil"/>
                  </w:tcBorders>
                  <w:vAlign w:val="center"/>
                </w:tcPr>
                <w:p w14:paraId="435E7548">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200~300</w:t>
                  </w:r>
                </w:p>
              </w:tc>
              <w:tc>
                <w:tcPr>
                  <w:tcW w:w="582" w:type="pct"/>
                  <w:tcBorders>
                    <w:tl2br w:val="nil"/>
                    <w:tr2bl w:val="nil"/>
                  </w:tcBorders>
                  <w:vAlign w:val="center"/>
                </w:tcPr>
                <w:p w14:paraId="73E98A05">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35~40</w:t>
                  </w:r>
                </w:p>
              </w:tc>
              <w:tc>
                <w:tcPr>
                  <w:tcW w:w="583" w:type="pct"/>
                  <w:tcBorders>
                    <w:tl2br w:val="nil"/>
                    <w:tr2bl w:val="nil"/>
                  </w:tcBorders>
                  <w:vAlign w:val="center"/>
                </w:tcPr>
                <w:p w14:paraId="4FAB941D">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6.5~7.5</w:t>
                  </w:r>
                </w:p>
                <w:p w14:paraId="70627D2C">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(无量纲)</w:t>
                  </w:r>
                </w:p>
              </w:tc>
            </w:tr>
            <w:tr w14:paraId="486244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6" w:hRule="atLeast"/>
                <w:jc w:val="center"/>
              </w:trPr>
              <w:tc>
                <w:tcPr>
                  <w:tcW w:w="637" w:type="pct"/>
                  <w:vMerge w:val="continue"/>
                  <w:tcBorders>
                    <w:tl2br w:val="nil"/>
                    <w:tr2bl w:val="nil"/>
                  </w:tcBorders>
                  <w:vAlign w:val="center"/>
                </w:tcPr>
                <w:p w14:paraId="50ED02C4">
                  <w:pPr>
                    <w:adjustRightInd w:val="0"/>
                    <w:snapToGrid w:val="0"/>
                    <w:jc w:val="center"/>
                    <w:rPr>
                      <w:rFonts w:hint="default" w:ascii="Times New Roman" w:hAnsi="Times New Roman" w:eastAsia="宋体" w:cs="Times New Roman"/>
                      <w:color w:val="auto"/>
                      <w:szCs w:val="21"/>
                      <w:highlight w:val="none"/>
                    </w:rPr>
                  </w:pPr>
                </w:p>
              </w:tc>
              <w:tc>
                <w:tcPr>
                  <w:tcW w:w="1416" w:type="pct"/>
                  <w:tcBorders>
                    <w:tl2br w:val="nil"/>
                    <w:tr2bl w:val="nil"/>
                  </w:tcBorders>
                  <w:vAlign w:val="center"/>
                </w:tcPr>
                <w:p w14:paraId="72EB3487">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本项目取值</w:t>
                  </w:r>
                  <w:r>
                    <w:rPr>
                      <w:rFonts w:hint="default" w:ascii="Times New Roman" w:hAnsi="Times New Roman" w:eastAsia="宋体" w:cs="Times New Roman"/>
                      <w:color w:val="auto"/>
                      <w:szCs w:val="21"/>
                      <w:highlight w:val="none"/>
                    </w:rPr>
                    <w:t>（mg/L）</w:t>
                  </w:r>
                </w:p>
              </w:tc>
              <w:tc>
                <w:tcPr>
                  <w:tcW w:w="614" w:type="pct"/>
                  <w:tcBorders>
                    <w:tl2br w:val="nil"/>
                    <w:tr2bl w:val="nil"/>
                  </w:tcBorders>
                  <w:vAlign w:val="center"/>
                </w:tcPr>
                <w:p w14:paraId="20F4F307">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450</w:t>
                  </w:r>
                </w:p>
              </w:tc>
              <w:tc>
                <w:tcPr>
                  <w:tcW w:w="582" w:type="pct"/>
                  <w:tcBorders>
                    <w:tl2br w:val="nil"/>
                    <w:tr2bl w:val="nil"/>
                  </w:tcBorders>
                  <w:vAlign w:val="center"/>
                </w:tcPr>
                <w:p w14:paraId="60881415">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250</w:t>
                  </w:r>
                </w:p>
              </w:tc>
              <w:tc>
                <w:tcPr>
                  <w:tcW w:w="582" w:type="pct"/>
                  <w:tcBorders>
                    <w:tl2br w:val="nil"/>
                    <w:tr2bl w:val="nil"/>
                  </w:tcBorders>
                  <w:vAlign w:val="center"/>
                </w:tcPr>
                <w:p w14:paraId="28ADA4A5">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300</w:t>
                  </w:r>
                </w:p>
              </w:tc>
              <w:tc>
                <w:tcPr>
                  <w:tcW w:w="582" w:type="pct"/>
                  <w:tcBorders>
                    <w:tl2br w:val="nil"/>
                    <w:tr2bl w:val="nil"/>
                  </w:tcBorders>
                  <w:vAlign w:val="center"/>
                </w:tcPr>
                <w:p w14:paraId="38F0C952">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w:t>
                  </w:r>
                </w:p>
              </w:tc>
              <w:tc>
                <w:tcPr>
                  <w:tcW w:w="583" w:type="pct"/>
                  <w:tcBorders>
                    <w:tl2br w:val="nil"/>
                    <w:tr2bl w:val="nil"/>
                  </w:tcBorders>
                  <w:vAlign w:val="center"/>
                </w:tcPr>
                <w:p w14:paraId="1546AC3C">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6.5~7.5</w:t>
                  </w:r>
                </w:p>
                <w:p w14:paraId="6490128C">
                  <w:pPr>
                    <w:snapToGrid w:val="0"/>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(无量纲)</w:t>
                  </w:r>
                </w:p>
              </w:tc>
            </w:tr>
            <w:tr w14:paraId="59698ED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1" w:hRule="atLeast"/>
                <w:jc w:val="center"/>
              </w:trPr>
              <w:tc>
                <w:tcPr>
                  <w:tcW w:w="637" w:type="pct"/>
                  <w:vMerge w:val="continue"/>
                  <w:tcBorders>
                    <w:tl2br w:val="nil"/>
                    <w:tr2bl w:val="nil"/>
                  </w:tcBorders>
                  <w:vAlign w:val="center"/>
                </w:tcPr>
                <w:p w14:paraId="3AC5694A">
                  <w:pPr>
                    <w:keepNext w:val="0"/>
                    <w:keepLines w:val="0"/>
                    <w:widowControl/>
                    <w:suppressLineNumbers w:val="0"/>
                    <w:ind w:firstLine="420" w:firstLineChars="200"/>
                    <w:jc w:val="center"/>
                    <w:rPr>
                      <w:rFonts w:hint="default" w:ascii="Times New Roman" w:hAnsi="Times New Roman" w:eastAsia="宋体" w:cs="Times New Roman"/>
                      <w:color w:val="auto"/>
                      <w:szCs w:val="21"/>
                      <w:highlight w:val="none"/>
                      <w:lang w:val="en-US" w:eastAsia="zh-CN"/>
                    </w:rPr>
                  </w:pPr>
                </w:p>
              </w:tc>
              <w:tc>
                <w:tcPr>
                  <w:tcW w:w="1416" w:type="pct"/>
                  <w:tcBorders>
                    <w:tl2br w:val="nil"/>
                    <w:tr2bl w:val="nil"/>
                  </w:tcBorders>
                  <w:vAlign w:val="center"/>
                </w:tcPr>
                <w:p w14:paraId="0C00AA88">
                  <w:pPr>
                    <w:keepNext w:val="0"/>
                    <w:keepLines w:val="0"/>
                    <w:widowControl/>
                    <w:suppressLineNumbers w:val="0"/>
                    <w:ind w:firstLine="420" w:firstLineChars="20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排放量（</w:t>
                  </w:r>
                  <w:r>
                    <w:rPr>
                      <w:rFonts w:hint="default" w:ascii="Times New Roman" w:hAnsi="Times New Roman" w:eastAsia="宋体" w:cs="Times New Roman"/>
                      <w:color w:val="auto"/>
                      <w:kern w:val="0"/>
                      <w:sz w:val="21"/>
                      <w:szCs w:val="21"/>
                      <w:lang w:val="en-US" w:eastAsia="zh-CN" w:bidi="ar"/>
                    </w:rPr>
                    <w:t>t/a</w:t>
                  </w:r>
                  <w:r>
                    <w:rPr>
                      <w:rFonts w:hint="default" w:ascii="Times New Roman" w:hAnsi="Times New Roman" w:eastAsia="宋体" w:cs="Times New Roman"/>
                      <w:color w:val="auto"/>
                      <w:szCs w:val="21"/>
                      <w:highlight w:val="none"/>
                      <w:lang w:val="en-US" w:eastAsia="zh-CN"/>
                    </w:rPr>
                    <w:t>）</w:t>
                  </w:r>
                </w:p>
              </w:tc>
              <w:tc>
                <w:tcPr>
                  <w:tcW w:w="614" w:type="pct"/>
                  <w:tcBorders>
                    <w:tl2br w:val="nil"/>
                    <w:tr2bl w:val="nil"/>
                  </w:tcBorders>
                  <w:vAlign w:val="center"/>
                </w:tcPr>
                <w:p w14:paraId="1991A26F">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w:t>
                  </w:r>
                  <w:r>
                    <w:rPr>
                      <w:rFonts w:hint="eastAsia" w:cs="Times New Roman"/>
                      <w:color w:val="auto"/>
                      <w:szCs w:val="21"/>
                      <w:highlight w:val="none"/>
                      <w:lang w:val="en-US" w:eastAsia="zh-CN"/>
                    </w:rPr>
                    <w:t>1475</w:t>
                  </w:r>
                </w:p>
              </w:tc>
              <w:tc>
                <w:tcPr>
                  <w:tcW w:w="582" w:type="pct"/>
                  <w:tcBorders>
                    <w:tl2br w:val="nil"/>
                    <w:tr2bl w:val="nil"/>
                  </w:tcBorders>
                  <w:vAlign w:val="center"/>
                </w:tcPr>
                <w:p w14:paraId="4E95C042">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w:t>
                  </w:r>
                  <w:r>
                    <w:rPr>
                      <w:rFonts w:hint="eastAsia" w:cs="Times New Roman"/>
                      <w:color w:val="auto"/>
                      <w:szCs w:val="21"/>
                      <w:highlight w:val="none"/>
                      <w:lang w:val="en-US" w:eastAsia="zh-CN"/>
                    </w:rPr>
                    <w:t>0820</w:t>
                  </w:r>
                </w:p>
              </w:tc>
              <w:tc>
                <w:tcPr>
                  <w:tcW w:w="582" w:type="pct"/>
                  <w:tcBorders>
                    <w:tl2br w:val="nil"/>
                    <w:tr2bl w:val="nil"/>
                  </w:tcBorders>
                  <w:vAlign w:val="center"/>
                </w:tcPr>
                <w:p w14:paraId="507C1038">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w:t>
                  </w:r>
                  <w:r>
                    <w:rPr>
                      <w:rFonts w:hint="eastAsia" w:cs="Times New Roman"/>
                      <w:color w:val="auto"/>
                      <w:szCs w:val="21"/>
                      <w:highlight w:val="none"/>
                      <w:lang w:val="en-US" w:eastAsia="zh-CN"/>
                    </w:rPr>
                    <w:t>0983</w:t>
                  </w:r>
                </w:p>
              </w:tc>
              <w:tc>
                <w:tcPr>
                  <w:tcW w:w="582" w:type="pct"/>
                  <w:tcBorders>
                    <w:tl2br w:val="nil"/>
                    <w:tr2bl w:val="nil"/>
                  </w:tcBorders>
                  <w:vAlign w:val="center"/>
                </w:tcPr>
                <w:p w14:paraId="6CCC5270">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w:t>
                  </w:r>
                  <w:r>
                    <w:rPr>
                      <w:rFonts w:hint="eastAsia" w:cs="Times New Roman"/>
                      <w:color w:val="auto"/>
                      <w:szCs w:val="21"/>
                      <w:highlight w:val="none"/>
                      <w:lang w:val="en-US" w:eastAsia="zh-CN"/>
                    </w:rPr>
                    <w:t>131</w:t>
                  </w:r>
                </w:p>
              </w:tc>
              <w:tc>
                <w:tcPr>
                  <w:tcW w:w="583" w:type="pct"/>
                  <w:tcBorders>
                    <w:tl2br w:val="nil"/>
                    <w:tr2bl w:val="nil"/>
                  </w:tcBorders>
                  <w:vAlign w:val="center"/>
                </w:tcPr>
                <w:p w14:paraId="59187A3F">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r>
          </w:tbl>
          <w:p w14:paraId="2BDC7448">
            <w:pPr>
              <w:numPr>
                <w:ilvl w:val="0"/>
                <w:numId w:val="43"/>
              </w:numPr>
              <w:adjustRightInd w:val="0"/>
              <w:spacing w:line="360" w:lineRule="auto"/>
              <w:ind w:left="20" w:leftChars="0" w:firstLineChars="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纯水制备废水</w:t>
            </w:r>
            <w:bookmarkStart w:id="0" w:name="制备废水"/>
            <w:bookmarkEnd w:id="0"/>
            <w:r>
              <w:rPr>
                <w:rFonts w:hint="eastAsia" w:cs="Times New Roman"/>
                <w:color w:val="auto"/>
                <w:sz w:val="24"/>
                <w:highlight w:val="none"/>
                <w:lang w:eastAsia="zh-CN"/>
              </w:rPr>
              <w:t>、</w:t>
            </w:r>
            <w:r>
              <w:rPr>
                <w:rFonts w:hint="eastAsia" w:cs="Times New Roman"/>
                <w:color w:val="auto"/>
                <w:sz w:val="24"/>
                <w:highlight w:val="none"/>
                <w:lang w:val="en-US" w:eastAsia="zh-CN"/>
              </w:rPr>
              <w:t>高压蒸汽灭菌冷凝废水</w:t>
            </w:r>
          </w:p>
          <w:p w14:paraId="0C0C9413">
            <w:pPr>
              <w:numPr>
                <w:ilvl w:val="0"/>
                <w:numId w:val="0"/>
              </w:numPr>
              <w:tabs>
                <w:tab w:val="left" w:pos="0"/>
              </w:tabs>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现有项目纯水全部外购，本项目完成后全部由一台纯水机制备，本项目完成后</w:t>
            </w:r>
            <w:r>
              <w:rPr>
                <w:rFonts w:hint="default" w:ascii="Times New Roman" w:hAnsi="Times New Roman" w:eastAsia="宋体" w:cs="Times New Roman"/>
                <w:bCs/>
                <w:color w:val="auto"/>
                <w:sz w:val="24"/>
                <w:highlight w:val="none"/>
                <w:lang w:val="en-US" w:eastAsia="zh-CN"/>
              </w:rPr>
              <w:t>纯水制备废水产生量</w:t>
            </w:r>
            <w:r>
              <w:rPr>
                <w:rFonts w:hint="eastAsia" w:cs="Times New Roman"/>
                <w:bCs/>
                <w:color w:val="auto"/>
                <w:sz w:val="24"/>
                <w:highlight w:val="none"/>
                <w:lang w:val="en-US" w:eastAsia="zh-CN"/>
              </w:rPr>
              <w:t>3.1</w:t>
            </w:r>
            <w:r>
              <w:rPr>
                <w:rFonts w:hint="default" w:ascii="Times New Roman" w:hAnsi="Times New Roman" w:eastAsia="宋体" w:cs="Times New Roman"/>
                <w:bCs/>
                <w:color w:val="auto"/>
                <w:sz w:val="24"/>
                <w:highlight w:val="none"/>
                <w:lang w:val="en-US" w:eastAsia="zh-CN"/>
              </w:rPr>
              <w:t>m</w:t>
            </w:r>
            <w:r>
              <w:rPr>
                <w:rFonts w:hint="default" w:ascii="Times New Roman" w:hAnsi="Times New Roman" w:eastAsia="宋体" w:cs="Times New Roman"/>
                <w:bCs/>
                <w:color w:val="auto"/>
                <w:sz w:val="24"/>
                <w:highlight w:val="none"/>
                <w:vertAlign w:val="superscript"/>
                <w:lang w:val="en-US" w:eastAsia="zh-CN"/>
              </w:rPr>
              <w:t>3</w:t>
            </w:r>
            <w:r>
              <w:rPr>
                <w:rFonts w:hint="default" w:ascii="Times New Roman" w:hAnsi="Times New Roman" w:eastAsia="宋体" w:cs="Times New Roman"/>
                <w:bCs/>
                <w:color w:val="auto"/>
                <w:sz w:val="24"/>
                <w:highlight w:val="none"/>
                <w:lang w:val="en-US" w:eastAsia="zh-CN"/>
              </w:rPr>
              <w:t xml:space="preserve"> /a</w:t>
            </w:r>
            <w:r>
              <w:rPr>
                <w:rFonts w:hint="eastAsia" w:cs="Times New Roman"/>
                <w:bCs/>
                <w:color w:val="auto"/>
                <w:sz w:val="24"/>
                <w:highlight w:val="none"/>
                <w:lang w:val="en-US" w:eastAsia="zh-CN"/>
              </w:rPr>
              <w:t>、</w:t>
            </w:r>
            <w:r>
              <w:rPr>
                <w:rFonts w:hint="eastAsia" w:cs="Times New Roman"/>
                <w:color w:val="auto"/>
                <w:sz w:val="24"/>
                <w:highlight w:val="none"/>
                <w:lang w:val="en-US" w:eastAsia="zh-CN"/>
              </w:rPr>
              <w:t>高压蒸汽灭菌冷凝废水0.09</w:t>
            </w:r>
            <w:r>
              <w:rPr>
                <w:rFonts w:hint="default" w:ascii="Times New Roman" w:hAnsi="Times New Roman" w:eastAsia="宋体" w:cs="Times New Roman"/>
                <w:bCs/>
                <w:color w:val="auto"/>
                <w:sz w:val="24"/>
                <w:highlight w:val="none"/>
                <w:lang w:val="en-US" w:eastAsia="zh-CN"/>
              </w:rPr>
              <w:t>m</w:t>
            </w:r>
            <w:r>
              <w:rPr>
                <w:rFonts w:hint="default" w:ascii="Times New Roman" w:hAnsi="Times New Roman" w:eastAsia="宋体" w:cs="Times New Roman"/>
                <w:bCs/>
                <w:color w:val="auto"/>
                <w:sz w:val="24"/>
                <w:highlight w:val="none"/>
                <w:vertAlign w:val="superscript"/>
                <w:lang w:val="en-US" w:eastAsia="zh-CN"/>
              </w:rPr>
              <w:t>3</w:t>
            </w:r>
            <w:r>
              <w:rPr>
                <w:rFonts w:hint="default" w:ascii="Times New Roman" w:hAnsi="Times New Roman" w:eastAsia="宋体" w:cs="Times New Roman"/>
                <w:bCs/>
                <w:color w:val="auto"/>
                <w:sz w:val="24"/>
                <w:highlight w:val="none"/>
                <w:lang w:val="en-US" w:eastAsia="zh-CN"/>
              </w:rPr>
              <w:t xml:space="preserve"> /a，纯水制备废水</w:t>
            </w:r>
            <w:r>
              <w:rPr>
                <w:rFonts w:hint="eastAsia" w:cs="Times New Roman"/>
                <w:color w:val="auto"/>
                <w:sz w:val="24"/>
                <w:highlight w:val="none"/>
                <w:lang w:eastAsia="zh-CN"/>
              </w:rPr>
              <w:t>、</w:t>
            </w:r>
            <w:r>
              <w:rPr>
                <w:rFonts w:hint="eastAsia" w:cs="Times New Roman"/>
                <w:color w:val="auto"/>
                <w:sz w:val="24"/>
                <w:highlight w:val="none"/>
                <w:lang w:val="en-US" w:eastAsia="zh-CN"/>
              </w:rPr>
              <w:t>高压蒸汽灭菌冷凝废水</w:t>
            </w:r>
            <w:r>
              <w:rPr>
                <w:rFonts w:hint="default" w:ascii="Times New Roman" w:hAnsi="Times New Roman" w:eastAsia="宋体" w:cs="Times New Roman"/>
                <w:bCs/>
                <w:color w:val="auto"/>
                <w:sz w:val="24"/>
                <w:highlight w:val="none"/>
                <w:lang w:val="en-US" w:eastAsia="zh-CN"/>
              </w:rPr>
              <w:t>参照《社会区域类环境影响评价》（中国科学出版社）中数据，</w:t>
            </w:r>
            <w:r>
              <w:rPr>
                <w:rFonts w:hint="default" w:ascii="Times New Roman" w:hAnsi="Times New Roman" w:eastAsia="宋体" w:cs="Times New Roman"/>
                <w:color w:val="auto"/>
                <w:sz w:val="24"/>
                <w:highlight w:val="none"/>
                <w:lang w:val="en-US" w:eastAsia="zh-CN"/>
              </w:rPr>
              <w:t>水质及排放量参数详见下表</w:t>
            </w:r>
            <w:r>
              <w:rPr>
                <w:rFonts w:hint="default" w:ascii="Times New Roman" w:hAnsi="Times New Roman" w:eastAsia="宋体" w:cs="Times New Roman"/>
                <w:bCs/>
                <w:color w:val="auto"/>
                <w:sz w:val="24"/>
                <w:highlight w:val="none"/>
                <w:lang w:val="en-US" w:eastAsia="zh-CN"/>
              </w:rPr>
              <w:t>。</w:t>
            </w:r>
          </w:p>
          <w:p w14:paraId="1BDFFAC1">
            <w:pPr>
              <w:keepNext w:val="0"/>
              <w:keepLines w:val="0"/>
              <w:widowControl/>
              <w:numPr>
                <w:ilvl w:val="0"/>
                <w:numId w:val="40"/>
              </w:numPr>
              <w:suppressLineNumbers w:val="0"/>
              <w:ind w:left="425" w:leftChars="0" w:hanging="425" w:firstLineChars="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kern w:val="0"/>
                <w:sz w:val="24"/>
                <w:szCs w:val="24"/>
                <w:lang w:val="en-US" w:eastAsia="zh-CN" w:bidi="ar"/>
              </w:rPr>
              <w:t>纯水制备废水产生情况一览表</w:t>
            </w:r>
          </w:p>
          <w:tbl>
            <w:tblPr>
              <w:tblStyle w:val="23"/>
              <w:tblW w:w="7576"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91"/>
              <w:gridCol w:w="2052"/>
              <w:gridCol w:w="888"/>
              <w:gridCol w:w="756"/>
              <w:gridCol w:w="828"/>
              <w:gridCol w:w="744"/>
              <w:gridCol w:w="936"/>
              <w:gridCol w:w="581"/>
            </w:tblGrid>
            <w:tr w14:paraId="40C1CB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05" w:hRule="atLeast"/>
                <w:jc w:val="center"/>
              </w:trPr>
              <w:tc>
                <w:tcPr>
                  <w:tcW w:w="522" w:type="pct"/>
                  <w:tcBorders>
                    <w:tl2br w:val="nil"/>
                    <w:tr2bl w:val="nil"/>
                  </w:tcBorders>
                  <w:shd w:val="clear" w:color="auto" w:fill="auto"/>
                  <w:vAlign w:val="center"/>
                </w:tcPr>
                <w:p w14:paraId="55DF9797">
                  <w:pPr>
                    <w:adjustRightInd w:val="0"/>
                    <w:snapToGrid w:val="0"/>
                    <w:jc w:val="center"/>
                    <w:rPr>
                      <w:rFonts w:hint="default" w:ascii="Times New Roman" w:hAnsi="Times New Roman" w:eastAsia="宋体" w:cs="Times New Roman"/>
                      <w:b/>
                      <w:color w:val="auto"/>
                      <w:kern w:val="2"/>
                      <w:sz w:val="21"/>
                      <w:szCs w:val="21"/>
                      <w:highlight w:val="none"/>
                      <w:lang w:val="en-US" w:eastAsia="zh-CN" w:bidi="ar-SA"/>
                    </w:rPr>
                  </w:pPr>
                  <w:r>
                    <w:rPr>
                      <w:rFonts w:hint="eastAsia" w:cs="Times New Roman"/>
                      <w:b/>
                      <w:color w:val="auto"/>
                      <w:szCs w:val="21"/>
                      <w:highlight w:val="none"/>
                      <w:lang w:val="en-US" w:eastAsia="zh-CN"/>
                    </w:rPr>
                    <w:t>水量</w:t>
                  </w:r>
                </w:p>
              </w:tc>
              <w:tc>
                <w:tcPr>
                  <w:tcW w:w="1354" w:type="pct"/>
                  <w:tcBorders>
                    <w:tl2br w:val="nil"/>
                    <w:tr2bl w:val="nil"/>
                  </w:tcBorders>
                  <w:vAlign w:val="center"/>
                </w:tcPr>
                <w:p w14:paraId="5A794ED9">
                  <w:pPr>
                    <w:adjustRightInd w:val="0"/>
                    <w:snapToGrid w:val="0"/>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项目</w:t>
                  </w:r>
                </w:p>
              </w:tc>
              <w:tc>
                <w:tcPr>
                  <w:tcW w:w="586" w:type="pct"/>
                  <w:tcBorders>
                    <w:tl2br w:val="nil"/>
                    <w:tr2bl w:val="nil"/>
                  </w:tcBorders>
                  <w:vAlign w:val="center"/>
                </w:tcPr>
                <w:p w14:paraId="54EA465B">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COD</w:t>
                  </w:r>
                  <w:r>
                    <w:rPr>
                      <w:rFonts w:hint="default" w:ascii="Times New Roman" w:hAnsi="Times New Roman" w:eastAsia="宋体" w:cs="Times New Roman"/>
                      <w:b/>
                      <w:color w:val="auto"/>
                      <w:szCs w:val="21"/>
                      <w:highlight w:val="none"/>
                      <w:vertAlign w:val="subscript"/>
                    </w:rPr>
                    <w:t>Cr</w:t>
                  </w:r>
                </w:p>
              </w:tc>
              <w:tc>
                <w:tcPr>
                  <w:tcW w:w="498" w:type="pct"/>
                  <w:tcBorders>
                    <w:tl2br w:val="nil"/>
                    <w:tr2bl w:val="nil"/>
                  </w:tcBorders>
                  <w:vAlign w:val="center"/>
                </w:tcPr>
                <w:p w14:paraId="7E73E123">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BOD</w:t>
                  </w:r>
                  <w:r>
                    <w:rPr>
                      <w:rFonts w:hint="default" w:ascii="Times New Roman" w:hAnsi="Times New Roman" w:eastAsia="宋体" w:cs="Times New Roman"/>
                      <w:b/>
                      <w:color w:val="auto"/>
                      <w:szCs w:val="21"/>
                      <w:highlight w:val="none"/>
                      <w:vertAlign w:val="subscript"/>
                    </w:rPr>
                    <w:t>5</w:t>
                  </w:r>
                </w:p>
              </w:tc>
              <w:tc>
                <w:tcPr>
                  <w:tcW w:w="546" w:type="pct"/>
                  <w:tcBorders>
                    <w:tl2br w:val="nil"/>
                    <w:tr2bl w:val="nil"/>
                  </w:tcBorders>
                  <w:vAlign w:val="center"/>
                </w:tcPr>
                <w:p w14:paraId="2B20E782">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SS</w:t>
                  </w:r>
                </w:p>
              </w:tc>
              <w:tc>
                <w:tcPr>
                  <w:tcW w:w="491" w:type="pct"/>
                  <w:tcBorders>
                    <w:tl2br w:val="nil"/>
                    <w:tr2bl w:val="nil"/>
                  </w:tcBorders>
                  <w:vAlign w:val="center"/>
                </w:tcPr>
                <w:p w14:paraId="61450183">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氨氮</w:t>
                  </w:r>
                </w:p>
              </w:tc>
              <w:tc>
                <w:tcPr>
                  <w:tcW w:w="617" w:type="pct"/>
                  <w:tcBorders>
                    <w:tl2br w:val="nil"/>
                    <w:tr2bl w:val="nil"/>
                  </w:tcBorders>
                  <w:vAlign w:val="center"/>
                </w:tcPr>
                <w:p w14:paraId="73EFCD88">
                  <w:pPr>
                    <w:adjustRightInd w:val="0"/>
                    <w:snapToGrid w:val="0"/>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可溶性固体总量</w:t>
                  </w:r>
                </w:p>
              </w:tc>
              <w:tc>
                <w:tcPr>
                  <w:tcW w:w="383" w:type="pct"/>
                  <w:tcBorders>
                    <w:tl2br w:val="nil"/>
                    <w:tr2bl w:val="nil"/>
                  </w:tcBorders>
                  <w:vAlign w:val="center"/>
                </w:tcPr>
                <w:p w14:paraId="2B6E137A">
                  <w:pPr>
                    <w:adjustRightInd w:val="0"/>
                    <w:snapToGrid w:val="0"/>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pH</w:t>
                  </w:r>
                </w:p>
              </w:tc>
            </w:tr>
            <w:tr w14:paraId="34F1E7F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30" w:hRule="atLeast"/>
                <w:jc w:val="center"/>
              </w:trPr>
              <w:tc>
                <w:tcPr>
                  <w:tcW w:w="522" w:type="pct"/>
                  <w:vMerge w:val="restart"/>
                  <w:tcBorders>
                    <w:tl2br w:val="nil"/>
                    <w:tr2bl w:val="nil"/>
                  </w:tcBorders>
                  <w:shd w:val="clear" w:color="auto" w:fill="auto"/>
                  <w:vAlign w:val="center"/>
                </w:tcPr>
                <w:p w14:paraId="3C286289">
                  <w:pPr>
                    <w:keepNext w:val="0"/>
                    <w:keepLines w:val="0"/>
                    <w:widowControl/>
                    <w:suppressLineNumbers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3.19</w:t>
                  </w:r>
                </w:p>
                <w:p w14:paraId="71847490">
                  <w:pPr>
                    <w:keepNext w:val="0"/>
                    <w:keepLines w:val="0"/>
                    <w:widowControl/>
                    <w:suppressLineNumbers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 xml:space="preserve"> /a</w:t>
                  </w:r>
                </w:p>
              </w:tc>
              <w:tc>
                <w:tcPr>
                  <w:tcW w:w="1354" w:type="pct"/>
                  <w:tcBorders>
                    <w:tl2br w:val="nil"/>
                    <w:tr2bl w:val="nil"/>
                  </w:tcBorders>
                  <w:vAlign w:val="center"/>
                </w:tcPr>
                <w:p w14:paraId="3C91A7DE">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纯水制备废水</w:t>
                  </w:r>
                  <w:r>
                    <w:rPr>
                      <w:rFonts w:hint="eastAsia"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高压蒸汽灭菌冷凝废水</w:t>
                  </w:r>
                  <w:r>
                    <w:rPr>
                      <w:rFonts w:hint="default" w:ascii="Times New Roman" w:hAnsi="Times New Roman" w:eastAsia="宋体" w:cs="Times New Roman"/>
                      <w:color w:val="auto"/>
                      <w:szCs w:val="21"/>
                      <w:highlight w:val="none"/>
                      <w:lang w:val="en-US" w:eastAsia="zh-CN"/>
                    </w:rPr>
                    <w:t>（mg/L）</w:t>
                  </w:r>
                </w:p>
              </w:tc>
              <w:tc>
                <w:tcPr>
                  <w:tcW w:w="586" w:type="pct"/>
                  <w:tcBorders>
                    <w:tl2br w:val="nil"/>
                    <w:tr2bl w:val="nil"/>
                  </w:tcBorders>
                  <w:vAlign w:val="center"/>
                </w:tcPr>
                <w:p w14:paraId="494DADA9">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50</w:t>
                  </w:r>
                </w:p>
              </w:tc>
              <w:tc>
                <w:tcPr>
                  <w:tcW w:w="498" w:type="pct"/>
                  <w:tcBorders>
                    <w:tl2br w:val="nil"/>
                    <w:tr2bl w:val="nil"/>
                  </w:tcBorders>
                  <w:vAlign w:val="center"/>
                </w:tcPr>
                <w:p w14:paraId="4911AE4A">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30</w:t>
                  </w:r>
                </w:p>
              </w:tc>
              <w:tc>
                <w:tcPr>
                  <w:tcW w:w="546" w:type="pct"/>
                  <w:tcBorders>
                    <w:tl2br w:val="nil"/>
                    <w:tr2bl w:val="nil"/>
                  </w:tcBorders>
                  <w:vAlign w:val="center"/>
                </w:tcPr>
                <w:p w14:paraId="539ECB21">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00</w:t>
                  </w:r>
                </w:p>
              </w:tc>
              <w:tc>
                <w:tcPr>
                  <w:tcW w:w="491" w:type="pct"/>
                  <w:tcBorders>
                    <w:tl2br w:val="nil"/>
                    <w:tr2bl w:val="nil"/>
                  </w:tcBorders>
                  <w:vAlign w:val="center"/>
                </w:tcPr>
                <w:p w14:paraId="3F71AB25">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w:t>
                  </w:r>
                </w:p>
              </w:tc>
              <w:tc>
                <w:tcPr>
                  <w:tcW w:w="617" w:type="pct"/>
                  <w:tcBorders>
                    <w:tl2br w:val="nil"/>
                    <w:tr2bl w:val="nil"/>
                  </w:tcBorders>
                  <w:vAlign w:val="center"/>
                </w:tcPr>
                <w:p w14:paraId="1ECE19C4">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1200</w:t>
                  </w:r>
                </w:p>
              </w:tc>
              <w:tc>
                <w:tcPr>
                  <w:tcW w:w="383" w:type="pct"/>
                  <w:tcBorders>
                    <w:tl2br w:val="nil"/>
                    <w:tr2bl w:val="nil"/>
                  </w:tcBorders>
                  <w:vAlign w:val="center"/>
                </w:tcPr>
                <w:p w14:paraId="22CE336E">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6.5-9</w:t>
                  </w:r>
                </w:p>
                <w:p w14:paraId="5831DC87">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(无量纲)</w:t>
                  </w:r>
                </w:p>
              </w:tc>
            </w:tr>
            <w:tr w14:paraId="60D08E0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522" w:type="pct"/>
                  <w:vMerge w:val="continue"/>
                  <w:tcBorders>
                    <w:tl2br w:val="nil"/>
                    <w:tr2bl w:val="nil"/>
                  </w:tcBorders>
                  <w:vAlign w:val="center"/>
                </w:tcPr>
                <w:p w14:paraId="1CB992FA">
                  <w:pPr>
                    <w:keepNext w:val="0"/>
                    <w:keepLines w:val="0"/>
                    <w:widowControl/>
                    <w:suppressLineNumbers w:val="0"/>
                    <w:ind w:firstLine="210" w:firstLineChars="100"/>
                    <w:jc w:val="center"/>
                    <w:rPr>
                      <w:rFonts w:hint="default" w:ascii="Times New Roman" w:hAnsi="Times New Roman" w:eastAsia="宋体" w:cs="Times New Roman"/>
                      <w:color w:val="auto"/>
                      <w:szCs w:val="21"/>
                      <w:highlight w:val="none"/>
                      <w:lang w:val="en-US" w:eastAsia="zh-CN"/>
                    </w:rPr>
                  </w:pPr>
                </w:p>
              </w:tc>
              <w:tc>
                <w:tcPr>
                  <w:tcW w:w="1354" w:type="pct"/>
                  <w:tcBorders>
                    <w:tl2br w:val="nil"/>
                    <w:tr2bl w:val="nil"/>
                  </w:tcBorders>
                  <w:vAlign w:val="center"/>
                </w:tcPr>
                <w:p w14:paraId="4C8B3523">
                  <w:pPr>
                    <w:keepNext w:val="0"/>
                    <w:keepLines w:val="0"/>
                    <w:widowControl/>
                    <w:suppressLineNumbers w:val="0"/>
                    <w:ind w:firstLine="210" w:firstLineChars="10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排放量（</w:t>
                  </w:r>
                  <w:r>
                    <w:rPr>
                      <w:rFonts w:hint="default" w:ascii="Times New Roman" w:hAnsi="Times New Roman" w:eastAsia="宋体" w:cs="Times New Roman"/>
                      <w:color w:val="auto"/>
                      <w:kern w:val="0"/>
                      <w:sz w:val="21"/>
                      <w:szCs w:val="21"/>
                      <w:lang w:val="en-US" w:eastAsia="zh-CN" w:bidi="ar"/>
                    </w:rPr>
                    <w:t>t/a</w:t>
                  </w:r>
                  <w:r>
                    <w:rPr>
                      <w:rFonts w:hint="default" w:ascii="Times New Roman" w:hAnsi="Times New Roman" w:eastAsia="宋体" w:cs="Times New Roman"/>
                      <w:color w:val="auto"/>
                      <w:szCs w:val="21"/>
                      <w:highlight w:val="none"/>
                      <w:lang w:val="en-US" w:eastAsia="zh-CN"/>
                    </w:rPr>
                    <w:t>）</w:t>
                  </w:r>
                </w:p>
              </w:tc>
              <w:tc>
                <w:tcPr>
                  <w:tcW w:w="586" w:type="pct"/>
                  <w:tcBorders>
                    <w:tl2br w:val="nil"/>
                    <w:tr2bl w:val="nil"/>
                  </w:tcBorders>
                  <w:vAlign w:val="center"/>
                </w:tcPr>
                <w:p w14:paraId="54144383">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0.000</w:t>
                  </w:r>
                  <w:r>
                    <w:rPr>
                      <w:rFonts w:hint="eastAsia" w:cs="Times New Roman"/>
                      <w:color w:val="auto"/>
                      <w:szCs w:val="21"/>
                      <w:highlight w:val="none"/>
                      <w:lang w:val="en-US" w:eastAsia="zh-CN"/>
                    </w:rPr>
                    <w:t>2</w:t>
                  </w:r>
                </w:p>
              </w:tc>
              <w:tc>
                <w:tcPr>
                  <w:tcW w:w="498" w:type="pct"/>
                  <w:tcBorders>
                    <w:tl2br w:val="nil"/>
                    <w:tr2bl w:val="nil"/>
                  </w:tcBorders>
                  <w:vAlign w:val="center"/>
                </w:tcPr>
                <w:p w14:paraId="0ACF0C1B">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0.000</w:t>
                  </w:r>
                  <w:r>
                    <w:rPr>
                      <w:rFonts w:hint="eastAsia" w:cs="Times New Roman"/>
                      <w:color w:val="auto"/>
                      <w:szCs w:val="21"/>
                      <w:highlight w:val="none"/>
                      <w:lang w:val="en-US" w:eastAsia="zh-CN"/>
                    </w:rPr>
                    <w:t>1</w:t>
                  </w:r>
                </w:p>
              </w:tc>
              <w:tc>
                <w:tcPr>
                  <w:tcW w:w="546" w:type="pct"/>
                  <w:tcBorders>
                    <w:tl2br w:val="nil"/>
                    <w:tr2bl w:val="nil"/>
                  </w:tcBorders>
                  <w:vAlign w:val="center"/>
                </w:tcPr>
                <w:p w14:paraId="4D0CD43E">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0.000</w:t>
                  </w:r>
                  <w:r>
                    <w:rPr>
                      <w:rFonts w:hint="eastAsia" w:cs="Times New Roman"/>
                      <w:color w:val="auto"/>
                      <w:szCs w:val="21"/>
                      <w:highlight w:val="none"/>
                      <w:lang w:val="en-US" w:eastAsia="zh-CN"/>
                    </w:rPr>
                    <w:t>3</w:t>
                  </w:r>
                </w:p>
              </w:tc>
              <w:tc>
                <w:tcPr>
                  <w:tcW w:w="491" w:type="pct"/>
                  <w:tcBorders>
                    <w:tl2br w:val="nil"/>
                    <w:tr2bl w:val="nil"/>
                  </w:tcBorders>
                  <w:vAlign w:val="center"/>
                </w:tcPr>
                <w:p w14:paraId="246F7B14">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0.0000</w:t>
                  </w:r>
                  <w:r>
                    <w:rPr>
                      <w:rFonts w:hint="eastAsia" w:cs="Times New Roman"/>
                      <w:color w:val="auto"/>
                      <w:szCs w:val="21"/>
                      <w:highlight w:val="none"/>
                      <w:lang w:val="en-US" w:eastAsia="zh-CN"/>
                    </w:rPr>
                    <w:t>3</w:t>
                  </w:r>
                </w:p>
              </w:tc>
              <w:tc>
                <w:tcPr>
                  <w:tcW w:w="617" w:type="pct"/>
                  <w:tcBorders>
                    <w:tl2br w:val="nil"/>
                    <w:tr2bl w:val="nil"/>
                  </w:tcBorders>
                  <w:vAlign w:val="center"/>
                </w:tcPr>
                <w:p w14:paraId="507D3BA1">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w:t>
                  </w:r>
                  <w:r>
                    <w:rPr>
                      <w:rFonts w:hint="eastAsia" w:cs="Times New Roman"/>
                      <w:color w:val="auto"/>
                      <w:szCs w:val="21"/>
                      <w:highlight w:val="none"/>
                      <w:lang w:val="en-US" w:eastAsia="zh-CN"/>
                    </w:rPr>
                    <w:t>038</w:t>
                  </w:r>
                </w:p>
              </w:tc>
              <w:tc>
                <w:tcPr>
                  <w:tcW w:w="383" w:type="pct"/>
                  <w:tcBorders>
                    <w:tl2br w:val="nil"/>
                    <w:tr2bl w:val="nil"/>
                  </w:tcBorders>
                  <w:vAlign w:val="center"/>
                </w:tcPr>
                <w:p w14:paraId="5DBE190B">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w:t>
                  </w:r>
                </w:p>
              </w:tc>
            </w:tr>
          </w:tbl>
          <w:p w14:paraId="5B24C892">
            <w:pPr>
              <w:numPr>
                <w:ilvl w:val="0"/>
                <w:numId w:val="43"/>
              </w:numPr>
              <w:spacing w:line="360" w:lineRule="auto"/>
              <w:ind w:left="20" w:leftChars="0" w:firstLineChars="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容器</w:t>
            </w:r>
            <w:r>
              <w:rPr>
                <w:rFonts w:hint="default" w:ascii="Times New Roman" w:hAnsi="Times New Roman" w:eastAsia="宋体" w:cs="Times New Roman"/>
                <w:bCs/>
                <w:color w:val="auto"/>
                <w:sz w:val="24"/>
                <w:highlight w:val="none"/>
                <w:lang w:val="en-US" w:eastAsia="zh-CN"/>
              </w:rPr>
              <w:t>第三次</w:t>
            </w:r>
            <w:r>
              <w:rPr>
                <w:rFonts w:hint="eastAsia" w:cs="Times New Roman"/>
                <w:bCs/>
                <w:color w:val="auto"/>
                <w:sz w:val="24"/>
                <w:highlight w:val="none"/>
                <w:lang w:val="en-US" w:eastAsia="zh-CN"/>
              </w:rPr>
              <w:t>及以后</w:t>
            </w:r>
            <w:r>
              <w:rPr>
                <w:rFonts w:hint="default" w:ascii="Times New Roman" w:hAnsi="Times New Roman" w:eastAsia="宋体" w:cs="Times New Roman"/>
                <w:bCs/>
                <w:color w:val="auto"/>
                <w:sz w:val="24"/>
                <w:highlight w:val="none"/>
                <w:lang w:val="en-US" w:eastAsia="zh-CN"/>
              </w:rPr>
              <w:t>清洗废水</w:t>
            </w:r>
          </w:p>
          <w:p w14:paraId="099CF035">
            <w:pPr>
              <w:numPr>
                <w:ilvl w:val="0"/>
                <w:numId w:val="43"/>
              </w:numPr>
              <w:spacing w:line="360" w:lineRule="auto"/>
              <w:ind w:left="20" w:leftChars="0" w:firstLineChars="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清洗废水</w:t>
            </w:r>
            <w:r>
              <w:rPr>
                <w:rFonts w:hint="default" w:ascii="Times New Roman" w:hAnsi="Times New Roman" w:eastAsia="宋体" w:cs="Times New Roman"/>
                <w:bCs/>
                <w:color w:val="auto"/>
                <w:sz w:val="24"/>
                <w:highlight w:val="none"/>
                <w:lang w:val="en-US" w:eastAsia="zh-CN"/>
              </w:rPr>
              <w:t>产生浓度参照《科研单位实验室废水处理工程设计与分析》（给水排水 2012 年第 1 期第 38 卷）中</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2.工程涉及—2.1.2 设计进水水质中的参数</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w:t>
            </w:r>
            <w:r>
              <w:rPr>
                <w:rFonts w:hint="eastAsia" w:cs="Times New Roman"/>
                <w:bCs/>
                <w:color w:val="auto"/>
                <w:sz w:val="24"/>
                <w:highlight w:val="none"/>
                <w:lang w:val="en-US" w:eastAsia="zh-CN"/>
              </w:rPr>
              <w:t>容器</w:t>
            </w:r>
            <w:r>
              <w:rPr>
                <w:rFonts w:hint="default" w:ascii="Times New Roman" w:hAnsi="Times New Roman" w:eastAsia="宋体" w:cs="Times New Roman"/>
                <w:bCs/>
                <w:color w:val="auto"/>
                <w:sz w:val="24"/>
                <w:highlight w:val="none"/>
                <w:lang w:val="en-US" w:eastAsia="zh-CN"/>
              </w:rPr>
              <w:t>第三次</w:t>
            </w:r>
            <w:r>
              <w:rPr>
                <w:rFonts w:hint="eastAsia" w:cs="Times New Roman"/>
                <w:bCs/>
                <w:color w:val="auto"/>
                <w:sz w:val="24"/>
                <w:highlight w:val="none"/>
                <w:lang w:val="en-US" w:eastAsia="zh-CN"/>
              </w:rPr>
              <w:t>及以后</w:t>
            </w:r>
            <w:r>
              <w:rPr>
                <w:rFonts w:hint="default" w:ascii="Times New Roman" w:hAnsi="Times New Roman" w:eastAsia="宋体" w:cs="Times New Roman"/>
                <w:bCs/>
                <w:color w:val="auto"/>
                <w:sz w:val="24"/>
                <w:highlight w:val="none"/>
                <w:lang w:val="en-US" w:eastAsia="zh-CN"/>
              </w:rPr>
              <w:t>清洗废水</w:t>
            </w:r>
            <w:r>
              <w:rPr>
                <w:rFonts w:hint="default" w:ascii="Times New Roman" w:hAnsi="Times New Roman" w:eastAsia="宋体" w:cs="Times New Roman"/>
                <w:color w:val="auto"/>
                <w:sz w:val="24"/>
                <w:highlight w:val="none"/>
                <w:lang w:val="en-US" w:eastAsia="zh-CN"/>
              </w:rPr>
              <w:t>水质及排放量参数详见下表</w:t>
            </w:r>
            <w:r>
              <w:rPr>
                <w:rFonts w:hint="default" w:ascii="Times New Roman" w:hAnsi="Times New Roman" w:eastAsia="宋体" w:cs="Times New Roman"/>
                <w:bCs/>
                <w:color w:val="auto"/>
                <w:sz w:val="24"/>
                <w:highlight w:val="none"/>
                <w:lang w:val="en-US" w:eastAsia="zh-CN"/>
              </w:rPr>
              <w:t>。</w:t>
            </w:r>
          </w:p>
          <w:p w14:paraId="21CADBB4">
            <w:pPr>
              <w:keepNext w:val="0"/>
              <w:keepLines w:val="0"/>
              <w:widowControl/>
              <w:numPr>
                <w:ilvl w:val="0"/>
                <w:numId w:val="40"/>
              </w:numPr>
              <w:suppressLineNumbers w:val="0"/>
              <w:ind w:left="425" w:leftChars="0" w:hanging="425" w:firstLineChars="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kern w:val="0"/>
                <w:sz w:val="24"/>
                <w:szCs w:val="24"/>
                <w:lang w:val="en-US" w:eastAsia="zh-CN" w:bidi="ar"/>
              </w:rPr>
              <w:t>实验室废水产生情况一览表</w:t>
            </w:r>
          </w:p>
          <w:tbl>
            <w:tblPr>
              <w:tblStyle w:val="23"/>
              <w:tblW w:w="500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89"/>
              <w:gridCol w:w="2568"/>
              <w:gridCol w:w="960"/>
              <w:gridCol w:w="1080"/>
              <w:gridCol w:w="936"/>
              <w:gridCol w:w="1146"/>
            </w:tblGrid>
            <w:tr w14:paraId="3F8C95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8" w:hRule="atLeast"/>
                <w:jc w:val="center"/>
              </w:trPr>
              <w:tc>
                <w:tcPr>
                  <w:tcW w:w="586" w:type="pct"/>
                  <w:tcBorders>
                    <w:tl2br w:val="nil"/>
                    <w:tr2bl w:val="nil"/>
                  </w:tcBorders>
                  <w:shd w:val="clear" w:color="auto" w:fill="auto"/>
                  <w:vAlign w:val="center"/>
                </w:tcPr>
                <w:p w14:paraId="09E3B27D">
                  <w:pPr>
                    <w:adjustRightInd w:val="0"/>
                    <w:snapToGrid w:val="0"/>
                    <w:jc w:val="center"/>
                    <w:rPr>
                      <w:rFonts w:hint="default" w:ascii="Times New Roman" w:hAnsi="Times New Roman" w:eastAsia="宋体" w:cs="Times New Roman"/>
                      <w:b/>
                      <w:color w:val="auto"/>
                      <w:kern w:val="2"/>
                      <w:sz w:val="21"/>
                      <w:szCs w:val="21"/>
                      <w:highlight w:val="none"/>
                      <w:lang w:val="en-US" w:eastAsia="zh-CN" w:bidi="ar-SA"/>
                    </w:rPr>
                  </w:pPr>
                  <w:r>
                    <w:rPr>
                      <w:rFonts w:hint="eastAsia" w:cs="Times New Roman"/>
                      <w:b/>
                      <w:color w:val="auto"/>
                      <w:szCs w:val="21"/>
                      <w:highlight w:val="none"/>
                      <w:lang w:val="en-US" w:eastAsia="zh-CN"/>
                    </w:rPr>
                    <w:t>水量</w:t>
                  </w:r>
                </w:p>
              </w:tc>
              <w:tc>
                <w:tcPr>
                  <w:tcW w:w="1694" w:type="pct"/>
                  <w:tcBorders>
                    <w:tl2br w:val="nil"/>
                    <w:tr2bl w:val="nil"/>
                  </w:tcBorders>
                  <w:vAlign w:val="center"/>
                </w:tcPr>
                <w:p w14:paraId="26CFD7DE">
                  <w:pPr>
                    <w:adjustRightInd w:val="0"/>
                    <w:snapToGrid w:val="0"/>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项目</w:t>
                  </w:r>
                </w:p>
              </w:tc>
              <w:tc>
                <w:tcPr>
                  <w:tcW w:w="633" w:type="pct"/>
                  <w:tcBorders>
                    <w:tl2br w:val="nil"/>
                    <w:tr2bl w:val="nil"/>
                  </w:tcBorders>
                  <w:vAlign w:val="center"/>
                </w:tcPr>
                <w:p w14:paraId="727804F6">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COD</w:t>
                  </w:r>
                  <w:r>
                    <w:rPr>
                      <w:rFonts w:hint="default" w:ascii="Times New Roman" w:hAnsi="Times New Roman" w:eastAsia="宋体" w:cs="Times New Roman"/>
                      <w:b/>
                      <w:color w:val="auto"/>
                      <w:szCs w:val="21"/>
                      <w:highlight w:val="none"/>
                      <w:vertAlign w:val="subscript"/>
                    </w:rPr>
                    <w:t>Cr</w:t>
                  </w:r>
                </w:p>
              </w:tc>
              <w:tc>
                <w:tcPr>
                  <w:tcW w:w="712" w:type="pct"/>
                  <w:tcBorders>
                    <w:tl2br w:val="nil"/>
                    <w:tr2bl w:val="nil"/>
                  </w:tcBorders>
                  <w:vAlign w:val="center"/>
                </w:tcPr>
                <w:p w14:paraId="4ACCBB92">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BOD</w:t>
                  </w:r>
                  <w:r>
                    <w:rPr>
                      <w:rFonts w:hint="default" w:ascii="Times New Roman" w:hAnsi="Times New Roman" w:eastAsia="宋体" w:cs="Times New Roman"/>
                      <w:b/>
                      <w:color w:val="auto"/>
                      <w:szCs w:val="21"/>
                      <w:highlight w:val="none"/>
                      <w:vertAlign w:val="subscript"/>
                    </w:rPr>
                    <w:t>5</w:t>
                  </w:r>
                </w:p>
              </w:tc>
              <w:tc>
                <w:tcPr>
                  <w:tcW w:w="617" w:type="pct"/>
                  <w:tcBorders>
                    <w:tl2br w:val="nil"/>
                    <w:tr2bl w:val="nil"/>
                  </w:tcBorders>
                  <w:vAlign w:val="center"/>
                </w:tcPr>
                <w:p w14:paraId="3F35D530">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SS</w:t>
                  </w:r>
                </w:p>
              </w:tc>
              <w:tc>
                <w:tcPr>
                  <w:tcW w:w="756" w:type="pct"/>
                  <w:tcBorders>
                    <w:tl2br w:val="nil"/>
                    <w:tr2bl w:val="nil"/>
                  </w:tcBorders>
                  <w:vAlign w:val="center"/>
                </w:tcPr>
                <w:p w14:paraId="69537E4B">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氨氮</w:t>
                  </w:r>
                </w:p>
              </w:tc>
            </w:tr>
            <w:tr w14:paraId="726985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37" w:hRule="atLeast"/>
                <w:jc w:val="center"/>
              </w:trPr>
              <w:tc>
                <w:tcPr>
                  <w:tcW w:w="586" w:type="pct"/>
                  <w:vMerge w:val="restart"/>
                  <w:tcBorders>
                    <w:tl2br w:val="nil"/>
                    <w:tr2bl w:val="nil"/>
                  </w:tcBorders>
                  <w:shd w:val="clear" w:color="auto" w:fill="auto"/>
                  <w:vAlign w:val="center"/>
                </w:tcPr>
                <w:p w14:paraId="3F463A23">
                  <w:pPr>
                    <w:keepNext w:val="0"/>
                    <w:keepLines w:val="0"/>
                    <w:widowControl/>
                    <w:suppressLineNumbers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0.9</w:t>
                  </w:r>
                </w:p>
                <w:p w14:paraId="40C067E1">
                  <w:pPr>
                    <w:keepNext w:val="0"/>
                    <w:keepLines w:val="0"/>
                    <w:widowControl/>
                    <w:suppressLineNumbers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 xml:space="preserve"> /a</w:t>
                  </w:r>
                </w:p>
              </w:tc>
              <w:tc>
                <w:tcPr>
                  <w:tcW w:w="1694" w:type="pct"/>
                  <w:tcBorders>
                    <w:tl2br w:val="nil"/>
                    <w:tr2bl w:val="nil"/>
                  </w:tcBorders>
                  <w:vAlign w:val="center"/>
                </w:tcPr>
                <w:p w14:paraId="0F26B5A5">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清洗废水</w:t>
                  </w:r>
                  <w:r>
                    <w:rPr>
                      <w:rFonts w:hint="eastAsia" w:cs="Times New Roman"/>
                      <w:color w:val="auto"/>
                      <w:szCs w:val="21"/>
                      <w:highlight w:val="none"/>
                      <w:lang w:val="en-US" w:eastAsia="zh-CN"/>
                    </w:rPr>
                    <w:t>产生浓度</w:t>
                  </w:r>
                  <w:r>
                    <w:rPr>
                      <w:rFonts w:hint="default" w:ascii="Times New Roman" w:hAnsi="Times New Roman" w:eastAsia="宋体" w:cs="Times New Roman"/>
                      <w:color w:val="auto"/>
                      <w:szCs w:val="21"/>
                      <w:highlight w:val="none"/>
                    </w:rPr>
                    <w:t>（mg/L）</w:t>
                  </w:r>
                </w:p>
              </w:tc>
              <w:tc>
                <w:tcPr>
                  <w:tcW w:w="633" w:type="pct"/>
                  <w:tcBorders>
                    <w:tl2br w:val="nil"/>
                    <w:tr2bl w:val="nil"/>
                  </w:tcBorders>
                  <w:vAlign w:val="center"/>
                </w:tcPr>
                <w:p w14:paraId="5EEE11F4">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200</w:t>
                  </w:r>
                </w:p>
              </w:tc>
              <w:tc>
                <w:tcPr>
                  <w:tcW w:w="712" w:type="pct"/>
                  <w:tcBorders>
                    <w:tl2br w:val="nil"/>
                    <w:tr2bl w:val="nil"/>
                  </w:tcBorders>
                  <w:vAlign w:val="center"/>
                </w:tcPr>
                <w:p w14:paraId="7359B495">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180</w:t>
                  </w:r>
                </w:p>
              </w:tc>
              <w:tc>
                <w:tcPr>
                  <w:tcW w:w="617" w:type="pct"/>
                  <w:tcBorders>
                    <w:tl2br w:val="nil"/>
                    <w:tr2bl w:val="nil"/>
                  </w:tcBorders>
                  <w:vAlign w:val="center"/>
                </w:tcPr>
                <w:p w14:paraId="5060CE29">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200</w:t>
                  </w:r>
                </w:p>
              </w:tc>
              <w:tc>
                <w:tcPr>
                  <w:tcW w:w="756" w:type="pct"/>
                  <w:tcBorders>
                    <w:tl2br w:val="nil"/>
                    <w:tr2bl w:val="nil"/>
                  </w:tcBorders>
                  <w:vAlign w:val="center"/>
                </w:tcPr>
                <w:p w14:paraId="65697C29">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25</w:t>
                  </w:r>
                </w:p>
              </w:tc>
            </w:tr>
            <w:tr w14:paraId="6F2150F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67" w:hRule="atLeast"/>
                <w:jc w:val="center"/>
              </w:trPr>
              <w:tc>
                <w:tcPr>
                  <w:tcW w:w="586" w:type="pct"/>
                  <w:vMerge w:val="continue"/>
                  <w:tcBorders>
                    <w:tl2br w:val="nil"/>
                    <w:tr2bl w:val="nil"/>
                  </w:tcBorders>
                  <w:vAlign w:val="center"/>
                </w:tcPr>
                <w:p w14:paraId="3B7E115C">
                  <w:pPr>
                    <w:keepNext w:val="0"/>
                    <w:keepLines w:val="0"/>
                    <w:widowControl/>
                    <w:suppressLineNumbers w:val="0"/>
                    <w:ind w:firstLine="420" w:firstLineChars="200"/>
                    <w:jc w:val="left"/>
                    <w:rPr>
                      <w:rFonts w:hint="default" w:ascii="Times New Roman" w:hAnsi="Times New Roman" w:eastAsia="宋体" w:cs="Times New Roman"/>
                      <w:color w:val="auto"/>
                      <w:szCs w:val="21"/>
                      <w:highlight w:val="none"/>
                      <w:lang w:val="en-US" w:eastAsia="zh-CN"/>
                    </w:rPr>
                  </w:pPr>
                </w:p>
              </w:tc>
              <w:tc>
                <w:tcPr>
                  <w:tcW w:w="1694" w:type="pct"/>
                  <w:tcBorders>
                    <w:tl2br w:val="nil"/>
                    <w:tr2bl w:val="nil"/>
                  </w:tcBorders>
                  <w:vAlign w:val="center"/>
                </w:tcPr>
                <w:p w14:paraId="2FE6651A">
                  <w:pPr>
                    <w:keepNext w:val="0"/>
                    <w:keepLines w:val="0"/>
                    <w:widowControl/>
                    <w:suppressLineNumbers w:val="0"/>
                    <w:ind w:firstLine="420" w:firstLineChars="20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排放量（</w:t>
                  </w:r>
                  <w:r>
                    <w:rPr>
                      <w:rFonts w:hint="default" w:ascii="Times New Roman" w:hAnsi="Times New Roman" w:eastAsia="宋体" w:cs="Times New Roman"/>
                      <w:color w:val="auto"/>
                      <w:kern w:val="0"/>
                      <w:sz w:val="21"/>
                      <w:szCs w:val="21"/>
                      <w:lang w:val="en-US" w:eastAsia="zh-CN" w:bidi="ar"/>
                    </w:rPr>
                    <w:t>t/a</w:t>
                  </w:r>
                  <w:r>
                    <w:rPr>
                      <w:rFonts w:hint="default" w:ascii="Times New Roman" w:hAnsi="Times New Roman" w:eastAsia="宋体" w:cs="Times New Roman"/>
                      <w:color w:val="auto"/>
                      <w:szCs w:val="21"/>
                      <w:highlight w:val="none"/>
                      <w:lang w:val="en-US" w:eastAsia="zh-CN"/>
                    </w:rPr>
                    <w:t>）</w:t>
                  </w:r>
                </w:p>
              </w:tc>
              <w:tc>
                <w:tcPr>
                  <w:tcW w:w="633" w:type="pct"/>
                  <w:tcBorders>
                    <w:tl2br w:val="nil"/>
                    <w:tr2bl w:val="nil"/>
                  </w:tcBorders>
                  <w:vAlign w:val="center"/>
                </w:tcPr>
                <w:p w14:paraId="3D926EC5">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0.000</w:t>
                  </w:r>
                  <w:r>
                    <w:rPr>
                      <w:rFonts w:hint="eastAsia" w:cs="Times New Roman"/>
                      <w:color w:val="auto"/>
                      <w:szCs w:val="21"/>
                      <w:highlight w:val="none"/>
                      <w:lang w:val="en-US" w:eastAsia="zh-CN"/>
                    </w:rPr>
                    <w:t>2</w:t>
                  </w:r>
                </w:p>
              </w:tc>
              <w:tc>
                <w:tcPr>
                  <w:tcW w:w="712" w:type="pct"/>
                  <w:tcBorders>
                    <w:tl2br w:val="nil"/>
                    <w:tr2bl w:val="nil"/>
                  </w:tcBorders>
                  <w:vAlign w:val="center"/>
                </w:tcPr>
                <w:p w14:paraId="02ACB996">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0.000</w:t>
                  </w:r>
                  <w:r>
                    <w:rPr>
                      <w:rFonts w:hint="eastAsia" w:cs="Times New Roman"/>
                      <w:color w:val="auto"/>
                      <w:szCs w:val="21"/>
                      <w:highlight w:val="none"/>
                      <w:lang w:val="en-US" w:eastAsia="zh-CN"/>
                    </w:rPr>
                    <w:t>2</w:t>
                  </w:r>
                </w:p>
              </w:tc>
              <w:tc>
                <w:tcPr>
                  <w:tcW w:w="617" w:type="pct"/>
                  <w:tcBorders>
                    <w:tl2br w:val="nil"/>
                    <w:tr2bl w:val="nil"/>
                  </w:tcBorders>
                  <w:vAlign w:val="center"/>
                </w:tcPr>
                <w:p w14:paraId="7FB951F9">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w:t>
                  </w:r>
                  <w:r>
                    <w:rPr>
                      <w:rFonts w:hint="eastAsia" w:cs="Times New Roman"/>
                      <w:color w:val="auto"/>
                      <w:szCs w:val="21"/>
                      <w:highlight w:val="none"/>
                      <w:lang w:val="en-US" w:eastAsia="zh-CN"/>
                    </w:rPr>
                    <w:t>02</w:t>
                  </w:r>
                </w:p>
              </w:tc>
              <w:tc>
                <w:tcPr>
                  <w:tcW w:w="756" w:type="pct"/>
                  <w:tcBorders>
                    <w:tl2br w:val="nil"/>
                    <w:tr2bl w:val="nil"/>
                  </w:tcBorders>
                  <w:vAlign w:val="center"/>
                </w:tcPr>
                <w:p w14:paraId="581AD5D2">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0.0000</w:t>
                  </w:r>
                  <w:r>
                    <w:rPr>
                      <w:rFonts w:hint="eastAsia" w:cs="Times New Roman"/>
                      <w:color w:val="auto"/>
                      <w:szCs w:val="21"/>
                      <w:highlight w:val="none"/>
                      <w:lang w:val="en-US" w:eastAsia="zh-CN"/>
                    </w:rPr>
                    <w:t>2</w:t>
                  </w:r>
                </w:p>
              </w:tc>
            </w:tr>
          </w:tbl>
          <w:p w14:paraId="296CA377">
            <w:pPr>
              <w:numPr>
                <w:ilvl w:val="0"/>
                <w:numId w:val="43"/>
              </w:numPr>
              <w:spacing w:line="360" w:lineRule="auto"/>
              <w:ind w:left="20" w:leftChars="0" w:firstLineChars="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综合污水</w:t>
            </w:r>
          </w:p>
          <w:p w14:paraId="4C032BF1">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根据《化粪池原理及水污染物去除率》中数据，化粪池对各个污染物COD、BOD</w:t>
            </w:r>
            <w:r>
              <w:rPr>
                <w:rFonts w:hint="default" w:ascii="Times New Roman" w:hAnsi="Times New Roman" w:eastAsia="宋体" w:cs="Times New Roman"/>
                <w:bCs/>
                <w:color w:val="auto"/>
                <w:sz w:val="24"/>
                <w:highlight w:val="none"/>
                <w:vertAlign w:val="subscript"/>
                <w:lang w:val="en-US" w:eastAsia="zh-CN"/>
              </w:rPr>
              <w:t>5</w:t>
            </w:r>
            <w:r>
              <w:rPr>
                <w:rFonts w:hint="default" w:ascii="Times New Roman" w:hAnsi="Times New Roman" w:eastAsia="宋体" w:cs="Times New Roman"/>
                <w:bCs/>
                <w:color w:val="auto"/>
                <w:sz w:val="24"/>
                <w:highlight w:val="none"/>
                <w:lang w:val="en-US" w:eastAsia="zh-CN"/>
              </w:rPr>
              <w:t>、SS、氨氮的去除率分别为 15%、9%、30%、3%。本项目废水中各污染物产生量计算结果汇总见下表。</w:t>
            </w:r>
          </w:p>
          <w:p w14:paraId="5AF5287B">
            <w:pPr>
              <w:keepNext w:val="0"/>
              <w:keepLines w:val="0"/>
              <w:widowControl/>
              <w:numPr>
                <w:ilvl w:val="0"/>
                <w:numId w:val="40"/>
              </w:numPr>
              <w:suppressLineNumbers w:val="0"/>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项目综合污水水污染物产生及排放情况一览表</w:t>
            </w:r>
          </w:p>
          <w:tbl>
            <w:tblPr>
              <w:tblStyle w:val="24"/>
              <w:tblW w:w="7361"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63"/>
              <w:gridCol w:w="1506"/>
              <w:gridCol w:w="782"/>
              <w:gridCol w:w="782"/>
              <w:gridCol w:w="782"/>
              <w:gridCol w:w="782"/>
              <w:gridCol w:w="782"/>
              <w:gridCol w:w="782"/>
            </w:tblGrid>
            <w:tr w14:paraId="1726AB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63" w:type="dxa"/>
                  <w:tcBorders>
                    <w:tl2br w:val="nil"/>
                    <w:tr2bl w:val="nil"/>
                  </w:tcBorders>
                  <w:vAlign w:val="center"/>
                </w:tcPr>
                <w:p w14:paraId="36CC8413">
                  <w:pPr>
                    <w:widowControl/>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项目</w:t>
                  </w:r>
                </w:p>
              </w:tc>
              <w:tc>
                <w:tcPr>
                  <w:tcW w:w="1506" w:type="dxa"/>
                  <w:tcBorders>
                    <w:tl2br w:val="nil"/>
                    <w:tr2bl w:val="nil"/>
                  </w:tcBorders>
                  <w:vAlign w:val="center"/>
                </w:tcPr>
                <w:p w14:paraId="759EC053">
                  <w:pPr>
                    <w:widowControl/>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污染物种类</w:t>
                  </w:r>
                </w:p>
              </w:tc>
              <w:tc>
                <w:tcPr>
                  <w:tcW w:w="782" w:type="dxa"/>
                  <w:tcBorders>
                    <w:tl2br w:val="nil"/>
                    <w:tr2bl w:val="nil"/>
                  </w:tcBorders>
                  <w:vAlign w:val="center"/>
                </w:tcPr>
                <w:p w14:paraId="6CE3B160">
                  <w:pPr>
                    <w:widowControl/>
                    <w:adjustRightInd w:val="0"/>
                    <w:snapToGrid w:val="0"/>
                    <w:jc w:val="center"/>
                    <w:rPr>
                      <w:rFonts w:hint="default" w:ascii="Times New Roman" w:hAnsi="Times New Roman" w:eastAsia="宋体" w:cs="Times New Roman"/>
                      <w:b/>
                      <w:bCs/>
                      <w:color w:val="auto"/>
                      <w:kern w:val="0"/>
                      <w:sz w:val="21"/>
                      <w:szCs w:val="21"/>
                      <w:highlight w:val="none"/>
                      <w:vertAlign w:val="subscript"/>
                    </w:rPr>
                  </w:pPr>
                  <w:r>
                    <w:rPr>
                      <w:rFonts w:hint="default" w:ascii="Times New Roman" w:hAnsi="Times New Roman" w:eastAsia="宋体" w:cs="Times New Roman"/>
                      <w:b/>
                      <w:bCs/>
                      <w:color w:val="auto"/>
                      <w:kern w:val="0"/>
                      <w:sz w:val="21"/>
                      <w:szCs w:val="21"/>
                      <w:highlight w:val="none"/>
                    </w:rPr>
                    <w:t>COD</w:t>
                  </w:r>
                  <w:r>
                    <w:rPr>
                      <w:rFonts w:hint="default" w:ascii="Times New Roman" w:hAnsi="Times New Roman" w:eastAsia="宋体" w:cs="Times New Roman"/>
                      <w:b/>
                      <w:bCs/>
                      <w:color w:val="auto"/>
                      <w:kern w:val="0"/>
                      <w:sz w:val="21"/>
                      <w:szCs w:val="21"/>
                      <w:highlight w:val="none"/>
                      <w:vertAlign w:val="subscript"/>
                    </w:rPr>
                    <w:t>Cr</w:t>
                  </w:r>
                </w:p>
              </w:tc>
              <w:tc>
                <w:tcPr>
                  <w:tcW w:w="782" w:type="dxa"/>
                  <w:tcBorders>
                    <w:tl2br w:val="nil"/>
                    <w:tr2bl w:val="nil"/>
                  </w:tcBorders>
                  <w:vAlign w:val="center"/>
                </w:tcPr>
                <w:p w14:paraId="79BB8B9C">
                  <w:pPr>
                    <w:widowControl/>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BOD</w:t>
                  </w:r>
                  <w:r>
                    <w:rPr>
                      <w:rFonts w:hint="default" w:ascii="Times New Roman" w:hAnsi="Times New Roman" w:eastAsia="宋体" w:cs="Times New Roman"/>
                      <w:b/>
                      <w:bCs/>
                      <w:color w:val="auto"/>
                      <w:kern w:val="0"/>
                      <w:sz w:val="21"/>
                      <w:szCs w:val="21"/>
                      <w:highlight w:val="none"/>
                      <w:vertAlign w:val="subscript"/>
                    </w:rPr>
                    <w:t>5</w:t>
                  </w:r>
                </w:p>
              </w:tc>
              <w:tc>
                <w:tcPr>
                  <w:tcW w:w="782" w:type="dxa"/>
                  <w:tcBorders>
                    <w:tl2br w:val="nil"/>
                    <w:tr2bl w:val="nil"/>
                  </w:tcBorders>
                  <w:vAlign w:val="center"/>
                </w:tcPr>
                <w:p w14:paraId="173B7FD5">
                  <w:pPr>
                    <w:widowControl/>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SS</w:t>
                  </w:r>
                </w:p>
              </w:tc>
              <w:tc>
                <w:tcPr>
                  <w:tcW w:w="782" w:type="dxa"/>
                  <w:tcBorders>
                    <w:tl2br w:val="nil"/>
                    <w:tr2bl w:val="nil"/>
                  </w:tcBorders>
                  <w:vAlign w:val="center"/>
                </w:tcPr>
                <w:p w14:paraId="1C61D3D2">
                  <w:pPr>
                    <w:widowControl/>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氨氮</w:t>
                  </w:r>
                </w:p>
              </w:tc>
              <w:tc>
                <w:tcPr>
                  <w:tcW w:w="782" w:type="dxa"/>
                  <w:tcBorders>
                    <w:tl2br w:val="nil"/>
                    <w:tr2bl w:val="nil"/>
                  </w:tcBorders>
                  <w:vAlign w:val="center"/>
                </w:tcPr>
                <w:p w14:paraId="56B18884">
                  <w:pPr>
                    <w:widowControl/>
                    <w:adjustRightInd w:val="0"/>
                    <w:snapToGrid w:val="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pH</w:t>
                  </w:r>
                </w:p>
                <w:p w14:paraId="2D9D44DE">
                  <w:pPr>
                    <w:widowControl/>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无量纲</w:t>
                  </w:r>
                </w:p>
              </w:tc>
              <w:tc>
                <w:tcPr>
                  <w:tcW w:w="782" w:type="dxa"/>
                  <w:tcBorders>
                    <w:tl2br w:val="nil"/>
                    <w:tr2bl w:val="nil"/>
                  </w:tcBorders>
                  <w:vAlign w:val="center"/>
                </w:tcPr>
                <w:p w14:paraId="3C81F940">
                  <w:pPr>
                    <w:widowControl/>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可溶性固体总量</w:t>
                  </w:r>
                </w:p>
              </w:tc>
            </w:tr>
            <w:tr w14:paraId="20537A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163" w:type="dxa"/>
                  <w:vMerge w:val="restart"/>
                  <w:tcBorders>
                    <w:tl2br w:val="nil"/>
                    <w:tr2bl w:val="nil"/>
                  </w:tcBorders>
                  <w:shd w:val="clear" w:color="auto" w:fill="auto"/>
                  <w:vAlign w:val="center"/>
                </w:tcPr>
                <w:p w14:paraId="37A5B612">
                  <w:pPr>
                    <w:widowControl/>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生活污水</w:t>
                  </w:r>
                  <w:r>
                    <w:rPr>
                      <w:rFonts w:hint="eastAsia" w:cs="Times New Roman"/>
                      <w:b w:val="0"/>
                      <w:bCs w:val="0"/>
                      <w:color w:val="auto"/>
                      <w:kern w:val="0"/>
                      <w:sz w:val="21"/>
                      <w:szCs w:val="21"/>
                      <w:highlight w:val="none"/>
                      <w:lang w:eastAsia="zh-CN"/>
                    </w:rPr>
                    <w:t>、</w:t>
                  </w:r>
                  <w:r>
                    <w:rPr>
                      <w:rFonts w:hint="eastAsia" w:cs="Times New Roman"/>
                      <w:b w:val="0"/>
                      <w:bCs w:val="0"/>
                      <w:color w:val="auto"/>
                      <w:kern w:val="0"/>
                      <w:sz w:val="21"/>
                      <w:szCs w:val="21"/>
                      <w:highlight w:val="none"/>
                      <w:lang w:val="en-US" w:eastAsia="zh-CN"/>
                    </w:rPr>
                    <w:t>地面清洗废水</w:t>
                  </w:r>
                  <w:r>
                    <w:rPr>
                      <w:rFonts w:hint="eastAsia" w:cs="Times New Roman"/>
                      <w:color w:val="auto"/>
                      <w:sz w:val="21"/>
                      <w:szCs w:val="21"/>
                      <w:highlight w:val="none"/>
                      <w:lang w:val="en-US" w:eastAsia="zh-CN"/>
                    </w:rPr>
                    <w:t>327.8</w:t>
                  </w:r>
                  <w:r>
                    <w:rPr>
                      <w:rFonts w:hint="default" w:ascii="Times New Roman" w:hAnsi="Times New Roman" w:eastAsia="宋体" w:cs="Times New Roman"/>
                      <w:b w:val="0"/>
                      <w:bCs w:val="0"/>
                      <w:color w:val="auto"/>
                      <w:sz w:val="21"/>
                      <w:szCs w:val="21"/>
                      <w:highlight w:val="none"/>
                      <w:lang w:val="en-US" w:eastAsia="zh-CN"/>
                    </w:rPr>
                    <w:t>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 xml:space="preserve"> /a</w:t>
                  </w:r>
                </w:p>
              </w:tc>
              <w:tc>
                <w:tcPr>
                  <w:tcW w:w="1506" w:type="dxa"/>
                  <w:tcBorders>
                    <w:tl2br w:val="nil"/>
                    <w:tr2bl w:val="nil"/>
                  </w:tcBorders>
                  <w:shd w:val="clear" w:color="auto" w:fill="auto"/>
                  <w:vAlign w:val="center"/>
                </w:tcPr>
                <w:p w14:paraId="2B2FF959">
                  <w:pPr>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产生浓度</w:t>
                  </w:r>
                  <w:r>
                    <w:rPr>
                      <w:rFonts w:hint="default" w:ascii="Times New Roman" w:hAnsi="Times New Roman" w:eastAsia="宋体" w:cs="Times New Roman"/>
                      <w:b w:val="0"/>
                      <w:bCs w:val="0"/>
                      <w:color w:val="auto"/>
                      <w:sz w:val="21"/>
                      <w:szCs w:val="21"/>
                      <w:highlight w:val="none"/>
                    </w:rPr>
                    <w:t>（mg/L）</w:t>
                  </w:r>
                </w:p>
              </w:tc>
              <w:tc>
                <w:tcPr>
                  <w:tcW w:w="782" w:type="dxa"/>
                  <w:tcBorders>
                    <w:tl2br w:val="nil"/>
                    <w:tr2bl w:val="nil"/>
                  </w:tcBorders>
                  <w:shd w:val="clear" w:color="auto" w:fill="auto"/>
                  <w:vAlign w:val="center"/>
                </w:tcPr>
                <w:p w14:paraId="0FFC98B7">
                  <w:pPr>
                    <w:widowControl/>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450</w:t>
                  </w:r>
                </w:p>
              </w:tc>
              <w:tc>
                <w:tcPr>
                  <w:tcW w:w="782" w:type="dxa"/>
                  <w:tcBorders>
                    <w:tl2br w:val="nil"/>
                    <w:tr2bl w:val="nil"/>
                  </w:tcBorders>
                  <w:shd w:val="clear" w:color="auto" w:fill="auto"/>
                  <w:vAlign w:val="center"/>
                </w:tcPr>
                <w:p w14:paraId="18053AA9">
                  <w:pPr>
                    <w:widowControl/>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250</w:t>
                  </w:r>
                </w:p>
              </w:tc>
              <w:tc>
                <w:tcPr>
                  <w:tcW w:w="782" w:type="dxa"/>
                  <w:tcBorders>
                    <w:tl2br w:val="nil"/>
                    <w:tr2bl w:val="nil"/>
                  </w:tcBorders>
                  <w:shd w:val="clear" w:color="auto" w:fill="auto"/>
                  <w:vAlign w:val="center"/>
                </w:tcPr>
                <w:p w14:paraId="6A688071">
                  <w:pPr>
                    <w:widowControl/>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300</w:t>
                  </w:r>
                </w:p>
              </w:tc>
              <w:tc>
                <w:tcPr>
                  <w:tcW w:w="782" w:type="dxa"/>
                  <w:tcBorders>
                    <w:tl2br w:val="nil"/>
                    <w:tr2bl w:val="nil"/>
                  </w:tcBorders>
                  <w:shd w:val="clear" w:color="auto" w:fill="auto"/>
                  <w:vAlign w:val="center"/>
                </w:tcPr>
                <w:p w14:paraId="51DD45C5">
                  <w:pPr>
                    <w:widowControl/>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40</w:t>
                  </w:r>
                </w:p>
              </w:tc>
              <w:tc>
                <w:tcPr>
                  <w:tcW w:w="782" w:type="dxa"/>
                  <w:tcBorders>
                    <w:tl2br w:val="nil"/>
                    <w:tr2bl w:val="nil"/>
                  </w:tcBorders>
                  <w:shd w:val="clear" w:color="auto" w:fill="auto"/>
                  <w:vAlign w:val="center"/>
                </w:tcPr>
                <w:p w14:paraId="152E048C">
                  <w:pPr>
                    <w:widowControl/>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6.5~7.5</w:t>
                  </w:r>
                </w:p>
              </w:tc>
              <w:tc>
                <w:tcPr>
                  <w:tcW w:w="782" w:type="dxa"/>
                  <w:tcBorders>
                    <w:tl2br w:val="nil"/>
                    <w:tr2bl w:val="nil"/>
                  </w:tcBorders>
                  <w:shd w:val="clear" w:color="auto" w:fill="auto"/>
                  <w:vAlign w:val="center"/>
                </w:tcPr>
                <w:p w14:paraId="78DEE93E">
                  <w:pPr>
                    <w:widowControl/>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bidi="ar"/>
                    </w:rPr>
                    <w:t>/</w:t>
                  </w:r>
                </w:p>
              </w:tc>
            </w:tr>
            <w:tr w14:paraId="0E0C9FC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163" w:type="dxa"/>
                  <w:vMerge w:val="continue"/>
                  <w:tcBorders>
                    <w:tl2br w:val="nil"/>
                    <w:tr2bl w:val="nil"/>
                  </w:tcBorders>
                  <w:vAlign w:val="center"/>
                </w:tcPr>
                <w:p w14:paraId="03980E56">
                  <w:pPr>
                    <w:widowControl/>
                    <w:adjustRightInd w:val="0"/>
                    <w:snapToGrid w:val="0"/>
                    <w:jc w:val="center"/>
                    <w:rPr>
                      <w:rFonts w:hint="default" w:ascii="Times New Roman" w:hAnsi="Times New Roman" w:eastAsia="宋体" w:cs="Times New Roman"/>
                      <w:b w:val="0"/>
                      <w:bCs w:val="0"/>
                      <w:color w:val="auto"/>
                      <w:kern w:val="0"/>
                      <w:sz w:val="21"/>
                      <w:szCs w:val="21"/>
                      <w:highlight w:val="none"/>
                    </w:rPr>
                  </w:pPr>
                </w:p>
              </w:tc>
              <w:tc>
                <w:tcPr>
                  <w:tcW w:w="1506" w:type="dxa"/>
                  <w:tcBorders>
                    <w:tl2br w:val="nil"/>
                    <w:tr2bl w:val="nil"/>
                  </w:tcBorders>
                  <w:shd w:val="clear" w:color="auto" w:fill="auto"/>
                  <w:vAlign w:val="center"/>
                </w:tcPr>
                <w:p w14:paraId="19B1CC8B">
                  <w:pPr>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产生量（t/a）</w:t>
                  </w:r>
                </w:p>
              </w:tc>
              <w:tc>
                <w:tcPr>
                  <w:tcW w:w="782" w:type="dxa"/>
                  <w:tcBorders>
                    <w:tl2br w:val="nil"/>
                    <w:tr2bl w:val="nil"/>
                  </w:tcBorders>
                  <w:shd w:val="clear" w:color="auto" w:fill="auto"/>
                  <w:vAlign w:val="center"/>
                </w:tcPr>
                <w:p w14:paraId="6AB580E3">
                  <w:pPr>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color w:val="auto"/>
                      <w:szCs w:val="21"/>
                      <w:highlight w:val="none"/>
                      <w:lang w:val="en-US" w:eastAsia="zh-CN"/>
                    </w:rPr>
                    <w:t>0.</w:t>
                  </w:r>
                  <w:r>
                    <w:rPr>
                      <w:rFonts w:hint="eastAsia" w:cs="Times New Roman"/>
                      <w:color w:val="auto"/>
                      <w:szCs w:val="21"/>
                      <w:highlight w:val="none"/>
                      <w:lang w:val="en-US" w:eastAsia="zh-CN"/>
                    </w:rPr>
                    <w:t>1475</w:t>
                  </w:r>
                </w:p>
              </w:tc>
              <w:tc>
                <w:tcPr>
                  <w:tcW w:w="782" w:type="dxa"/>
                  <w:tcBorders>
                    <w:tl2br w:val="nil"/>
                    <w:tr2bl w:val="nil"/>
                  </w:tcBorders>
                  <w:shd w:val="clear" w:color="auto" w:fill="auto"/>
                  <w:vAlign w:val="center"/>
                </w:tcPr>
                <w:p w14:paraId="6EBBDFB4">
                  <w:pPr>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color w:val="auto"/>
                      <w:szCs w:val="21"/>
                      <w:highlight w:val="none"/>
                      <w:lang w:val="en-US" w:eastAsia="zh-CN"/>
                    </w:rPr>
                    <w:t>0.</w:t>
                  </w:r>
                  <w:r>
                    <w:rPr>
                      <w:rFonts w:hint="eastAsia" w:cs="Times New Roman"/>
                      <w:color w:val="auto"/>
                      <w:szCs w:val="21"/>
                      <w:highlight w:val="none"/>
                      <w:lang w:val="en-US" w:eastAsia="zh-CN"/>
                    </w:rPr>
                    <w:t>0820</w:t>
                  </w:r>
                </w:p>
              </w:tc>
              <w:tc>
                <w:tcPr>
                  <w:tcW w:w="782" w:type="dxa"/>
                  <w:tcBorders>
                    <w:tl2br w:val="nil"/>
                    <w:tr2bl w:val="nil"/>
                  </w:tcBorders>
                  <w:shd w:val="clear" w:color="auto" w:fill="auto"/>
                  <w:vAlign w:val="center"/>
                </w:tcPr>
                <w:p w14:paraId="0BAF4EDA">
                  <w:pPr>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color w:val="auto"/>
                      <w:szCs w:val="21"/>
                      <w:highlight w:val="none"/>
                      <w:lang w:val="en-US" w:eastAsia="zh-CN"/>
                    </w:rPr>
                    <w:t>0.</w:t>
                  </w:r>
                  <w:r>
                    <w:rPr>
                      <w:rFonts w:hint="eastAsia" w:cs="Times New Roman"/>
                      <w:color w:val="auto"/>
                      <w:szCs w:val="21"/>
                      <w:highlight w:val="none"/>
                      <w:lang w:val="en-US" w:eastAsia="zh-CN"/>
                    </w:rPr>
                    <w:t>0983</w:t>
                  </w:r>
                </w:p>
              </w:tc>
              <w:tc>
                <w:tcPr>
                  <w:tcW w:w="782" w:type="dxa"/>
                  <w:tcBorders>
                    <w:tl2br w:val="nil"/>
                    <w:tr2bl w:val="nil"/>
                  </w:tcBorders>
                  <w:shd w:val="clear" w:color="auto" w:fill="auto"/>
                  <w:vAlign w:val="center"/>
                </w:tcPr>
                <w:p w14:paraId="4ACD6A41">
                  <w:pPr>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color w:val="auto"/>
                      <w:szCs w:val="21"/>
                      <w:highlight w:val="none"/>
                      <w:lang w:val="en-US" w:eastAsia="zh-CN"/>
                    </w:rPr>
                    <w:t>0.0</w:t>
                  </w:r>
                  <w:r>
                    <w:rPr>
                      <w:rFonts w:hint="eastAsia" w:cs="Times New Roman"/>
                      <w:color w:val="auto"/>
                      <w:szCs w:val="21"/>
                      <w:highlight w:val="none"/>
                      <w:lang w:val="en-US" w:eastAsia="zh-CN"/>
                    </w:rPr>
                    <w:t>131</w:t>
                  </w:r>
                </w:p>
              </w:tc>
              <w:tc>
                <w:tcPr>
                  <w:tcW w:w="782" w:type="dxa"/>
                  <w:tcBorders>
                    <w:tl2br w:val="nil"/>
                    <w:tr2bl w:val="nil"/>
                  </w:tcBorders>
                  <w:shd w:val="clear" w:color="auto" w:fill="auto"/>
                  <w:vAlign w:val="center"/>
                </w:tcPr>
                <w:p w14:paraId="2CBFE2F2">
                  <w:pPr>
                    <w:widowControl/>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bidi="ar"/>
                    </w:rPr>
                    <w:t>/</w:t>
                  </w:r>
                </w:p>
              </w:tc>
              <w:tc>
                <w:tcPr>
                  <w:tcW w:w="782" w:type="dxa"/>
                  <w:tcBorders>
                    <w:tl2br w:val="nil"/>
                    <w:tr2bl w:val="nil"/>
                  </w:tcBorders>
                  <w:shd w:val="clear" w:color="auto" w:fill="auto"/>
                  <w:vAlign w:val="center"/>
                </w:tcPr>
                <w:p w14:paraId="35156230">
                  <w:pPr>
                    <w:widowControl/>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bidi="ar"/>
                    </w:rPr>
                    <w:t>/</w:t>
                  </w:r>
                </w:p>
              </w:tc>
            </w:tr>
            <w:tr w14:paraId="41AFB28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163" w:type="dxa"/>
                  <w:vMerge w:val="restart"/>
                  <w:tcBorders>
                    <w:tl2br w:val="nil"/>
                    <w:tr2bl w:val="nil"/>
                  </w:tcBorders>
                  <w:shd w:val="clear" w:color="auto" w:fill="auto"/>
                  <w:vAlign w:val="center"/>
                </w:tcPr>
                <w:p w14:paraId="0091DB7F">
                  <w:pPr>
                    <w:keepNext w:val="0"/>
                    <w:keepLines w:val="0"/>
                    <w:widowControl/>
                    <w:suppressLineNumbers w:val="0"/>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rPr>
                    <w:t>纯水制备</w:t>
                  </w:r>
                  <w:r>
                    <w:rPr>
                      <w:rFonts w:hint="default" w:ascii="Times New Roman" w:hAnsi="Times New Roman" w:eastAsia="宋体" w:cs="Times New Roman"/>
                      <w:b w:val="0"/>
                      <w:bCs w:val="0"/>
                      <w:color w:val="auto"/>
                      <w:kern w:val="0"/>
                      <w:sz w:val="21"/>
                      <w:szCs w:val="21"/>
                      <w:highlight w:val="none"/>
                      <w:lang w:val="en-US" w:eastAsia="zh-CN"/>
                    </w:rPr>
                    <w:t>废水</w:t>
                  </w:r>
                  <w:r>
                    <w:rPr>
                      <w:rFonts w:hint="eastAsia" w:cs="Times New Roman"/>
                      <w:b w:val="0"/>
                      <w:bCs w:val="0"/>
                      <w:color w:val="auto"/>
                      <w:kern w:val="0"/>
                      <w:sz w:val="21"/>
                      <w:szCs w:val="21"/>
                      <w:highlight w:val="none"/>
                      <w:lang w:val="en-US" w:eastAsia="zh-CN"/>
                    </w:rPr>
                    <w:t>、高压蒸汽灭菌废水</w:t>
                  </w:r>
                  <w:r>
                    <w:rPr>
                      <w:rFonts w:hint="eastAsia" w:cs="Times New Roman"/>
                      <w:b w:val="0"/>
                      <w:bCs w:val="0"/>
                      <w:color w:val="auto"/>
                      <w:sz w:val="21"/>
                      <w:szCs w:val="21"/>
                      <w:highlight w:val="none"/>
                      <w:lang w:val="en-US" w:eastAsia="zh-CN"/>
                    </w:rPr>
                    <w:t>3.19</w:t>
                  </w:r>
                  <w:r>
                    <w:rPr>
                      <w:rFonts w:hint="default" w:ascii="Times New Roman" w:hAnsi="Times New Roman" w:eastAsia="宋体" w:cs="Times New Roman"/>
                      <w:b w:val="0"/>
                      <w:bCs w:val="0"/>
                      <w:color w:val="auto"/>
                      <w:sz w:val="21"/>
                      <w:szCs w:val="21"/>
                      <w:highlight w:val="none"/>
                      <w:lang w:val="en-US" w:eastAsia="zh-CN"/>
                    </w:rPr>
                    <w:t>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 xml:space="preserve"> /a</w:t>
                  </w:r>
                </w:p>
              </w:tc>
              <w:tc>
                <w:tcPr>
                  <w:tcW w:w="1506" w:type="dxa"/>
                  <w:tcBorders>
                    <w:tl2br w:val="nil"/>
                    <w:tr2bl w:val="nil"/>
                  </w:tcBorders>
                  <w:shd w:val="clear" w:color="auto" w:fill="auto"/>
                  <w:vAlign w:val="center"/>
                </w:tcPr>
                <w:p w14:paraId="11611372">
                  <w:pPr>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产生浓度</w:t>
                  </w:r>
                  <w:r>
                    <w:rPr>
                      <w:rFonts w:hint="default" w:ascii="Times New Roman" w:hAnsi="Times New Roman" w:eastAsia="宋体" w:cs="Times New Roman"/>
                      <w:b w:val="0"/>
                      <w:bCs w:val="0"/>
                      <w:color w:val="auto"/>
                      <w:sz w:val="21"/>
                      <w:szCs w:val="21"/>
                      <w:highlight w:val="none"/>
                    </w:rPr>
                    <w:t>（mg/L）</w:t>
                  </w:r>
                </w:p>
              </w:tc>
              <w:tc>
                <w:tcPr>
                  <w:tcW w:w="782" w:type="dxa"/>
                  <w:tcBorders>
                    <w:tl2br w:val="nil"/>
                    <w:tr2bl w:val="nil"/>
                  </w:tcBorders>
                  <w:shd w:val="clear" w:color="auto" w:fill="auto"/>
                  <w:vAlign w:val="center"/>
                </w:tcPr>
                <w:p w14:paraId="0F90CB2A">
                  <w:pPr>
                    <w:widowControl/>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bidi="ar"/>
                    </w:rPr>
                    <w:t>50</w:t>
                  </w:r>
                </w:p>
              </w:tc>
              <w:tc>
                <w:tcPr>
                  <w:tcW w:w="782" w:type="dxa"/>
                  <w:tcBorders>
                    <w:tl2br w:val="nil"/>
                    <w:tr2bl w:val="nil"/>
                  </w:tcBorders>
                  <w:shd w:val="clear" w:color="auto" w:fill="auto"/>
                  <w:vAlign w:val="center"/>
                </w:tcPr>
                <w:p w14:paraId="06D4DED2">
                  <w:pPr>
                    <w:widowControl/>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bidi="ar"/>
                    </w:rPr>
                    <w:t>30</w:t>
                  </w:r>
                </w:p>
              </w:tc>
              <w:tc>
                <w:tcPr>
                  <w:tcW w:w="782" w:type="dxa"/>
                  <w:tcBorders>
                    <w:tl2br w:val="nil"/>
                    <w:tr2bl w:val="nil"/>
                  </w:tcBorders>
                  <w:shd w:val="clear" w:color="auto" w:fill="auto"/>
                  <w:vAlign w:val="center"/>
                </w:tcPr>
                <w:p w14:paraId="52CCFA61">
                  <w:pPr>
                    <w:widowControl/>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bidi="ar"/>
                    </w:rPr>
                    <w:t>100</w:t>
                  </w:r>
                </w:p>
              </w:tc>
              <w:tc>
                <w:tcPr>
                  <w:tcW w:w="782" w:type="dxa"/>
                  <w:tcBorders>
                    <w:tl2br w:val="nil"/>
                    <w:tr2bl w:val="nil"/>
                  </w:tcBorders>
                  <w:shd w:val="clear" w:color="auto" w:fill="auto"/>
                  <w:vAlign w:val="center"/>
                </w:tcPr>
                <w:p w14:paraId="6611EF15">
                  <w:pPr>
                    <w:widowControl/>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bidi="ar"/>
                    </w:rPr>
                    <w:t>10</w:t>
                  </w:r>
                </w:p>
              </w:tc>
              <w:tc>
                <w:tcPr>
                  <w:tcW w:w="782" w:type="dxa"/>
                  <w:tcBorders>
                    <w:tl2br w:val="nil"/>
                    <w:tr2bl w:val="nil"/>
                  </w:tcBorders>
                  <w:shd w:val="clear" w:color="auto" w:fill="auto"/>
                  <w:vAlign w:val="center"/>
                </w:tcPr>
                <w:p w14:paraId="5559D498">
                  <w:pPr>
                    <w:widowControl/>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bidi="ar"/>
                    </w:rPr>
                    <w:t>6.5~9</w:t>
                  </w:r>
                </w:p>
              </w:tc>
              <w:tc>
                <w:tcPr>
                  <w:tcW w:w="782" w:type="dxa"/>
                  <w:tcBorders>
                    <w:tl2br w:val="nil"/>
                    <w:tr2bl w:val="nil"/>
                  </w:tcBorders>
                  <w:shd w:val="clear" w:color="auto" w:fill="auto"/>
                  <w:vAlign w:val="center"/>
                </w:tcPr>
                <w:p w14:paraId="6443AFEB">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bidi="ar"/>
                    </w:rPr>
                    <w:t>1200</w:t>
                  </w:r>
                </w:p>
              </w:tc>
            </w:tr>
            <w:tr w14:paraId="5236E3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163" w:type="dxa"/>
                  <w:vMerge w:val="continue"/>
                  <w:tcBorders>
                    <w:tl2br w:val="nil"/>
                    <w:tr2bl w:val="nil"/>
                  </w:tcBorders>
                  <w:vAlign w:val="center"/>
                </w:tcPr>
                <w:p w14:paraId="7AD219E2">
                  <w:pPr>
                    <w:widowControl/>
                    <w:adjustRightInd w:val="0"/>
                    <w:snapToGrid w:val="0"/>
                    <w:jc w:val="center"/>
                    <w:rPr>
                      <w:rFonts w:hint="default" w:ascii="Times New Roman" w:hAnsi="Times New Roman" w:eastAsia="宋体" w:cs="Times New Roman"/>
                      <w:b w:val="0"/>
                      <w:bCs w:val="0"/>
                      <w:color w:val="auto"/>
                      <w:kern w:val="0"/>
                      <w:sz w:val="21"/>
                      <w:szCs w:val="21"/>
                      <w:highlight w:val="none"/>
                    </w:rPr>
                  </w:pPr>
                </w:p>
              </w:tc>
              <w:tc>
                <w:tcPr>
                  <w:tcW w:w="1506" w:type="dxa"/>
                  <w:tcBorders>
                    <w:tl2br w:val="nil"/>
                    <w:tr2bl w:val="nil"/>
                  </w:tcBorders>
                  <w:shd w:val="clear" w:color="auto" w:fill="auto"/>
                  <w:vAlign w:val="center"/>
                </w:tcPr>
                <w:p w14:paraId="6F816542">
                  <w:pPr>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产生量（t/a）</w:t>
                  </w:r>
                </w:p>
              </w:tc>
              <w:tc>
                <w:tcPr>
                  <w:tcW w:w="782" w:type="dxa"/>
                  <w:tcBorders>
                    <w:tl2br w:val="nil"/>
                    <w:tr2bl w:val="nil"/>
                  </w:tcBorders>
                  <w:shd w:val="clear" w:color="auto" w:fill="auto"/>
                  <w:vAlign w:val="center"/>
                </w:tcPr>
                <w:p w14:paraId="6A9D3F94">
                  <w:pPr>
                    <w:snapToGrid w:val="0"/>
                    <w:jc w:val="center"/>
                    <w:rPr>
                      <w:rFonts w:hint="default" w:ascii="Times New Roman" w:hAnsi="Times New Roman" w:eastAsia="宋体" w:cs="Times New Roman"/>
                      <w:b w:val="0"/>
                      <w:bCs w:val="0"/>
                      <w:color w:val="auto"/>
                      <w:kern w:val="0"/>
                      <w:sz w:val="21"/>
                      <w:szCs w:val="21"/>
                      <w:highlight w:val="none"/>
                      <w:lang w:val="en-US"/>
                    </w:rPr>
                  </w:pPr>
                  <w:r>
                    <w:rPr>
                      <w:rFonts w:hint="default" w:ascii="Times New Roman" w:hAnsi="Times New Roman" w:eastAsia="宋体" w:cs="Times New Roman"/>
                      <w:color w:val="auto"/>
                      <w:szCs w:val="21"/>
                      <w:highlight w:val="none"/>
                      <w:lang w:val="en-US" w:eastAsia="zh-CN"/>
                    </w:rPr>
                    <w:t>0.000</w:t>
                  </w:r>
                  <w:r>
                    <w:rPr>
                      <w:rFonts w:hint="eastAsia" w:cs="Times New Roman"/>
                      <w:color w:val="auto"/>
                      <w:szCs w:val="21"/>
                      <w:highlight w:val="none"/>
                      <w:lang w:val="en-US" w:eastAsia="zh-CN"/>
                    </w:rPr>
                    <w:t>2</w:t>
                  </w:r>
                </w:p>
              </w:tc>
              <w:tc>
                <w:tcPr>
                  <w:tcW w:w="782" w:type="dxa"/>
                  <w:tcBorders>
                    <w:tl2br w:val="nil"/>
                    <w:tr2bl w:val="nil"/>
                  </w:tcBorders>
                  <w:shd w:val="clear" w:color="auto" w:fill="auto"/>
                  <w:vAlign w:val="center"/>
                </w:tcPr>
                <w:p w14:paraId="1AB59164">
                  <w:pPr>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color w:val="auto"/>
                      <w:szCs w:val="21"/>
                      <w:highlight w:val="none"/>
                      <w:lang w:val="en-US" w:eastAsia="zh-CN"/>
                    </w:rPr>
                    <w:t>0.000</w:t>
                  </w:r>
                  <w:r>
                    <w:rPr>
                      <w:rFonts w:hint="eastAsia" w:cs="Times New Roman"/>
                      <w:color w:val="auto"/>
                      <w:szCs w:val="21"/>
                      <w:highlight w:val="none"/>
                      <w:lang w:val="en-US" w:eastAsia="zh-CN"/>
                    </w:rPr>
                    <w:t>1</w:t>
                  </w:r>
                </w:p>
              </w:tc>
              <w:tc>
                <w:tcPr>
                  <w:tcW w:w="782" w:type="dxa"/>
                  <w:tcBorders>
                    <w:tl2br w:val="nil"/>
                    <w:tr2bl w:val="nil"/>
                  </w:tcBorders>
                  <w:shd w:val="clear" w:color="auto" w:fill="auto"/>
                  <w:vAlign w:val="center"/>
                </w:tcPr>
                <w:p w14:paraId="15EE02B3">
                  <w:pPr>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color w:val="auto"/>
                      <w:szCs w:val="21"/>
                      <w:highlight w:val="none"/>
                      <w:lang w:val="en-US" w:eastAsia="zh-CN"/>
                    </w:rPr>
                    <w:t>0.000</w:t>
                  </w:r>
                  <w:r>
                    <w:rPr>
                      <w:rFonts w:hint="eastAsia" w:cs="Times New Roman"/>
                      <w:color w:val="auto"/>
                      <w:szCs w:val="21"/>
                      <w:highlight w:val="none"/>
                      <w:lang w:val="en-US" w:eastAsia="zh-CN"/>
                    </w:rPr>
                    <w:t>3</w:t>
                  </w:r>
                </w:p>
              </w:tc>
              <w:tc>
                <w:tcPr>
                  <w:tcW w:w="782" w:type="dxa"/>
                  <w:tcBorders>
                    <w:tl2br w:val="nil"/>
                    <w:tr2bl w:val="nil"/>
                  </w:tcBorders>
                  <w:shd w:val="clear" w:color="auto" w:fill="auto"/>
                  <w:vAlign w:val="center"/>
                </w:tcPr>
                <w:p w14:paraId="3C2116A1">
                  <w:pPr>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color w:val="auto"/>
                      <w:szCs w:val="21"/>
                      <w:highlight w:val="none"/>
                      <w:lang w:val="en-US" w:eastAsia="zh-CN"/>
                    </w:rPr>
                    <w:t>0.0000</w:t>
                  </w:r>
                  <w:r>
                    <w:rPr>
                      <w:rFonts w:hint="eastAsia" w:cs="Times New Roman"/>
                      <w:color w:val="auto"/>
                      <w:szCs w:val="21"/>
                      <w:highlight w:val="none"/>
                      <w:lang w:val="en-US" w:eastAsia="zh-CN"/>
                    </w:rPr>
                    <w:t>3</w:t>
                  </w:r>
                </w:p>
              </w:tc>
              <w:tc>
                <w:tcPr>
                  <w:tcW w:w="782" w:type="dxa"/>
                  <w:tcBorders>
                    <w:tl2br w:val="nil"/>
                    <w:tr2bl w:val="nil"/>
                  </w:tcBorders>
                  <w:shd w:val="clear" w:color="auto" w:fill="auto"/>
                  <w:vAlign w:val="center"/>
                </w:tcPr>
                <w:p w14:paraId="40652083">
                  <w:pPr>
                    <w:snapToGrid w:val="0"/>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eastAsia="宋体" w:cs="Times New Roman"/>
                      <w:color w:val="auto"/>
                      <w:szCs w:val="21"/>
                      <w:highlight w:val="none"/>
                      <w:lang w:val="en-US" w:eastAsia="zh-CN"/>
                    </w:rPr>
                    <w:t>/</w:t>
                  </w:r>
                </w:p>
              </w:tc>
              <w:tc>
                <w:tcPr>
                  <w:tcW w:w="782" w:type="dxa"/>
                  <w:tcBorders>
                    <w:tl2br w:val="nil"/>
                    <w:tr2bl w:val="nil"/>
                  </w:tcBorders>
                  <w:shd w:val="clear" w:color="auto" w:fill="auto"/>
                  <w:vAlign w:val="center"/>
                </w:tcPr>
                <w:p w14:paraId="79C8B900">
                  <w:pPr>
                    <w:widowControl/>
                    <w:jc w:val="center"/>
                    <w:textAlignment w:val="center"/>
                    <w:rPr>
                      <w:rFonts w:hint="default" w:ascii="Times New Roman" w:hAnsi="Times New Roman" w:eastAsia="宋体" w:cs="Times New Roman"/>
                      <w:b w:val="0"/>
                      <w:bCs w:val="0"/>
                      <w:color w:val="auto"/>
                      <w:kern w:val="0"/>
                      <w:sz w:val="21"/>
                      <w:szCs w:val="21"/>
                      <w:highlight w:val="none"/>
                      <w:lang w:val="en-US"/>
                    </w:rPr>
                  </w:pPr>
                  <w:r>
                    <w:rPr>
                      <w:rFonts w:hint="default" w:ascii="Times New Roman" w:hAnsi="Times New Roman" w:eastAsia="宋体" w:cs="Times New Roman"/>
                      <w:color w:val="auto"/>
                      <w:szCs w:val="21"/>
                      <w:highlight w:val="none"/>
                      <w:lang w:val="en-US" w:eastAsia="zh-CN"/>
                    </w:rPr>
                    <w:t>0.0</w:t>
                  </w:r>
                  <w:r>
                    <w:rPr>
                      <w:rFonts w:hint="eastAsia" w:cs="Times New Roman"/>
                      <w:color w:val="auto"/>
                      <w:szCs w:val="21"/>
                      <w:highlight w:val="none"/>
                      <w:lang w:val="en-US" w:eastAsia="zh-CN"/>
                    </w:rPr>
                    <w:t>038</w:t>
                  </w:r>
                </w:p>
              </w:tc>
            </w:tr>
            <w:tr w14:paraId="7C958C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163" w:type="dxa"/>
                  <w:vMerge w:val="restart"/>
                  <w:tcBorders>
                    <w:tl2br w:val="nil"/>
                    <w:tr2bl w:val="nil"/>
                  </w:tcBorders>
                  <w:vAlign w:val="center"/>
                </w:tcPr>
                <w:p w14:paraId="11BAD7C4">
                  <w:pPr>
                    <w:widowControl/>
                    <w:adjustRightInd w:val="0"/>
                    <w:snapToGrid w:val="0"/>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第三遍</w:t>
                  </w:r>
                  <w:r>
                    <w:rPr>
                      <w:rFonts w:hint="eastAsia" w:cs="Times New Roman"/>
                      <w:b w:val="0"/>
                      <w:bCs w:val="0"/>
                      <w:color w:val="auto"/>
                      <w:kern w:val="0"/>
                      <w:sz w:val="21"/>
                      <w:szCs w:val="21"/>
                      <w:highlight w:val="none"/>
                      <w:lang w:val="en-US" w:eastAsia="zh-CN"/>
                    </w:rPr>
                    <w:t>及以后</w:t>
                  </w:r>
                  <w:r>
                    <w:rPr>
                      <w:rFonts w:hint="default" w:ascii="Times New Roman" w:hAnsi="Times New Roman" w:eastAsia="宋体" w:cs="Times New Roman"/>
                      <w:b w:val="0"/>
                      <w:bCs w:val="0"/>
                      <w:color w:val="auto"/>
                      <w:kern w:val="0"/>
                      <w:sz w:val="21"/>
                      <w:szCs w:val="21"/>
                      <w:highlight w:val="none"/>
                      <w:lang w:val="en-US" w:eastAsia="zh-CN"/>
                    </w:rPr>
                    <w:t>清洗废水</w:t>
                  </w:r>
                </w:p>
                <w:p w14:paraId="799B8DBF">
                  <w:pPr>
                    <w:widowControl/>
                    <w:adjustRightInd w:val="0"/>
                    <w:snapToGrid w:val="0"/>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sz w:val="21"/>
                      <w:szCs w:val="21"/>
                      <w:highlight w:val="none"/>
                      <w:lang w:val="en-US" w:eastAsia="zh-CN"/>
                    </w:rPr>
                    <w:t>0.9</w:t>
                  </w:r>
                  <w:r>
                    <w:rPr>
                      <w:rFonts w:hint="default" w:ascii="Times New Roman" w:hAnsi="Times New Roman" w:eastAsia="宋体" w:cs="Times New Roman"/>
                      <w:b w:val="0"/>
                      <w:bCs w:val="0"/>
                      <w:color w:val="auto"/>
                      <w:sz w:val="21"/>
                      <w:szCs w:val="21"/>
                      <w:highlight w:val="none"/>
                      <w:lang w:val="en-US" w:eastAsia="zh-CN"/>
                    </w:rPr>
                    <w:t>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 xml:space="preserve"> /a</w:t>
                  </w:r>
                </w:p>
              </w:tc>
              <w:tc>
                <w:tcPr>
                  <w:tcW w:w="1506" w:type="dxa"/>
                  <w:tcBorders>
                    <w:tl2br w:val="nil"/>
                    <w:tr2bl w:val="nil"/>
                  </w:tcBorders>
                  <w:shd w:val="clear" w:color="auto" w:fill="auto"/>
                  <w:vAlign w:val="center"/>
                </w:tcPr>
                <w:p w14:paraId="614157A6">
                  <w:pPr>
                    <w:adjustRightInd w:val="0"/>
                    <w:snapToGrid w:val="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产生浓度</w:t>
                  </w:r>
                  <w:r>
                    <w:rPr>
                      <w:rFonts w:hint="default" w:ascii="Times New Roman" w:hAnsi="Times New Roman" w:eastAsia="宋体" w:cs="Times New Roman"/>
                      <w:b w:val="0"/>
                      <w:bCs w:val="0"/>
                      <w:color w:val="auto"/>
                      <w:sz w:val="21"/>
                      <w:szCs w:val="21"/>
                      <w:highlight w:val="none"/>
                    </w:rPr>
                    <w:t>（mg/L）</w:t>
                  </w:r>
                </w:p>
              </w:tc>
              <w:tc>
                <w:tcPr>
                  <w:tcW w:w="782" w:type="dxa"/>
                  <w:tcBorders>
                    <w:tl2br w:val="nil"/>
                    <w:tr2bl w:val="nil"/>
                  </w:tcBorders>
                  <w:shd w:val="clear" w:color="auto" w:fill="auto"/>
                  <w:vAlign w:val="center"/>
                </w:tcPr>
                <w:p w14:paraId="1B738A13">
                  <w:pPr>
                    <w:pStyle w:val="61"/>
                    <w:shd w:val="clear" w:color="auto" w:fill="FFFFFF"/>
                    <w:spacing w:before="0" w:beforeAutospacing="0" w:after="0" w:afterAutospacing="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104</w:t>
                  </w:r>
                </w:p>
              </w:tc>
              <w:tc>
                <w:tcPr>
                  <w:tcW w:w="782" w:type="dxa"/>
                  <w:tcBorders>
                    <w:tl2br w:val="nil"/>
                    <w:tr2bl w:val="nil"/>
                  </w:tcBorders>
                  <w:shd w:val="clear" w:color="auto" w:fill="auto"/>
                  <w:vAlign w:val="center"/>
                </w:tcPr>
                <w:p w14:paraId="4832C3B8">
                  <w:pPr>
                    <w:pStyle w:val="61"/>
                    <w:shd w:val="clear" w:color="auto" w:fill="FFFFFF"/>
                    <w:spacing w:before="0" w:beforeAutospacing="0" w:after="0" w:afterAutospacing="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129.6</w:t>
                  </w:r>
                </w:p>
              </w:tc>
              <w:tc>
                <w:tcPr>
                  <w:tcW w:w="782" w:type="dxa"/>
                  <w:tcBorders>
                    <w:tl2br w:val="nil"/>
                    <w:tr2bl w:val="nil"/>
                  </w:tcBorders>
                  <w:shd w:val="clear" w:color="auto" w:fill="auto"/>
                  <w:vAlign w:val="center"/>
                </w:tcPr>
                <w:p w14:paraId="3BB9652B">
                  <w:pPr>
                    <w:pStyle w:val="61"/>
                    <w:shd w:val="clear" w:color="auto" w:fill="FFFFFF"/>
                    <w:spacing w:before="0" w:beforeAutospacing="0" w:after="0" w:afterAutospacing="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48</w:t>
                  </w:r>
                </w:p>
              </w:tc>
              <w:tc>
                <w:tcPr>
                  <w:tcW w:w="782" w:type="dxa"/>
                  <w:tcBorders>
                    <w:tl2br w:val="nil"/>
                    <w:tr2bl w:val="nil"/>
                  </w:tcBorders>
                  <w:shd w:val="clear" w:color="auto" w:fill="auto"/>
                  <w:vAlign w:val="center"/>
                </w:tcPr>
                <w:p w14:paraId="1A9ADA55">
                  <w:pPr>
                    <w:pStyle w:val="61"/>
                    <w:shd w:val="clear" w:color="auto" w:fill="FFFFFF"/>
                    <w:spacing w:before="0" w:beforeAutospacing="0" w:after="0" w:afterAutospacing="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22.6</w:t>
                  </w:r>
                </w:p>
              </w:tc>
              <w:tc>
                <w:tcPr>
                  <w:tcW w:w="782" w:type="dxa"/>
                  <w:tcBorders>
                    <w:tl2br w:val="nil"/>
                    <w:tr2bl w:val="nil"/>
                  </w:tcBorders>
                  <w:shd w:val="clear" w:color="auto" w:fill="auto"/>
                  <w:vAlign w:val="center"/>
                </w:tcPr>
                <w:p w14:paraId="7D1D0BDE">
                  <w:pPr>
                    <w:snapToGrid w:val="0"/>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w:t>
                  </w:r>
                </w:p>
              </w:tc>
              <w:tc>
                <w:tcPr>
                  <w:tcW w:w="782" w:type="dxa"/>
                  <w:tcBorders>
                    <w:tl2br w:val="nil"/>
                    <w:tr2bl w:val="nil"/>
                  </w:tcBorders>
                  <w:shd w:val="clear" w:color="auto" w:fill="auto"/>
                  <w:vAlign w:val="center"/>
                </w:tcPr>
                <w:p w14:paraId="7FE667F6">
                  <w:pPr>
                    <w:widowControl/>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w:t>
                  </w:r>
                </w:p>
              </w:tc>
            </w:tr>
            <w:tr w14:paraId="240EF9A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163" w:type="dxa"/>
                  <w:vMerge w:val="continue"/>
                  <w:tcBorders>
                    <w:tl2br w:val="nil"/>
                    <w:tr2bl w:val="nil"/>
                  </w:tcBorders>
                  <w:vAlign w:val="center"/>
                </w:tcPr>
                <w:p w14:paraId="6C4A62D1">
                  <w:pPr>
                    <w:widowControl/>
                    <w:adjustRightInd w:val="0"/>
                    <w:snapToGrid w:val="0"/>
                    <w:jc w:val="center"/>
                    <w:rPr>
                      <w:rFonts w:hint="default" w:ascii="Times New Roman" w:hAnsi="Times New Roman" w:eastAsia="宋体" w:cs="Times New Roman"/>
                      <w:b w:val="0"/>
                      <w:bCs w:val="0"/>
                      <w:color w:val="auto"/>
                      <w:kern w:val="0"/>
                      <w:sz w:val="21"/>
                      <w:szCs w:val="21"/>
                      <w:highlight w:val="none"/>
                    </w:rPr>
                  </w:pPr>
                </w:p>
              </w:tc>
              <w:tc>
                <w:tcPr>
                  <w:tcW w:w="1506" w:type="dxa"/>
                  <w:tcBorders>
                    <w:tl2br w:val="nil"/>
                    <w:tr2bl w:val="nil"/>
                  </w:tcBorders>
                  <w:shd w:val="clear" w:color="auto" w:fill="auto"/>
                  <w:vAlign w:val="center"/>
                </w:tcPr>
                <w:p w14:paraId="69FDB5FC">
                  <w:pPr>
                    <w:adjustRightInd w:val="0"/>
                    <w:snapToGrid w:val="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产生量（t/a）</w:t>
                  </w:r>
                </w:p>
              </w:tc>
              <w:tc>
                <w:tcPr>
                  <w:tcW w:w="782" w:type="dxa"/>
                  <w:tcBorders>
                    <w:tl2br w:val="nil"/>
                    <w:tr2bl w:val="nil"/>
                  </w:tcBorders>
                  <w:shd w:val="clear" w:color="auto" w:fill="auto"/>
                  <w:vAlign w:val="center"/>
                </w:tcPr>
                <w:p w14:paraId="64BDF9AB">
                  <w:pPr>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0.000</w:t>
                  </w:r>
                  <w:r>
                    <w:rPr>
                      <w:rFonts w:hint="eastAsia" w:cs="Times New Roman"/>
                      <w:color w:val="auto"/>
                      <w:szCs w:val="21"/>
                      <w:highlight w:val="none"/>
                      <w:lang w:val="en-US" w:eastAsia="zh-CN"/>
                    </w:rPr>
                    <w:t>2</w:t>
                  </w:r>
                </w:p>
              </w:tc>
              <w:tc>
                <w:tcPr>
                  <w:tcW w:w="782" w:type="dxa"/>
                  <w:tcBorders>
                    <w:tl2br w:val="nil"/>
                    <w:tr2bl w:val="nil"/>
                  </w:tcBorders>
                  <w:shd w:val="clear" w:color="auto" w:fill="auto"/>
                  <w:vAlign w:val="center"/>
                </w:tcPr>
                <w:p w14:paraId="4EC2FE3C">
                  <w:pPr>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0.000</w:t>
                  </w:r>
                  <w:r>
                    <w:rPr>
                      <w:rFonts w:hint="eastAsia" w:cs="Times New Roman"/>
                      <w:color w:val="auto"/>
                      <w:szCs w:val="21"/>
                      <w:highlight w:val="none"/>
                      <w:lang w:val="en-US" w:eastAsia="zh-CN"/>
                    </w:rPr>
                    <w:t>2</w:t>
                  </w:r>
                </w:p>
              </w:tc>
              <w:tc>
                <w:tcPr>
                  <w:tcW w:w="782" w:type="dxa"/>
                  <w:tcBorders>
                    <w:tl2br w:val="nil"/>
                    <w:tr2bl w:val="nil"/>
                  </w:tcBorders>
                  <w:shd w:val="clear" w:color="auto" w:fill="auto"/>
                  <w:vAlign w:val="center"/>
                </w:tcPr>
                <w:p w14:paraId="59D15C5B">
                  <w:pPr>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0.00</w:t>
                  </w:r>
                  <w:r>
                    <w:rPr>
                      <w:rFonts w:hint="eastAsia" w:cs="Times New Roman"/>
                      <w:color w:val="auto"/>
                      <w:szCs w:val="21"/>
                      <w:highlight w:val="none"/>
                      <w:lang w:val="en-US" w:eastAsia="zh-CN"/>
                    </w:rPr>
                    <w:t>02</w:t>
                  </w:r>
                </w:p>
              </w:tc>
              <w:tc>
                <w:tcPr>
                  <w:tcW w:w="782" w:type="dxa"/>
                  <w:tcBorders>
                    <w:tl2br w:val="nil"/>
                    <w:tr2bl w:val="nil"/>
                  </w:tcBorders>
                  <w:shd w:val="clear" w:color="auto" w:fill="auto"/>
                  <w:vAlign w:val="center"/>
                </w:tcPr>
                <w:p w14:paraId="447EB506">
                  <w:pPr>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0.0000</w:t>
                  </w:r>
                  <w:r>
                    <w:rPr>
                      <w:rFonts w:hint="eastAsia" w:cs="Times New Roman"/>
                      <w:color w:val="auto"/>
                      <w:szCs w:val="21"/>
                      <w:highlight w:val="none"/>
                      <w:lang w:val="en-US" w:eastAsia="zh-CN"/>
                    </w:rPr>
                    <w:t>2</w:t>
                  </w:r>
                </w:p>
              </w:tc>
              <w:tc>
                <w:tcPr>
                  <w:tcW w:w="782" w:type="dxa"/>
                  <w:tcBorders>
                    <w:tl2br w:val="nil"/>
                    <w:tr2bl w:val="nil"/>
                  </w:tcBorders>
                  <w:shd w:val="clear" w:color="auto" w:fill="auto"/>
                  <w:vAlign w:val="center"/>
                </w:tcPr>
                <w:p w14:paraId="130EB23E">
                  <w:pPr>
                    <w:snapToGrid w:val="0"/>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w:t>
                  </w:r>
                </w:p>
              </w:tc>
              <w:tc>
                <w:tcPr>
                  <w:tcW w:w="782" w:type="dxa"/>
                  <w:tcBorders>
                    <w:tl2br w:val="nil"/>
                    <w:tr2bl w:val="nil"/>
                  </w:tcBorders>
                  <w:shd w:val="clear" w:color="auto" w:fill="auto"/>
                  <w:vAlign w:val="center"/>
                </w:tcPr>
                <w:p w14:paraId="0AAD77D7">
                  <w:pPr>
                    <w:widowControl/>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w:t>
                  </w:r>
                </w:p>
              </w:tc>
            </w:tr>
            <w:tr w14:paraId="5DED20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22" w:hRule="atLeast"/>
                <w:jc w:val="center"/>
              </w:trPr>
              <w:tc>
                <w:tcPr>
                  <w:tcW w:w="1163" w:type="dxa"/>
                  <w:vMerge w:val="restart"/>
                  <w:tcBorders>
                    <w:tl2br w:val="nil"/>
                    <w:tr2bl w:val="nil"/>
                  </w:tcBorders>
                  <w:vAlign w:val="center"/>
                </w:tcPr>
                <w:p w14:paraId="4A865B42">
                  <w:pPr>
                    <w:widowControl/>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综合废水</w:t>
                  </w:r>
                </w:p>
                <w:p w14:paraId="40C5249D">
                  <w:pPr>
                    <w:widowControl/>
                    <w:adjustRightInd w:val="0"/>
                    <w:snapToGrid w:val="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331.</w:t>
                  </w:r>
                  <w:r>
                    <w:rPr>
                      <w:rFonts w:hint="default" w:cs="Times New Roman"/>
                      <w:b w:val="0"/>
                      <w:bCs w:val="0"/>
                      <w:color w:val="auto"/>
                      <w:sz w:val="21"/>
                      <w:szCs w:val="21"/>
                      <w:highlight w:val="none"/>
                      <w:lang w:val="en-US" w:eastAsia="zh-CN"/>
                    </w:rPr>
                    <w:t xml:space="preserve"> </w:t>
                  </w:r>
                  <w:r>
                    <w:rPr>
                      <w:rFonts w:hint="eastAsia" w:cs="Times New Roman"/>
                      <w:b w:val="0"/>
                      <w:bCs w:val="0"/>
                      <w:color w:val="auto"/>
                      <w:sz w:val="21"/>
                      <w:szCs w:val="21"/>
                      <w:highlight w:val="none"/>
                      <w:lang w:val="en-US" w:eastAsia="zh-CN"/>
                    </w:rPr>
                    <w:t>89</w:t>
                  </w:r>
                </w:p>
                <w:p w14:paraId="6A8A8753">
                  <w:pPr>
                    <w:widowControl/>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cs="Times New Roman"/>
                      <w:b w:val="0"/>
                      <w:bCs w:val="0"/>
                      <w:color w:val="auto"/>
                      <w:sz w:val="21"/>
                      <w:szCs w:val="21"/>
                      <w:highlight w:val="none"/>
                      <w:lang w:val="en-US" w:eastAsia="zh-CN"/>
                    </w:rPr>
                    <w:t>m</w:t>
                  </w:r>
                  <w:r>
                    <w:rPr>
                      <w:rFonts w:hint="default" w:cs="Times New Roman"/>
                      <w:b w:val="0"/>
                      <w:bCs w:val="0"/>
                      <w:color w:val="auto"/>
                      <w:sz w:val="21"/>
                      <w:szCs w:val="21"/>
                      <w:highlight w:val="none"/>
                      <w:vertAlign w:val="superscript"/>
                      <w:lang w:val="en-US" w:eastAsia="zh-CN"/>
                    </w:rPr>
                    <w:t xml:space="preserve">3 </w:t>
                  </w:r>
                  <w:r>
                    <w:rPr>
                      <w:rFonts w:hint="default" w:cs="Times New Roman"/>
                      <w:b w:val="0"/>
                      <w:bCs w:val="0"/>
                      <w:color w:val="auto"/>
                      <w:sz w:val="21"/>
                      <w:szCs w:val="21"/>
                      <w:highlight w:val="none"/>
                      <w:lang w:val="en-US" w:eastAsia="zh-CN"/>
                    </w:rPr>
                    <w:t>/a</w:t>
                  </w:r>
                </w:p>
              </w:tc>
              <w:tc>
                <w:tcPr>
                  <w:tcW w:w="1506" w:type="dxa"/>
                  <w:tcBorders>
                    <w:tl2br w:val="nil"/>
                    <w:tr2bl w:val="nil"/>
                  </w:tcBorders>
                  <w:vAlign w:val="center"/>
                </w:tcPr>
                <w:p w14:paraId="49FC714E">
                  <w:pPr>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综合废水产生浓度</w:t>
                  </w:r>
                  <w:r>
                    <w:rPr>
                      <w:rFonts w:hint="default" w:ascii="Times New Roman" w:hAnsi="Times New Roman" w:eastAsia="宋体" w:cs="Times New Roman"/>
                      <w:b w:val="0"/>
                      <w:bCs w:val="0"/>
                      <w:color w:val="auto"/>
                      <w:sz w:val="21"/>
                      <w:szCs w:val="21"/>
                      <w:highlight w:val="none"/>
                    </w:rPr>
                    <w:t>（mg/L）</w:t>
                  </w:r>
                </w:p>
              </w:tc>
              <w:tc>
                <w:tcPr>
                  <w:tcW w:w="782" w:type="dxa"/>
                  <w:tcBorders>
                    <w:tl2br w:val="nil"/>
                    <w:tr2bl w:val="nil"/>
                  </w:tcBorders>
                  <w:vAlign w:val="center"/>
                </w:tcPr>
                <w:p w14:paraId="5D81D667">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i w:val="0"/>
                      <w:iCs w:val="0"/>
                      <w:color w:val="auto"/>
                      <w:kern w:val="0"/>
                      <w:sz w:val="21"/>
                      <w:szCs w:val="21"/>
                      <w:highlight w:val="none"/>
                      <w:u w:val="none"/>
                      <w:lang w:val="en-US" w:eastAsia="zh-CN" w:bidi="ar"/>
                    </w:rPr>
                    <w:t>445.6</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 </w:t>
                  </w:r>
                </w:p>
              </w:tc>
              <w:tc>
                <w:tcPr>
                  <w:tcW w:w="782" w:type="dxa"/>
                  <w:tcBorders>
                    <w:tl2br w:val="nil"/>
                    <w:tr2bl w:val="nil"/>
                  </w:tcBorders>
                  <w:vAlign w:val="center"/>
                </w:tcPr>
                <w:p w14:paraId="705A59BA">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24</w:t>
                  </w:r>
                  <w:r>
                    <w:rPr>
                      <w:rFonts w:hint="eastAsia" w:cs="Times New Roman"/>
                      <w:b w:val="0"/>
                      <w:bCs w:val="0"/>
                      <w:i w:val="0"/>
                      <w:iCs w:val="0"/>
                      <w:color w:val="auto"/>
                      <w:kern w:val="0"/>
                      <w:sz w:val="21"/>
                      <w:szCs w:val="21"/>
                      <w:highlight w:val="none"/>
                      <w:u w:val="none"/>
                      <w:lang w:val="en-US" w:eastAsia="zh-CN" w:bidi="ar"/>
                    </w:rPr>
                    <w:t>8.0</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 </w:t>
                  </w:r>
                </w:p>
              </w:tc>
              <w:tc>
                <w:tcPr>
                  <w:tcW w:w="782" w:type="dxa"/>
                  <w:tcBorders>
                    <w:tl2br w:val="nil"/>
                    <w:tr2bl w:val="nil"/>
                  </w:tcBorders>
                  <w:vAlign w:val="center"/>
                </w:tcPr>
                <w:p w14:paraId="642BB99A">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29</w:t>
                  </w:r>
                  <w:r>
                    <w:rPr>
                      <w:rFonts w:hint="eastAsia" w:cs="Times New Roman"/>
                      <w:b w:val="0"/>
                      <w:bCs w:val="0"/>
                      <w:i w:val="0"/>
                      <w:iCs w:val="0"/>
                      <w:color w:val="auto"/>
                      <w:kern w:val="0"/>
                      <w:sz w:val="21"/>
                      <w:szCs w:val="21"/>
                      <w:highlight w:val="none"/>
                      <w:u w:val="none"/>
                      <w:lang w:val="en-US" w:eastAsia="zh-CN" w:bidi="ar"/>
                    </w:rPr>
                    <w:t>7.6</w:t>
                  </w:r>
                </w:p>
              </w:tc>
              <w:tc>
                <w:tcPr>
                  <w:tcW w:w="782" w:type="dxa"/>
                  <w:tcBorders>
                    <w:tl2br w:val="nil"/>
                    <w:tr2bl w:val="nil"/>
                  </w:tcBorders>
                  <w:vAlign w:val="center"/>
                </w:tcPr>
                <w:p w14:paraId="0A142691">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39.</w:t>
                  </w:r>
                  <w:r>
                    <w:rPr>
                      <w:rFonts w:hint="eastAsia" w:cs="Times New Roman"/>
                      <w:b w:val="0"/>
                      <w:bCs w:val="0"/>
                      <w:i w:val="0"/>
                      <w:iCs w:val="0"/>
                      <w:color w:val="auto"/>
                      <w:kern w:val="0"/>
                      <w:sz w:val="21"/>
                      <w:szCs w:val="21"/>
                      <w:highlight w:val="none"/>
                      <w:u w:val="none"/>
                      <w:lang w:val="en-US" w:eastAsia="zh-CN" w:bidi="ar"/>
                    </w:rPr>
                    <w:t>6</w:t>
                  </w:r>
                </w:p>
              </w:tc>
              <w:tc>
                <w:tcPr>
                  <w:tcW w:w="782" w:type="dxa"/>
                  <w:tcBorders>
                    <w:tl2br w:val="nil"/>
                    <w:tr2bl w:val="nil"/>
                  </w:tcBorders>
                  <w:vAlign w:val="center"/>
                </w:tcPr>
                <w:p w14:paraId="15FFCC64">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6.5~9</w:t>
                  </w:r>
                </w:p>
              </w:tc>
              <w:tc>
                <w:tcPr>
                  <w:tcW w:w="782" w:type="dxa"/>
                  <w:tcBorders>
                    <w:tl2br w:val="nil"/>
                    <w:tr2bl w:val="nil"/>
                  </w:tcBorders>
                  <w:vAlign w:val="center"/>
                </w:tcPr>
                <w:p w14:paraId="7D7F5F30">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rPr>
                  </w:pPr>
                  <w:r>
                    <w:rPr>
                      <w:rFonts w:hint="eastAsia" w:cs="Times New Roman"/>
                      <w:b w:val="0"/>
                      <w:bCs w:val="0"/>
                      <w:i w:val="0"/>
                      <w:iCs w:val="0"/>
                      <w:color w:val="auto"/>
                      <w:kern w:val="0"/>
                      <w:sz w:val="21"/>
                      <w:szCs w:val="21"/>
                      <w:highlight w:val="none"/>
                      <w:u w:val="none"/>
                      <w:lang w:val="en-US" w:eastAsia="zh-CN" w:bidi="ar"/>
                    </w:rPr>
                    <w:t>11.4</w:t>
                  </w:r>
                </w:p>
              </w:tc>
            </w:tr>
            <w:tr w14:paraId="4281DC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163" w:type="dxa"/>
                  <w:vMerge w:val="continue"/>
                  <w:tcBorders>
                    <w:tl2br w:val="nil"/>
                    <w:tr2bl w:val="nil"/>
                  </w:tcBorders>
                  <w:vAlign w:val="center"/>
                </w:tcPr>
                <w:p w14:paraId="24621849">
                  <w:pPr>
                    <w:widowControl/>
                    <w:adjustRightInd w:val="0"/>
                    <w:snapToGrid w:val="0"/>
                    <w:jc w:val="center"/>
                    <w:rPr>
                      <w:rFonts w:hint="default" w:ascii="Times New Roman" w:hAnsi="Times New Roman" w:eastAsia="宋体" w:cs="Times New Roman"/>
                      <w:b w:val="0"/>
                      <w:bCs w:val="0"/>
                      <w:color w:val="auto"/>
                      <w:kern w:val="0"/>
                      <w:sz w:val="21"/>
                      <w:szCs w:val="21"/>
                      <w:highlight w:val="none"/>
                    </w:rPr>
                  </w:pPr>
                </w:p>
              </w:tc>
              <w:tc>
                <w:tcPr>
                  <w:tcW w:w="1506" w:type="dxa"/>
                  <w:tcBorders>
                    <w:tl2br w:val="nil"/>
                    <w:tr2bl w:val="nil"/>
                  </w:tcBorders>
                  <w:vAlign w:val="center"/>
                </w:tcPr>
                <w:p w14:paraId="17210788">
                  <w:pPr>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污染物产生量（t/a）</w:t>
                  </w:r>
                </w:p>
              </w:tc>
              <w:tc>
                <w:tcPr>
                  <w:tcW w:w="782" w:type="dxa"/>
                  <w:tcBorders>
                    <w:tl2br w:val="nil"/>
                    <w:tr2bl w:val="nil"/>
                  </w:tcBorders>
                  <w:vAlign w:val="center"/>
                </w:tcPr>
                <w:p w14:paraId="545FFDE6">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0.1479</w:t>
                  </w:r>
                </w:p>
              </w:tc>
              <w:tc>
                <w:tcPr>
                  <w:tcW w:w="782" w:type="dxa"/>
                  <w:tcBorders>
                    <w:tl2br w:val="nil"/>
                    <w:tr2bl w:val="nil"/>
                  </w:tcBorders>
                  <w:vAlign w:val="center"/>
                </w:tcPr>
                <w:p w14:paraId="75928DD9">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0.0823</w:t>
                  </w:r>
                </w:p>
              </w:tc>
              <w:tc>
                <w:tcPr>
                  <w:tcW w:w="782" w:type="dxa"/>
                  <w:tcBorders>
                    <w:tl2br w:val="nil"/>
                    <w:tr2bl w:val="nil"/>
                  </w:tcBorders>
                  <w:vAlign w:val="center"/>
                </w:tcPr>
                <w:p w14:paraId="458A4262">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0.0988</w:t>
                  </w:r>
                </w:p>
              </w:tc>
              <w:tc>
                <w:tcPr>
                  <w:tcW w:w="782" w:type="dxa"/>
                  <w:tcBorders>
                    <w:tl2br w:val="nil"/>
                    <w:tr2bl w:val="nil"/>
                  </w:tcBorders>
                  <w:vAlign w:val="center"/>
                </w:tcPr>
                <w:p w14:paraId="057DD939">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0.01315</w:t>
                  </w:r>
                </w:p>
              </w:tc>
              <w:tc>
                <w:tcPr>
                  <w:tcW w:w="782" w:type="dxa"/>
                  <w:tcBorders>
                    <w:tl2br w:val="nil"/>
                    <w:tr2bl w:val="nil"/>
                  </w:tcBorders>
                  <w:vAlign w:val="center"/>
                </w:tcPr>
                <w:p w14:paraId="208A977B">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82" w:type="dxa"/>
                  <w:tcBorders>
                    <w:tl2br w:val="nil"/>
                    <w:tr2bl w:val="nil"/>
                  </w:tcBorders>
                  <w:vAlign w:val="center"/>
                </w:tcPr>
                <w:p w14:paraId="35A86412">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0.0038</w:t>
                  </w:r>
                </w:p>
              </w:tc>
            </w:tr>
            <w:tr w14:paraId="194002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163" w:type="dxa"/>
                  <w:vMerge w:val="continue"/>
                  <w:tcBorders>
                    <w:tl2br w:val="nil"/>
                    <w:tr2bl w:val="nil"/>
                  </w:tcBorders>
                  <w:vAlign w:val="center"/>
                </w:tcPr>
                <w:p w14:paraId="3438718F">
                  <w:pPr>
                    <w:widowControl/>
                    <w:adjustRightInd w:val="0"/>
                    <w:snapToGrid w:val="0"/>
                    <w:jc w:val="center"/>
                    <w:rPr>
                      <w:rFonts w:hint="default" w:ascii="Times New Roman" w:hAnsi="Times New Roman" w:eastAsia="宋体" w:cs="Times New Roman"/>
                      <w:b w:val="0"/>
                      <w:bCs w:val="0"/>
                      <w:color w:val="auto"/>
                      <w:kern w:val="0"/>
                      <w:sz w:val="21"/>
                      <w:szCs w:val="21"/>
                      <w:highlight w:val="none"/>
                    </w:rPr>
                  </w:pPr>
                </w:p>
              </w:tc>
              <w:tc>
                <w:tcPr>
                  <w:tcW w:w="1506" w:type="dxa"/>
                  <w:tcBorders>
                    <w:tl2br w:val="nil"/>
                    <w:tr2bl w:val="nil"/>
                  </w:tcBorders>
                  <w:vAlign w:val="center"/>
                </w:tcPr>
                <w:p w14:paraId="61E530F2">
                  <w:pPr>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化粪池去除效率</w:t>
                  </w:r>
                </w:p>
              </w:tc>
              <w:tc>
                <w:tcPr>
                  <w:tcW w:w="782" w:type="dxa"/>
                  <w:tcBorders>
                    <w:tl2br w:val="nil"/>
                    <w:tr2bl w:val="nil"/>
                  </w:tcBorders>
                  <w:vAlign w:val="center"/>
                </w:tcPr>
                <w:p w14:paraId="5F76A6D0">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15%</w:t>
                  </w:r>
                </w:p>
              </w:tc>
              <w:tc>
                <w:tcPr>
                  <w:tcW w:w="782" w:type="dxa"/>
                  <w:tcBorders>
                    <w:tl2br w:val="nil"/>
                    <w:tr2bl w:val="nil"/>
                  </w:tcBorders>
                  <w:vAlign w:val="center"/>
                </w:tcPr>
                <w:p w14:paraId="0411DB3B">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w:t>
                  </w:r>
                </w:p>
              </w:tc>
              <w:tc>
                <w:tcPr>
                  <w:tcW w:w="782" w:type="dxa"/>
                  <w:tcBorders>
                    <w:tl2br w:val="nil"/>
                    <w:tr2bl w:val="nil"/>
                  </w:tcBorders>
                  <w:vAlign w:val="center"/>
                </w:tcPr>
                <w:p w14:paraId="63F5C390">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30%</w:t>
                  </w:r>
                </w:p>
              </w:tc>
              <w:tc>
                <w:tcPr>
                  <w:tcW w:w="782" w:type="dxa"/>
                  <w:tcBorders>
                    <w:tl2br w:val="nil"/>
                    <w:tr2bl w:val="nil"/>
                  </w:tcBorders>
                  <w:vAlign w:val="center"/>
                </w:tcPr>
                <w:p w14:paraId="03F103D2">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w:t>
                  </w:r>
                </w:p>
              </w:tc>
              <w:tc>
                <w:tcPr>
                  <w:tcW w:w="782" w:type="dxa"/>
                  <w:tcBorders>
                    <w:tl2br w:val="nil"/>
                    <w:tr2bl w:val="nil"/>
                  </w:tcBorders>
                  <w:vAlign w:val="center"/>
                </w:tcPr>
                <w:p w14:paraId="2E0467BA">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782" w:type="dxa"/>
                  <w:tcBorders>
                    <w:tl2br w:val="nil"/>
                    <w:tr2bl w:val="nil"/>
                  </w:tcBorders>
                  <w:vAlign w:val="center"/>
                </w:tcPr>
                <w:p w14:paraId="5E44B2E3">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r>
            <w:tr w14:paraId="0E0EBC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22" w:hRule="atLeast"/>
                <w:jc w:val="center"/>
              </w:trPr>
              <w:tc>
                <w:tcPr>
                  <w:tcW w:w="1163" w:type="dxa"/>
                  <w:vMerge w:val="continue"/>
                  <w:tcBorders>
                    <w:tl2br w:val="nil"/>
                    <w:tr2bl w:val="nil"/>
                  </w:tcBorders>
                  <w:vAlign w:val="center"/>
                </w:tcPr>
                <w:p w14:paraId="025615B2">
                  <w:pPr>
                    <w:widowControl/>
                    <w:adjustRightInd w:val="0"/>
                    <w:snapToGrid w:val="0"/>
                    <w:jc w:val="center"/>
                    <w:rPr>
                      <w:rFonts w:hint="default" w:ascii="Times New Roman" w:hAnsi="Times New Roman" w:eastAsia="宋体" w:cs="Times New Roman"/>
                      <w:b w:val="0"/>
                      <w:bCs w:val="0"/>
                      <w:color w:val="auto"/>
                      <w:kern w:val="0"/>
                      <w:sz w:val="21"/>
                      <w:szCs w:val="21"/>
                      <w:highlight w:val="none"/>
                    </w:rPr>
                  </w:pPr>
                </w:p>
              </w:tc>
              <w:tc>
                <w:tcPr>
                  <w:tcW w:w="1506" w:type="dxa"/>
                  <w:tcBorders>
                    <w:tl2br w:val="nil"/>
                    <w:tr2bl w:val="nil"/>
                  </w:tcBorders>
                  <w:vAlign w:val="center"/>
                </w:tcPr>
                <w:p w14:paraId="0EFD76CC">
                  <w:pPr>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综合废水排放浓度</w:t>
                  </w:r>
                  <w:r>
                    <w:rPr>
                      <w:rFonts w:hint="default" w:ascii="Times New Roman" w:hAnsi="Times New Roman" w:eastAsia="宋体" w:cs="Times New Roman"/>
                      <w:b w:val="0"/>
                      <w:bCs w:val="0"/>
                      <w:color w:val="auto"/>
                      <w:sz w:val="21"/>
                      <w:szCs w:val="21"/>
                      <w:highlight w:val="none"/>
                    </w:rPr>
                    <w:t>（mg/L）</w:t>
                  </w:r>
                </w:p>
              </w:tc>
              <w:tc>
                <w:tcPr>
                  <w:tcW w:w="782" w:type="dxa"/>
                  <w:tcBorders>
                    <w:tl2br w:val="nil"/>
                    <w:tr2bl w:val="nil"/>
                  </w:tcBorders>
                  <w:vAlign w:val="center"/>
                </w:tcPr>
                <w:p w14:paraId="02CAFBE0">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 xml:space="preserve">378.8 </w:t>
                  </w:r>
                </w:p>
              </w:tc>
              <w:tc>
                <w:tcPr>
                  <w:tcW w:w="782" w:type="dxa"/>
                  <w:tcBorders>
                    <w:tl2br w:val="nil"/>
                    <w:tr2bl w:val="nil"/>
                  </w:tcBorders>
                  <w:vAlign w:val="center"/>
                </w:tcPr>
                <w:p w14:paraId="63B022B0">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225.7 </w:t>
                  </w:r>
                </w:p>
              </w:tc>
              <w:tc>
                <w:tcPr>
                  <w:tcW w:w="782" w:type="dxa"/>
                  <w:tcBorders>
                    <w:tl2br w:val="nil"/>
                    <w:tr2bl w:val="nil"/>
                  </w:tcBorders>
                  <w:vAlign w:val="center"/>
                </w:tcPr>
                <w:p w14:paraId="061BDE54">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208.4 </w:t>
                  </w:r>
                </w:p>
              </w:tc>
              <w:tc>
                <w:tcPr>
                  <w:tcW w:w="782" w:type="dxa"/>
                  <w:tcBorders>
                    <w:tl2br w:val="nil"/>
                    <w:tr2bl w:val="nil"/>
                  </w:tcBorders>
                  <w:vAlign w:val="center"/>
                </w:tcPr>
                <w:p w14:paraId="7E47BB51">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38.4 </w:t>
                  </w:r>
                </w:p>
              </w:tc>
              <w:tc>
                <w:tcPr>
                  <w:tcW w:w="782" w:type="dxa"/>
                  <w:tcBorders>
                    <w:tl2br w:val="nil"/>
                    <w:tr2bl w:val="nil"/>
                  </w:tcBorders>
                  <w:vAlign w:val="center"/>
                </w:tcPr>
                <w:p w14:paraId="6896CC55">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6.5~9</w:t>
                  </w:r>
                </w:p>
              </w:tc>
              <w:tc>
                <w:tcPr>
                  <w:tcW w:w="782" w:type="dxa"/>
                  <w:tcBorders>
                    <w:tl2br w:val="nil"/>
                    <w:tr2bl w:val="nil"/>
                  </w:tcBorders>
                  <w:vAlign w:val="center"/>
                </w:tcPr>
                <w:p w14:paraId="52D47ACD">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11.4 </w:t>
                  </w:r>
                </w:p>
              </w:tc>
            </w:tr>
            <w:tr w14:paraId="5EC994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163" w:type="dxa"/>
                  <w:vMerge w:val="continue"/>
                  <w:tcBorders>
                    <w:tl2br w:val="nil"/>
                    <w:tr2bl w:val="nil"/>
                  </w:tcBorders>
                  <w:vAlign w:val="center"/>
                </w:tcPr>
                <w:p w14:paraId="39689C90">
                  <w:pPr>
                    <w:widowControl/>
                    <w:adjustRightInd w:val="0"/>
                    <w:snapToGrid w:val="0"/>
                    <w:jc w:val="center"/>
                    <w:rPr>
                      <w:rFonts w:hint="default" w:ascii="Times New Roman" w:hAnsi="Times New Roman" w:eastAsia="宋体" w:cs="Times New Roman"/>
                      <w:b w:val="0"/>
                      <w:bCs w:val="0"/>
                      <w:color w:val="auto"/>
                      <w:kern w:val="0"/>
                      <w:sz w:val="21"/>
                      <w:szCs w:val="21"/>
                      <w:highlight w:val="none"/>
                    </w:rPr>
                  </w:pPr>
                </w:p>
              </w:tc>
              <w:tc>
                <w:tcPr>
                  <w:tcW w:w="1506" w:type="dxa"/>
                  <w:tcBorders>
                    <w:tl2br w:val="nil"/>
                    <w:tr2bl w:val="nil"/>
                  </w:tcBorders>
                  <w:vAlign w:val="center"/>
                </w:tcPr>
                <w:p w14:paraId="55E2028E">
                  <w:pPr>
                    <w:widowControl/>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污染物排放量（t/a）</w:t>
                  </w:r>
                </w:p>
              </w:tc>
              <w:tc>
                <w:tcPr>
                  <w:tcW w:w="782" w:type="dxa"/>
                  <w:tcBorders>
                    <w:tl2br w:val="nil"/>
                    <w:tr2bl w:val="nil"/>
                  </w:tcBorders>
                  <w:vAlign w:val="center"/>
                </w:tcPr>
                <w:p w14:paraId="516EE141">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 xml:space="preserve">0.1257 </w:t>
                  </w:r>
                </w:p>
              </w:tc>
              <w:tc>
                <w:tcPr>
                  <w:tcW w:w="782" w:type="dxa"/>
                  <w:tcBorders>
                    <w:tl2br w:val="nil"/>
                    <w:tr2bl w:val="nil"/>
                  </w:tcBorders>
                  <w:vAlign w:val="center"/>
                </w:tcPr>
                <w:p w14:paraId="4E505CEF">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 xml:space="preserve">0.0749 </w:t>
                  </w:r>
                </w:p>
              </w:tc>
              <w:tc>
                <w:tcPr>
                  <w:tcW w:w="782" w:type="dxa"/>
                  <w:tcBorders>
                    <w:tl2br w:val="nil"/>
                    <w:tr2bl w:val="nil"/>
                  </w:tcBorders>
                  <w:vAlign w:val="center"/>
                </w:tcPr>
                <w:p w14:paraId="63C53A23">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 xml:space="preserve">0.0692 </w:t>
                  </w:r>
                </w:p>
              </w:tc>
              <w:tc>
                <w:tcPr>
                  <w:tcW w:w="782" w:type="dxa"/>
                  <w:tcBorders>
                    <w:tl2br w:val="nil"/>
                    <w:tr2bl w:val="nil"/>
                  </w:tcBorders>
                  <w:vAlign w:val="center"/>
                </w:tcPr>
                <w:p w14:paraId="370E9339">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0.0128 </w:t>
                  </w:r>
                </w:p>
              </w:tc>
              <w:tc>
                <w:tcPr>
                  <w:tcW w:w="782" w:type="dxa"/>
                  <w:tcBorders>
                    <w:tl2br w:val="nil"/>
                    <w:tr2bl w:val="nil"/>
                  </w:tcBorders>
                  <w:vAlign w:val="center"/>
                </w:tcPr>
                <w:p w14:paraId="0487B6C1">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82" w:type="dxa"/>
                  <w:tcBorders>
                    <w:tl2br w:val="nil"/>
                    <w:tr2bl w:val="nil"/>
                  </w:tcBorders>
                  <w:vAlign w:val="center"/>
                </w:tcPr>
                <w:p w14:paraId="32AF199B">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 xml:space="preserve">0.0038 </w:t>
                  </w:r>
                </w:p>
              </w:tc>
            </w:tr>
          </w:tbl>
          <w:p w14:paraId="3A681799">
            <w:pPr>
              <w:numPr>
                <w:ilvl w:val="0"/>
                <w:numId w:val="0"/>
              </w:numPr>
              <w:adjustRightInd w:val="0"/>
              <w:spacing w:line="360" w:lineRule="auto"/>
              <w:ind w:leftChars="200"/>
              <w:rPr>
                <w:rFonts w:hint="default" w:ascii="Times New Roman" w:hAnsi="Times New Roman" w:eastAsia="宋体" w:cs="Times New Roman"/>
                <w:b/>
                <w:bCs/>
                <w:color w:val="auto"/>
                <w:sz w:val="24"/>
                <w:highlight w:val="none"/>
                <w:lang w:eastAsia="zh-CN"/>
              </w:rPr>
            </w:pPr>
            <w:r>
              <w:rPr>
                <w:rFonts w:hint="eastAsia" w:cs="Times New Roman"/>
                <w:b/>
                <w:bCs/>
                <w:color w:val="auto"/>
                <w:sz w:val="24"/>
                <w:highlight w:val="none"/>
                <w:lang w:eastAsia="zh-CN"/>
              </w:rPr>
              <w:t>（</w:t>
            </w:r>
            <w:r>
              <w:rPr>
                <w:rFonts w:hint="eastAsia" w:cs="Times New Roman"/>
                <w:b/>
                <w:bCs/>
                <w:color w:val="auto"/>
                <w:sz w:val="24"/>
                <w:highlight w:val="none"/>
                <w:lang w:val="en-US" w:eastAsia="zh-CN"/>
              </w:rPr>
              <w:t>2</w:t>
            </w:r>
            <w:r>
              <w:rPr>
                <w:rFonts w:hint="eastAsia" w:cs="Times New Roman"/>
                <w:b/>
                <w:bCs/>
                <w:color w:val="auto"/>
                <w:sz w:val="24"/>
                <w:highlight w:val="none"/>
                <w:lang w:eastAsia="zh-CN"/>
              </w:rPr>
              <w:t>）</w:t>
            </w:r>
            <w:r>
              <w:rPr>
                <w:rFonts w:hint="default" w:ascii="Times New Roman" w:hAnsi="Times New Roman" w:eastAsia="宋体" w:cs="Times New Roman"/>
                <w:b/>
                <w:bCs/>
                <w:color w:val="auto"/>
                <w:sz w:val="24"/>
                <w:highlight w:val="none"/>
                <w:lang w:eastAsia="zh-CN"/>
              </w:rPr>
              <w:t>废水排放口基本情况</w:t>
            </w:r>
          </w:p>
          <w:p w14:paraId="793D169C">
            <w:pPr>
              <w:numPr>
                <w:ilvl w:val="0"/>
                <w:numId w:val="0"/>
              </w:numPr>
              <w:adjustRightInd w:val="0"/>
              <w:spacing w:line="360" w:lineRule="auto"/>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 xml:space="preserve">    本项目容器第三遍及以后清洗废水、纯水制备废水、生活污水、高压蒸汽灭菌废水、地面清洗废水一起进园区化粪池处理，最后经市政管网进北京新城禹潞环保科技有限责任公司—金桥基地第一污水处理厂</w:t>
            </w:r>
            <w:r>
              <w:rPr>
                <w:rFonts w:hint="eastAsia" w:ascii="Times New Roman" w:hAnsi="Times New Roman" w:eastAsia="宋体" w:cs="Times New Roman"/>
                <w:color w:val="auto"/>
                <w:sz w:val="24"/>
                <w:highlight w:val="none"/>
                <w:lang w:val="en-US" w:eastAsia="zh-CN"/>
              </w:rPr>
              <w:t>。本项目废水排放口情况见下表。</w:t>
            </w:r>
          </w:p>
          <w:p w14:paraId="5D5DB57B">
            <w:pPr>
              <w:keepNext w:val="0"/>
              <w:keepLines w:val="0"/>
              <w:widowControl/>
              <w:numPr>
                <w:ilvl w:val="0"/>
                <w:numId w:val="40"/>
              </w:numPr>
              <w:suppressLineNumbers w:val="0"/>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废水排放口基本情况</w:t>
            </w:r>
          </w:p>
          <w:tbl>
            <w:tblPr>
              <w:tblStyle w:val="2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667"/>
              <w:gridCol w:w="898"/>
              <w:gridCol w:w="1722"/>
              <w:gridCol w:w="1117"/>
              <w:gridCol w:w="2164"/>
            </w:tblGrid>
            <w:tr w14:paraId="7491C3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00" w:type="pct"/>
                  <w:tcBorders>
                    <w:tl2br w:val="nil"/>
                    <w:tr2bl w:val="nil"/>
                  </w:tcBorders>
                  <w:vAlign w:val="center"/>
                </w:tcPr>
                <w:p w14:paraId="4D0F3A22">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排放口名称</w:t>
                  </w:r>
                </w:p>
              </w:tc>
              <w:tc>
                <w:tcPr>
                  <w:tcW w:w="593" w:type="pct"/>
                  <w:tcBorders>
                    <w:tl2br w:val="nil"/>
                    <w:tr2bl w:val="nil"/>
                  </w:tcBorders>
                  <w:vAlign w:val="center"/>
                </w:tcPr>
                <w:p w14:paraId="33FFB7B9">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编号</w:t>
                  </w:r>
                </w:p>
              </w:tc>
              <w:tc>
                <w:tcPr>
                  <w:tcW w:w="1137" w:type="pct"/>
                  <w:tcBorders>
                    <w:tl2br w:val="nil"/>
                    <w:tr2bl w:val="nil"/>
                  </w:tcBorders>
                  <w:vAlign w:val="center"/>
                </w:tcPr>
                <w:p w14:paraId="235CEEE9">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地理坐标</w:t>
                  </w:r>
                </w:p>
              </w:tc>
              <w:tc>
                <w:tcPr>
                  <w:tcW w:w="738" w:type="pct"/>
                  <w:tcBorders>
                    <w:tl2br w:val="nil"/>
                    <w:tr2bl w:val="nil"/>
                  </w:tcBorders>
                  <w:vAlign w:val="center"/>
                </w:tcPr>
                <w:p w14:paraId="71C3B35C">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类型</w:t>
                  </w:r>
                </w:p>
              </w:tc>
              <w:tc>
                <w:tcPr>
                  <w:tcW w:w="1429" w:type="pct"/>
                  <w:tcBorders>
                    <w:tl2br w:val="nil"/>
                    <w:tr2bl w:val="nil"/>
                  </w:tcBorders>
                  <w:vAlign w:val="center"/>
                </w:tcPr>
                <w:p w14:paraId="274AD0A3">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排放标准</w:t>
                  </w:r>
                </w:p>
              </w:tc>
            </w:tr>
            <w:tr w14:paraId="31342D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00" w:type="pct"/>
                  <w:tcBorders>
                    <w:tl2br w:val="nil"/>
                    <w:tr2bl w:val="nil"/>
                  </w:tcBorders>
                  <w:vAlign w:val="center"/>
                </w:tcPr>
                <w:p w14:paraId="240C7758">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废水总排口（园区化粪池公用排口）</w:t>
                  </w:r>
                </w:p>
              </w:tc>
              <w:tc>
                <w:tcPr>
                  <w:tcW w:w="593" w:type="pct"/>
                  <w:tcBorders>
                    <w:tl2br w:val="nil"/>
                    <w:tr2bl w:val="nil"/>
                  </w:tcBorders>
                  <w:vAlign w:val="center"/>
                </w:tcPr>
                <w:p w14:paraId="5D770F07">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DW001</w:t>
                  </w:r>
                </w:p>
              </w:tc>
              <w:tc>
                <w:tcPr>
                  <w:tcW w:w="1137" w:type="pct"/>
                  <w:tcBorders>
                    <w:tl2br w:val="nil"/>
                    <w:tr2bl w:val="nil"/>
                  </w:tcBorders>
                  <w:vAlign w:val="center"/>
                </w:tcPr>
                <w:p w14:paraId="22AEF937">
                  <w:pPr>
                    <w:numPr>
                      <w:ilvl w:val="0"/>
                      <w:numId w:val="0"/>
                    </w:numPr>
                    <w:adjustRightInd w:val="0"/>
                    <w:snapToGrid w:val="0"/>
                    <w:spacing w:line="360" w:lineRule="auto"/>
                    <w:jc w:val="center"/>
                    <w:rPr>
                      <w:rFonts w:hint="default"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color w:val="auto"/>
                      <w:szCs w:val="21"/>
                      <w:highlight w:val="none"/>
                      <w:lang w:val="en-US" w:eastAsia="zh-CN"/>
                    </w:rPr>
                    <w:t xml:space="preserve"> </w:t>
                  </w:r>
                  <w:r>
                    <w:rPr>
                      <w:rFonts w:hint="eastAsia" w:cs="Times New Roman"/>
                      <w:b w:val="0"/>
                      <w:bCs w:val="0"/>
                      <w:color w:val="auto"/>
                      <w:kern w:val="0"/>
                      <w:sz w:val="21"/>
                      <w:szCs w:val="21"/>
                      <w:highlight w:val="none"/>
                      <w:vertAlign w:val="baseline"/>
                      <w:lang w:val="en-US" w:eastAsia="zh-CN"/>
                    </w:rPr>
                    <w:t>东经：116.5524766</w:t>
                  </w:r>
                </w:p>
                <w:p w14:paraId="0C7A02A3">
                  <w:pPr>
                    <w:jc w:val="center"/>
                    <w:rPr>
                      <w:rFonts w:hint="default" w:ascii="Times New Roman" w:hAnsi="Times New Roman" w:eastAsia="宋体" w:cs="Times New Roman"/>
                      <w:color w:val="auto"/>
                      <w:szCs w:val="21"/>
                      <w:highlight w:val="none"/>
                    </w:rPr>
                  </w:pPr>
                  <w:r>
                    <w:rPr>
                      <w:rFonts w:hint="eastAsia" w:cs="Times New Roman"/>
                      <w:b w:val="0"/>
                      <w:bCs w:val="0"/>
                      <w:color w:val="auto"/>
                      <w:kern w:val="0"/>
                      <w:sz w:val="21"/>
                      <w:szCs w:val="21"/>
                      <w:highlight w:val="none"/>
                      <w:vertAlign w:val="baseline"/>
                      <w:lang w:val="en-US" w:eastAsia="zh-CN"/>
                    </w:rPr>
                    <w:t>北纬：39.7300217</w:t>
                  </w:r>
                </w:p>
              </w:tc>
              <w:tc>
                <w:tcPr>
                  <w:tcW w:w="738" w:type="pct"/>
                  <w:tcBorders>
                    <w:tl2br w:val="nil"/>
                    <w:tr2bl w:val="nil"/>
                  </w:tcBorders>
                  <w:vAlign w:val="center"/>
                </w:tcPr>
                <w:p w14:paraId="281E7A9E">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一般排放口</w:t>
                  </w:r>
                </w:p>
              </w:tc>
              <w:tc>
                <w:tcPr>
                  <w:tcW w:w="1429" w:type="pct"/>
                  <w:tcBorders>
                    <w:tl2br w:val="nil"/>
                    <w:tr2bl w:val="nil"/>
                  </w:tcBorders>
                  <w:vAlign w:val="center"/>
                </w:tcPr>
                <w:p w14:paraId="4FBFE42E">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北京市《水污染物综合排放标准》（DB11/307-2013）</w:t>
                  </w:r>
                </w:p>
              </w:tc>
            </w:tr>
          </w:tbl>
          <w:p w14:paraId="3C83E75D">
            <w:pPr>
              <w:numPr>
                <w:ilvl w:val="255"/>
                <w:numId w:val="0"/>
              </w:numPr>
              <w:adjustRightInd w:val="0"/>
              <w:spacing w:line="360" w:lineRule="auto"/>
              <w:ind w:left="420" w:leftChars="200"/>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lang w:eastAsia="zh-CN"/>
              </w:rPr>
              <w:t>）达标及影响分析</w:t>
            </w:r>
          </w:p>
          <w:p w14:paraId="642D679D">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rPr>
              <w:t>本项目废水达标排放分析</w:t>
            </w:r>
            <w:r>
              <w:rPr>
                <w:rFonts w:hint="default" w:ascii="Times New Roman" w:hAnsi="Times New Roman" w:eastAsia="宋体" w:cs="Times New Roman"/>
                <w:color w:val="auto"/>
                <w:sz w:val="24"/>
                <w:highlight w:val="none"/>
                <w:lang w:val="zh-CN" w:eastAsia="zh-CN"/>
              </w:rPr>
              <w:t>见下表。</w:t>
            </w:r>
          </w:p>
          <w:p w14:paraId="10729187">
            <w:pPr>
              <w:keepNext w:val="0"/>
              <w:keepLines w:val="0"/>
              <w:widowControl/>
              <w:numPr>
                <w:ilvl w:val="0"/>
                <w:numId w:val="40"/>
              </w:numPr>
              <w:suppressLineNumbers w:val="0"/>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项目废水排放及达标情况一览表</w:t>
            </w:r>
          </w:p>
          <w:tbl>
            <w:tblPr>
              <w:tblStyle w:val="23"/>
              <w:tblW w:w="495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649"/>
              <w:gridCol w:w="975"/>
              <w:gridCol w:w="975"/>
              <w:gridCol w:w="975"/>
              <w:gridCol w:w="975"/>
              <w:gridCol w:w="975"/>
              <w:gridCol w:w="980"/>
            </w:tblGrid>
            <w:tr w14:paraId="74A2DD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98" w:type="pct"/>
                  <w:tcBorders>
                    <w:tl2br w:val="nil"/>
                    <w:tr2bl w:val="nil"/>
                  </w:tcBorders>
                  <w:vAlign w:val="center"/>
                </w:tcPr>
                <w:p w14:paraId="53846CE5">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名称</w:t>
                  </w:r>
                </w:p>
              </w:tc>
              <w:tc>
                <w:tcPr>
                  <w:tcW w:w="649" w:type="pct"/>
                  <w:tcBorders>
                    <w:tl2br w:val="nil"/>
                    <w:tr2bl w:val="nil"/>
                  </w:tcBorders>
                  <w:vAlign w:val="center"/>
                </w:tcPr>
                <w:p w14:paraId="2FFFB428">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COD</w:t>
                  </w:r>
                  <w:r>
                    <w:rPr>
                      <w:rFonts w:hint="default" w:ascii="Times New Roman" w:hAnsi="Times New Roman" w:eastAsia="宋体" w:cs="Times New Roman"/>
                      <w:b/>
                      <w:bCs/>
                      <w:color w:val="auto"/>
                      <w:szCs w:val="21"/>
                      <w:highlight w:val="none"/>
                      <w:vertAlign w:val="subscript"/>
                    </w:rPr>
                    <w:t>Cr</w:t>
                  </w:r>
                </w:p>
              </w:tc>
              <w:tc>
                <w:tcPr>
                  <w:tcW w:w="649" w:type="pct"/>
                  <w:tcBorders>
                    <w:tl2br w:val="nil"/>
                    <w:tr2bl w:val="nil"/>
                  </w:tcBorders>
                  <w:vAlign w:val="center"/>
                </w:tcPr>
                <w:p w14:paraId="729BCD80">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kern w:val="28"/>
                      <w:szCs w:val="21"/>
                      <w:highlight w:val="none"/>
                    </w:rPr>
                    <w:t>BOD</w:t>
                  </w:r>
                  <w:r>
                    <w:rPr>
                      <w:rFonts w:hint="default" w:ascii="Times New Roman" w:hAnsi="Times New Roman" w:eastAsia="宋体" w:cs="Times New Roman"/>
                      <w:b/>
                      <w:bCs/>
                      <w:color w:val="auto"/>
                      <w:kern w:val="28"/>
                      <w:szCs w:val="21"/>
                      <w:highlight w:val="none"/>
                      <w:vertAlign w:val="subscript"/>
                    </w:rPr>
                    <w:t>5</w:t>
                  </w:r>
                </w:p>
              </w:tc>
              <w:tc>
                <w:tcPr>
                  <w:tcW w:w="649" w:type="pct"/>
                  <w:tcBorders>
                    <w:tl2br w:val="nil"/>
                    <w:tr2bl w:val="nil"/>
                  </w:tcBorders>
                  <w:vAlign w:val="center"/>
                </w:tcPr>
                <w:p w14:paraId="183D1A25">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SS</w:t>
                  </w:r>
                </w:p>
              </w:tc>
              <w:tc>
                <w:tcPr>
                  <w:tcW w:w="649" w:type="pct"/>
                  <w:tcBorders>
                    <w:tl2br w:val="nil"/>
                    <w:tr2bl w:val="nil"/>
                  </w:tcBorders>
                  <w:vAlign w:val="center"/>
                </w:tcPr>
                <w:p w14:paraId="05A4C24A">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NH</w:t>
                  </w:r>
                  <w:r>
                    <w:rPr>
                      <w:rFonts w:hint="default" w:ascii="Times New Roman" w:hAnsi="Times New Roman" w:eastAsia="宋体" w:cs="Times New Roman"/>
                      <w:b/>
                      <w:bCs/>
                      <w:color w:val="auto"/>
                      <w:szCs w:val="21"/>
                      <w:highlight w:val="none"/>
                      <w:vertAlign w:val="subscript"/>
                    </w:rPr>
                    <w:t>3</w:t>
                  </w:r>
                  <w:r>
                    <w:rPr>
                      <w:rFonts w:hint="default" w:ascii="Times New Roman" w:hAnsi="Times New Roman" w:eastAsia="宋体" w:cs="Times New Roman"/>
                      <w:b/>
                      <w:bCs/>
                      <w:color w:val="auto"/>
                      <w:szCs w:val="21"/>
                      <w:highlight w:val="none"/>
                    </w:rPr>
                    <w:t>-N</w:t>
                  </w:r>
                </w:p>
              </w:tc>
              <w:tc>
                <w:tcPr>
                  <w:tcW w:w="649" w:type="pct"/>
                  <w:tcBorders>
                    <w:tl2br w:val="nil"/>
                    <w:tr2bl w:val="nil"/>
                  </w:tcBorders>
                  <w:vAlign w:val="center"/>
                </w:tcPr>
                <w:p w14:paraId="61CF38F5">
                  <w:pPr>
                    <w:adjustRightInd w:val="0"/>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lang w:eastAsia="zh-CN"/>
                    </w:rPr>
                    <w:t>pH</w:t>
                  </w:r>
                </w:p>
              </w:tc>
              <w:tc>
                <w:tcPr>
                  <w:tcW w:w="652" w:type="pct"/>
                  <w:tcBorders>
                    <w:tl2br w:val="nil"/>
                    <w:tr2bl w:val="nil"/>
                  </w:tcBorders>
                  <w:vAlign w:val="center"/>
                </w:tcPr>
                <w:p w14:paraId="32F53BAA">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kern w:val="0"/>
                      <w:sz w:val="21"/>
                      <w:szCs w:val="21"/>
                      <w:highlight w:val="none"/>
                    </w:rPr>
                    <w:t>可溶性固体总量</w:t>
                  </w:r>
                </w:p>
              </w:tc>
            </w:tr>
            <w:tr w14:paraId="32C17E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98" w:type="pct"/>
                  <w:tcBorders>
                    <w:tl2br w:val="nil"/>
                    <w:tr2bl w:val="nil"/>
                  </w:tcBorders>
                  <w:vAlign w:val="center"/>
                </w:tcPr>
                <w:p w14:paraId="07FAC881">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排放浓度（mg/L）</w:t>
                  </w:r>
                </w:p>
              </w:tc>
              <w:tc>
                <w:tcPr>
                  <w:tcW w:w="975" w:type="dxa"/>
                  <w:tcBorders>
                    <w:tl2br w:val="nil"/>
                    <w:tr2bl w:val="nil"/>
                  </w:tcBorders>
                  <w:shd w:val="clear" w:color="auto" w:fill="auto"/>
                  <w:vAlign w:val="center"/>
                </w:tcPr>
                <w:p w14:paraId="6CCB76D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378.8 </w:t>
                  </w:r>
                </w:p>
              </w:tc>
              <w:tc>
                <w:tcPr>
                  <w:tcW w:w="975" w:type="dxa"/>
                  <w:tcBorders>
                    <w:tl2br w:val="nil"/>
                    <w:tr2bl w:val="nil"/>
                  </w:tcBorders>
                  <w:shd w:val="clear" w:color="auto" w:fill="auto"/>
                  <w:vAlign w:val="center"/>
                </w:tcPr>
                <w:p w14:paraId="1DA1943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225.7 </w:t>
                  </w:r>
                </w:p>
              </w:tc>
              <w:tc>
                <w:tcPr>
                  <w:tcW w:w="975" w:type="dxa"/>
                  <w:tcBorders>
                    <w:tl2br w:val="nil"/>
                    <w:tr2bl w:val="nil"/>
                  </w:tcBorders>
                  <w:shd w:val="clear" w:color="auto" w:fill="auto"/>
                  <w:vAlign w:val="center"/>
                </w:tcPr>
                <w:p w14:paraId="7EAD55E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208.4 </w:t>
                  </w:r>
                </w:p>
              </w:tc>
              <w:tc>
                <w:tcPr>
                  <w:tcW w:w="975" w:type="dxa"/>
                  <w:tcBorders>
                    <w:tl2br w:val="nil"/>
                    <w:tr2bl w:val="nil"/>
                  </w:tcBorders>
                  <w:shd w:val="clear" w:color="auto" w:fill="auto"/>
                  <w:vAlign w:val="center"/>
                </w:tcPr>
                <w:p w14:paraId="15846E7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38.4 </w:t>
                  </w:r>
                </w:p>
              </w:tc>
              <w:tc>
                <w:tcPr>
                  <w:tcW w:w="975" w:type="dxa"/>
                  <w:tcBorders>
                    <w:tl2br w:val="nil"/>
                    <w:tr2bl w:val="nil"/>
                  </w:tcBorders>
                  <w:shd w:val="clear" w:color="auto" w:fill="auto"/>
                  <w:vAlign w:val="center"/>
                </w:tcPr>
                <w:p w14:paraId="7A50E62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6.5~9</w:t>
                  </w:r>
                </w:p>
              </w:tc>
              <w:tc>
                <w:tcPr>
                  <w:tcW w:w="980" w:type="dxa"/>
                  <w:tcBorders>
                    <w:tl2br w:val="nil"/>
                    <w:tr2bl w:val="nil"/>
                  </w:tcBorders>
                  <w:shd w:val="clear" w:color="auto" w:fill="auto"/>
                  <w:vAlign w:val="center"/>
                </w:tcPr>
                <w:p w14:paraId="56200F2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11.4 </w:t>
                  </w:r>
                </w:p>
              </w:tc>
            </w:tr>
            <w:tr w14:paraId="4D962DB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1" w:hRule="atLeast"/>
                <w:jc w:val="center"/>
              </w:trPr>
              <w:tc>
                <w:tcPr>
                  <w:tcW w:w="1098" w:type="pct"/>
                  <w:tcBorders>
                    <w:tl2br w:val="nil"/>
                    <w:tr2bl w:val="nil"/>
                  </w:tcBorders>
                  <w:vAlign w:val="center"/>
                </w:tcPr>
                <w:p w14:paraId="3A636A4C">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标准值</w:t>
                  </w:r>
                </w:p>
              </w:tc>
              <w:tc>
                <w:tcPr>
                  <w:tcW w:w="649" w:type="pct"/>
                  <w:tcBorders>
                    <w:tl2br w:val="nil"/>
                    <w:tr2bl w:val="nil"/>
                  </w:tcBorders>
                  <w:vAlign w:val="center"/>
                </w:tcPr>
                <w:p w14:paraId="464EAE71">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500</w:t>
                  </w:r>
                </w:p>
              </w:tc>
              <w:tc>
                <w:tcPr>
                  <w:tcW w:w="649" w:type="pct"/>
                  <w:tcBorders>
                    <w:tl2br w:val="nil"/>
                    <w:tr2bl w:val="nil"/>
                  </w:tcBorders>
                  <w:vAlign w:val="center"/>
                </w:tcPr>
                <w:p w14:paraId="68CE5451">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300</w:t>
                  </w:r>
                </w:p>
              </w:tc>
              <w:tc>
                <w:tcPr>
                  <w:tcW w:w="649" w:type="pct"/>
                  <w:tcBorders>
                    <w:tl2br w:val="nil"/>
                    <w:tr2bl w:val="nil"/>
                  </w:tcBorders>
                  <w:vAlign w:val="center"/>
                </w:tcPr>
                <w:p w14:paraId="04375807">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400</w:t>
                  </w:r>
                </w:p>
              </w:tc>
              <w:tc>
                <w:tcPr>
                  <w:tcW w:w="649" w:type="pct"/>
                  <w:tcBorders>
                    <w:tl2br w:val="nil"/>
                    <w:tr2bl w:val="nil"/>
                  </w:tcBorders>
                  <w:vAlign w:val="center"/>
                </w:tcPr>
                <w:p w14:paraId="74B86864">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45</w:t>
                  </w:r>
                </w:p>
              </w:tc>
              <w:tc>
                <w:tcPr>
                  <w:tcW w:w="649" w:type="pct"/>
                  <w:tcBorders>
                    <w:tl2br w:val="nil"/>
                    <w:tr2bl w:val="nil"/>
                  </w:tcBorders>
                  <w:vAlign w:val="center"/>
                </w:tcPr>
                <w:p w14:paraId="1919B9BF">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6.5～9</w:t>
                  </w:r>
                </w:p>
                <w:p w14:paraId="06F1D2C1">
                  <w:pPr>
                    <w:adjustRightInd w:val="0"/>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(无量纲)</w:t>
                  </w:r>
                </w:p>
              </w:tc>
              <w:tc>
                <w:tcPr>
                  <w:tcW w:w="652" w:type="pct"/>
                  <w:tcBorders>
                    <w:tl2br w:val="nil"/>
                    <w:tr2bl w:val="nil"/>
                  </w:tcBorders>
                  <w:vAlign w:val="center"/>
                </w:tcPr>
                <w:p w14:paraId="74B0E901">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2000</w:t>
                  </w:r>
                </w:p>
              </w:tc>
            </w:tr>
            <w:tr w14:paraId="3F68835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98" w:type="pct"/>
                  <w:tcBorders>
                    <w:tl2br w:val="nil"/>
                    <w:tr2bl w:val="nil"/>
                  </w:tcBorders>
                  <w:vAlign w:val="center"/>
                </w:tcPr>
                <w:p w14:paraId="0B34F8D9">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达标分析</w:t>
                  </w:r>
                </w:p>
              </w:tc>
              <w:tc>
                <w:tcPr>
                  <w:tcW w:w="649" w:type="pct"/>
                  <w:tcBorders>
                    <w:tl2br w:val="nil"/>
                    <w:tr2bl w:val="nil"/>
                  </w:tcBorders>
                  <w:vAlign w:val="center"/>
                </w:tcPr>
                <w:p w14:paraId="1097DB79">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c>
                <w:tcPr>
                  <w:tcW w:w="649" w:type="pct"/>
                  <w:tcBorders>
                    <w:tl2br w:val="nil"/>
                    <w:tr2bl w:val="nil"/>
                  </w:tcBorders>
                  <w:vAlign w:val="center"/>
                </w:tcPr>
                <w:p w14:paraId="28CF2151">
                  <w:pPr>
                    <w:adjustRightInd w:val="0"/>
                    <w:spacing w:line="24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c>
                <w:tcPr>
                  <w:tcW w:w="649" w:type="pct"/>
                  <w:tcBorders>
                    <w:tl2br w:val="nil"/>
                    <w:tr2bl w:val="nil"/>
                  </w:tcBorders>
                  <w:vAlign w:val="center"/>
                </w:tcPr>
                <w:p w14:paraId="5EBD90CB">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c>
                <w:tcPr>
                  <w:tcW w:w="649" w:type="pct"/>
                  <w:tcBorders>
                    <w:tl2br w:val="nil"/>
                    <w:tr2bl w:val="nil"/>
                  </w:tcBorders>
                  <w:vAlign w:val="center"/>
                </w:tcPr>
                <w:p w14:paraId="67A636BD">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c>
                <w:tcPr>
                  <w:tcW w:w="649" w:type="pct"/>
                  <w:tcBorders>
                    <w:tl2br w:val="nil"/>
                    <w:tr2bl w:val="nil"/>
                  </w:tcBorders>
                  <w:vAlign w:val="center"/>
                </w:tcPr>
                <w:p w14:paraId="66544157">
                  <w:pPr>
                    <w:adjustRightInd w:val="0"/>
                    <w:spacing w:line="24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c>
                <w:tcPr>
                  <w:tcW w:w="652" w:type="pct"/>
                  <w:tcBorders>
                    <w:tl2br w:val="nil"/>
                    <w:tr2bl w:val="nil"/>
                  </w:tcBorders>
                  <w:vAlign w:val="center"/>
                </w:tcPr>
                <w:p w14:paraId="112DCEB7">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bl>
          <w:p w14:paraId="40075587">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综上，本项目废水的排放满足北京市《</w:t>
            </w:r>
            <w:r>
              <w:rPr>
                <w:rFonts w:hint="default" w:ascii="Times New Roman" w:hAnsi="Times New Roman" w:eastAsia="宋体" w:cs="Times New Roman"/>
                <w:color w:val="auto"/>
                <w:sz w:val="24"/>
                <w:highlight w:val="none"/>
                <w:lang w:val="zh-CN"/>
              </w:rPr>
              <w:t>水污染物综合排放标准》（DB11/307-</w:t>
            </w:r>
            <w:r>
              <w:rPr>
                <w:rFonts w:hint="default" w:ascii="Times New Roman" w:hAnsi="Times New Roman" w:eastAsia="宋体" w:cs="Times New Roman"/>
                <w:color w:val="auto"/>
                <w:sz w:val="24"/>
                <w:highlight w:val="none"/>
              </w:rPr>
              <w:t>2013</w:t>
            </w:r>
            <w:r>
              <w:rPr>
                <w:rFonts w:hint="default" w:ascii="Times New Roman" w:hAnsi="Times New Roman" w:eastAsia="宋体" w:cs="Times New Roman"/>
                <w:color w:val="auto"/>
                <w:sz w:val="24"/>
                <w:highlight w:val="none"/>
                <w:lang w:val="zh-CN"/>
              </w:rPr>
              <w:t>）中</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lang w:val="zh-CN"/>
              </w:rPr>
              <w:t>表</w:t>
            </w:r>
            <w:r>
              <w:rPr>
                <w:rFonts w:hint="default" w:ascii="Times New Roman" w:hAnsi="Times New Roman" w:eastAsia="宋体" w:cs="Times New Roman"/>
                <w:color w:val="auto"/>
                <w:sz w:val="24"/>
                <w:highlight w:val="none"/>
              </w:rPr>
              <w:t>3</w:t>
            </w:r>
            <w:r>
              <w:rPr>
                <w:rFonts w:hint="default" w:ascii="Times New Roman" w:hAnsi="Times New Roman" w:eastAsia="宋体" w:cs="Times New Roman"/>
                <w:color w:val="auto"/>
                <w:sz w:val="24"/>
                <w:highlight w:val="none"/>
                <w:lang w:val="zh-CN"/>
              </w:rPr>
              <w:t>排入公共污水处理系统的水污染物排放限值</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rPr>
              <w:t>的标准要求，本项目建设对周围水环境影响较小。</w:t>
            </w:r>
          </w:p>
          <w:p w14:paraId="11E346DC">
            <w:pPr>
              <w:numPr>
                <w:ilvl w:val="255"/>
                <w:numId w:val="0"/>
              </w:numPr>
              <w:adjustRightInd w:val="0"/>
              <w:spacing w:line="360" w:lineRule="auto"/>
              <w:ind w:left="420" w:leftChars="200"/>
              <w:rPr>
                <w:rFonts w:hint="default"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4</w:t>
            </w:r>
            <w:r>
              <w:rPr>
                <w:rFonts w:hint="eastAsia"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eastAsia="zh-CN"/>
              </w:rPr>
              <w:t>污水处理厂可行性分析</w:t>
            </w:r>
          </w:p>
          <w:p w14:paraId="545BCF76">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本项目位于北京新城禹潞环保科技有限责任公司</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金桥第一污水处理厂的收水范围，本项目污水排放量为</w:t>
            </w:r>
            <w:r>
              <w:rPr>
                <w:rFonts w:hint="default"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31.89</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，污水处理厂废水处理后排放量为</w:t>
            </w:r>
            <w:r>
              <w:rPr>
                <w:rFonts w:hint="default" w:ascii="Times New Roman" w:hAnsi="Times New Roman" w:eastAsia="宋体" w:cs="Times New Roman"/>
                <w:color w:val="auto"/>
                <w:sz w:val="24"/>
                <w:highlight w:val="none"/>
                <w:lang w:val="en-US" w:eastAsia="zh-CN"/>
              </w:rPr>
              <w:t>168.3307</w:t>
            </w:r>
            <w:r>
              <w:rPr>
                <w:rFonts w:hint="eastAsia" w:ascii="Times New Roman" w:hAnsi="Times New Roman" w:eastAsia="宋体" w:cs="Times New Roman"/>
                <w:color w:val="auto"/>
                <w:sz w:val="24"/>
                <w:highlight w:val="none"/>
                <w:lang w:val="en-US" w:eastAsia="zh-CN"/>
              </w:rPr>
              <w:t>万</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，剩余处理能力约为</w:t>
            </w:r>
            <w:r>
              <w:rPr>
                <w:rFonts w:hint="default" w:ascii="Times New Roman" w:hAnsi="Times New Roman" w:eastAsia="宋体" w:cs="Times New Roman"/>
                <w:color w:val="auto"/>
                <w:sz w:val="24"/>
                <w:highlight w:val="none"/>
                <w:lang w:val="en-US" w:eastAsia="zh-CN"/>
              </w:rPr>
              <w:t>14.1693</w:t>
            </w:r>
            <w:r>
              <w:rPr>
                <w:rFonts w:hint="eastAsia" w:ascii="Times New Roman" w:hAnsi="Times New Roman" w:eastAsia="宋体" w:cs="Times New Roman"/>
                <w:color w:val="auto"/>
                <w:sz w:val="24"/>
                <w:highlight w:val="none"/>
                <w:lang w:val="en-US" w:eastAsia="zh-CN"/>
              </w:rPr>
              <w:t>万</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，仅占剩余处理能力的</w:t>
            </w:r>
            <w:r>
              <w:rPr>
                <w:rFonts w:hint="default" w:ascii="Times New Roman" w:hAnsi="Times New Roman" w:eastAsia="宋体" w:cs="Times New Roman"/>
                <w:color w:val="auto"/>
                <w:sz w:val="24"/>
                <w:highlight w:val="none"/>
                <w:lang w:val="en-US" w:eastAsia="zh-CN"/>
              </w:rPr>
              <w:t>0.2%</w:t>
            </w:r>
            <w:r>
              <w:rPr>
                <w:rFonts w:hint="eastAsia" w:ascii="Times New Roman" w:hAnsi="Times New Roman" w:eastAsia="宋体" w:cs="Times New Roman"/>
                <w:color w:val="auto"/>
                <w:sz w:val="24"/>
                <w:highlight w:val="none"/>
                <w:lang w:val="en-US" w:eastAsia="zh-CN"/>
              </w:rPr>
              <w:t xml:space="preserve">，不会对该污水处理厂日常处理能力产生冲击负荷。 </w:t>
            </w:r>
          </w:p>
          <w:p w14:paraId="6244E64F">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北京新城禹潞环保科技有限责任公司</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金桥第一污水处理厂的设计进水水质要求</w:t>
            </w:r>
            <w:r>
              <w:rPr>
                <w:rFonts w:hint="default" w:ascii="Times New Roman" w:hAnsi="Times New Roman" w:eastAsia="宋体" w:cs="Times New Roman"/>
                <w:color w:val="auto"/>
                <w:sz w:val="24"/>
                <w:highlight w:val="none"/>
                <w:lang w:val="en-US" w:eastAsia="zh-CN"/>
              </w:rPr>
              <w:t>COD</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500mg/L</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BOD</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300mg/L</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SS</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400mg/L</w:t>
            </w:r>
            <w:r>
              <w:rPr>
                <w:rFonts w:hint="eastAsia" w:ascii="Times New Roman" w:hAnsi="Times New Roman" w:eastAsia="宋体" w:cs="Times New Roman"/>
                <w:color w:val="auto"/>
                <w:sz w:val="24"/>
                <w:highlight w:val="none"/>
                <w:lang w:val="en-US" w:eastAsia="zh-CN"/>
              </w:rPr>
              <w:t>，氨氮≤</w:t>
            </w:r>
            <w:r>
              <w:rPr>
                <w:rFonts w:hint="default" w:ascii="Times New Roman" w:hAnsi="Times New Roman" w:eastAsia="宋体" w:cs="Times New Roman"/>
                <w:color w:val="auto"/>
                <w:sz w:val="24"/>
                <w:highlight w:val="none"/>
                <w:lang w:val="en-US" w:eastAsia="zh-CN"/>
              </w:rPr>
              <w:t>45mg/L</w:t>
            </w:r>
            <w:r>
              <w:rPr>
                <w:rFonts w:hint="eastAsia" w:ascii="Times New Roman" w:hAnsi="Times New Roman" w:eastAsia="宋体" w:cs="Times New Roman"/>
                <w:color w:val="auto"/>
                <w:sz w:val="24"/>
                <w:highlight w:val="none"/>
                <w:lang w:val="en-US" w:eastAsia="zh-CN"/>
              </w:rPr>
              <w:t>，经污染物达标分析可知，本项目废水总排口水质</w:t>
            </w:r>
            <w:r>
              <w:rPr>
                <w:rFonts w:hint="default" w:ascii="Times New Roman" w:hAnsi="Times New Roman" w:eastAsia="宋体" w:cs="Times New Roman"/>
                <w:color w:val="auto"/>
                <w:sz w:val="24"/>
                <w:highlight w:val="none"/>
                <w:lang w:val="en-US" w:eastAsia="zh-CN"/>
              </w:rPr>
              <w:t>CODcr</w:t>
            </w:r>
            <w:r>
              <w:rPr>
                <w:rFonts w:hint="eastAsia" w:ascii="Times New Roman" w:hAnsi="Times New Roman" w:eastAsia="宋体" w:cs="Times New Roman"/>
                <w:color w:val="auto"/>
                <w:sz w:val="24"/>
                <w:highlight w:val="none"/>
                <w:lang w:val="en-US" w:eastAsia="zh-CN"/>
              </w:rPr>
              <w:t>378.8</w:t>
            </w:r>
            <w:r>
              <w:rPr>
                <w:rFonts w:hint="default" w:ascii="Times New Roman" w:hAnsi="Times New Roman" w:eastAsia="宋体" w:cs="Times New Roman"/>
                <w:color w:val="auto"/>
                <w:sz w:val="24"/>
                <w:highlight w:val="none"/>
                <w:lang w:val="en-US" w:eastAsia="zh-CN"/>
              </w:rPr>
              <w:t>mg/L</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BOD</w:t>
            </w:r>
            <w:r>
              <w:rPr>
                <w:rFonts w:hint="default" w:ascii="Times New Roman" w:hAnsi="Times New Roman" w:eastAsia="宋体" w:cs="Times New Roman"/>
                <w:color w:val="auto"/>
                <w:sz w:val="24"/>
                <w:highlight w:val="none"/>
                <w:vertAlign w:val="subscript"/>
                <w:lang w:val="en-US" w:eastAsia="zh-CN"/>
              </w:rPr>
              <w:t>5</w:t>
            </w:r>
            <w:r>
              <w:rPr>
                <w:rFonts w:hint="default" w:ascii="Times New Roman" w:hAnsi="Times New Roman" w:eastAsia="宋体" w:cs="Times New Roman"/>
                <w:color w:val="auto"/>
                <w:sz w:val="24"/>
                <w:highlight w:val="none"/>
                <w:lang w:val="en-US" w:eastAsia="zh-CN"/>
              </w:rPr>
              <w:t>22</w:t>
            </w:r>
            <w:r>
              <w:rPr>
                <w:rFonts w:hint="eastAsia" w:ascii="Times New Roman" w:hAnsi="Times New Roman" w:eastAsia="宋体" w:cs="Times New Roman"/>
                <w:color w:val="auto"/>
                <w:sz w:val="24"/>
                <w:highlight w:val="none"/>
                <w:lang w:val="en-US" w:eastAsia="zh-CN"/>
              </w:rPr>
              <w:t>5.7</w:t>
            </w:r>
            <w:r>
              <w:rPr>
                <w:rFonts w:hint="default" w:ascii="Times New Roman" w:hAnsi="Times New Roman" w:eastAsia="宋体" w:cs="Times New Roman"/>
                <w:color w:val="auto"/>
                <w:sz w:val="24"/>
                <w:highlight w:val="none"/>
                <w:lang w:val="en-US" w:eastAsia="zh-CN"/>
              </w:rPr>
              <w:t>mg/L</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SS2</w:t>
            </w:r>
            <w:r>
              <w:rPr>
                <w:rFonts w:hint="eastAsia" w:ascii="Times New Roman" w:hAnsi="Times New Roman" w:eastAsia="宋体" w:cs="Times New Roman"/>
                <w:color w:val="auto"/>
                <w:sz w:val="24"/>
                <w:highlight w:val="none"/>
                <w:lang w:val="en-US" w:eastAsia="zh-CN"/>
              </w:rPr>
              <w:t>08.4</w:t>
            </w:r>
            <w:r>
              <w:rPr>
                <w:rFonts w:hint="default" w:ascii="Times New Roman" w:hAnsi="Times New Roman" w:eastAsia="宋体" w:cs="Times New Roman"/>
                <w:color w:val="auto"/>
                <w:sz w:val="24"/>
                <w:highlight w:val="none"/>
                <w:lang w:val="en-US" w:eastAsia="zh-CN"/>
              </w:rPr>
              <w:t>mg/L</w:t>
            </w:r>
            <w:r>
              <w:rPr>
                <w:rFonts w:hint="eastAsia" w:ascii="Times New Roman" w:hAnsi="Times New Roman" w:eastAsia="宋体" w:cs="Times New Roman"/>
                <w:color w:val="auto"/>
                <w:sz w:val="24"/>
                <w:highlight w:val="none"/>
                <w:lang w:val="en-US" w:eastAsia="zh-CN"/>
              </w:rPr>
              <w:t>，氨氮</w:t>
            </w:r>
            <w:r>
              <w:rPr>
                <w:rFonts w:hint="default"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8.4</w:t>
            </w:r>
            <w:r>
              <w:rPr>
                <w:rFonts w:hint="default" w:ascii="Times New Roman" w:hAnsi="Times New Roman" w:eastAsia="宋体" w:cs="Times New Roman"/>
                <w:color w:val="auto"/>
                <w:sz w:val="24"/>
                <w:highlight w:val="none"/>
                <w:lang w:val="en-US" w:eastAsia="zh-CN"/>
              </w:rPr>
              <w:t>mg/L</w:t>
            </w:r>
            <w:r>
              <w:rPr>
                <w:rFonts w:hint="eastAsia" w:ascii="Times New Roman" w:hAnsi="Times New Roman" w:eastAsia="宋体" w:cs="Times New Roman"/>
                <w:color w:val="auto"/>
                <w:sz w:val="24"/>
                <w:highlight w:val="none"/>
                <w:lang w:val="en-US" w:eastAsia="zh-CN"/>
              </w:rPr>
              <w:t>，满足北京新城禹潞环保科技有限责任公司</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 xml:space="preserve">金桥第一污水处理厂的进水水质要求。 </w:t>
            </w:r>
          </w:p>
          <w:p w14:paraId="60EA26A7">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因此，本项目废水通过市政管网排入北京新城禹潞环保科技有限责任公司</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金桥第一污水处理厂进行处理是可行的。</w:t>
            </w:r>
          </w:p>
          <w:p w14:paraId="610B497A">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sz w:val="24"/>
                <w:highlight w:val="none"/>
                <w:lang w:val="zh-CN"/>
              </w:rPr>
            </w:pPr>
            <w:r>
              <w:rPr>
                <w:rFonts w:hint="eastAsia" w:ascii="Times New Roman" w:hAnsi="Times New Roman" w:eastAsia="宋体" w:cs="Times New Roman"/>
                <w:color w:val="auto"/>
                <w:sz w:val="24"/>
                <w:highlight w:val="none"/>
                <w:lang w:val="en-US" w:eastAsia="zh-CN"/>
              </w:rPr>
              <w:t>根据</w:t>
            </w:r>
            <w:r>
              <w:rPr>
                <w:rFonts w:hint="default" w:ascii="Times New Roman" w:hAnsi="Times New Roman" w:eastAsia="宋体" w:cs="Times New Roman"/>
                <w:color w:val="auto"/>
                <w:sz w:val="24"/>
                <w:highlight w:val="none"/>
                <w:lang w:val="zh-CN"/>
              </w:rPr>
              <w:t>北京亦庄环境科技集团有限公司官网公布的202</w:t>
            </w: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val="zh-CN"/>
              </w:rPr>
              <w:t>年</w:t>
            </w:r>
            <w:r>
              <w:rPr>
                <w:rFonts w:hint="eastAsia" w:ascii="Times New Roman" w:hAnsi="Times New Roman" w:eastAsia="宋体" w:cs="Times New Roman"/>
                <w:color w:val="auto"/>
                <w:sz w:val="24"/>
                <w:highlight w:val="none"/>
                <w:lang w:val="en-US" w:eastAsia="zh-CN"/>
              </w:rPr>
              <w:t>度</w:t>
            </w:r>
            <w:r>
              <w:rPr>
                <w:rFonts w:hint="eastAsia" w:ascii="Times New Roman" w:hAnsi="Times New Roman" w:eastAsia="宋体" w:cs="Times New Roman"/>
                <w:color w:val="auto"/>
                <w:sz w:val="24"/>
                <w:highlight w:val="none"/>
                <w:lang w:val="zh-CN"/>
              </w:rPr>
              <w:t>北京新城禹潞环保科技有限责任公司—金桥基地第一污水处理厂</w:t>
            </w:r>
            <w:r>
              <w:rPr>
                <w:rFonts w:hint="eastAsia" w:ascii="Times New Roman" w:hAnsi="Times New Roman" w:eastAsia="宋体" w:cs="Times New Roman"/>
                <w:color w:val="auto"/>
                <w:sz w:val="24"/>
                <w:highlight w:val="none"/>
                <w:lang w:val="en-US" w:eastAsia="zh-CN"/>
              </w:rPr>
              <w:t>自行监测数据</w:t>
            </w:r>
            <w:r>
              <w:rPr>
                <w:rFonts w:hint="default" w:ascii="Times New Roman" w:hAnsi="Times New Roman" w:eastAsia="宋体" w:cs="Times New Roman"/>
                <w:color w:val="auto"/>
                <w:sz w:val="24"/>
                <w:highlight w:val="none"/>
                <w:lang w:val="zh-CN"/>
              </w:rPr>
              <w:t>，来说明</w:t>
            </w:r>
            <w:r>
              <w:rPr>
                <w:rFonts w:hint="eastAsia" w:ascii="Times New Roman" w:hAnsi="Times New Roman" w:eastAsia="宋体" w:cs="Times New Roman"/>
                <w:color w:val="auto"/>
                <w:sz w:val="24"/>
                <w:highlight w:val="none"/>
                <w:lang w:val="zh-CN"/>
              </w:rPr>
              <w:t>北京新城禹潞环保科技有限责任公司—金桥基地第一污水处理厂</w:t>
            </w:r>
            <w:r>
              <w:rPr>
                <w:rFonts w:hint="default" w:ascii="Times New Roman" w:hAnsi="Times New Roman" w:eastAsia="宋体" w:cs="Times New Roman"/>
                <w:color w:val="auto"/>
                <w:sz w:val="24"/>
                <w:highlight w:val="none"/>
                <w:lang w:val="zh-CN"/>
              </w:rPr>
              <w:t>的出水水质达标及排放情况，具体见下表。</w:t>
            </w:r>
          </w:p>
          <w:p w14:paraId="1A927D54">
            <w:pPr>
              <w:keepNext w:val="0"/>
              <w:keepLines w:val="0"/>
              <w:widowControl/>
              <w:numPr>
                <w:ilvl w:val="0"/>
                <w:numId w:val="40"/>
              </w:numPr>
              <w:suppressLineNumbers w:val="0"/>
              <w:ind w:left="425" w:leftChars="0" w:hanging="425" w:firstLineChars="0"/>
              <w:jc w:val="center"/>
              <w:rPr>
                <w:rFonts w:hint="default" w:ascii="Times New Roman" w:hAnsi="Times New Roman" w:eastAsia="宋体" w:cs="Times New Roman"/>
                <w:b/>
                <w:bCs/>
                <w:color w:val="auto"/>
                <w:sz w:val="24"/>
                <w:highlight w:val="none"/>
                <w:lang w:val="zh-CN"/>
              </w:rPr>
            </w:pPr>
            <w:r>
              <w:rPr>
                <w:rFonts w:hint="eastAsia" w:cs="Times New Roman"/>
                <w:b/>
                <w:bCs/>
                <w:color w:val="auto"/>
                <w:sz w:val="24"/>
                <w:highlight w:val="none"/>
                <w:lang w:val="en-US" w:eastAsia="zh-CN"/>
              </w:rPr>
              <w:t>东区</w:t>
            </w:r>
            <w:r>
              <w:rPr>
                <w:rFonts w:hint="default" w:ascii="Times New Roman" w:hAnsi="Times New Roman" w:eastAsia="宋体" w:cs="Times New Roman"/>
                <w:b/>
                <w:bCs/>
                <w:color w:val="auto"/>
                <w:sz w:val="24"/>
                <w:highlight w:val="none"/>
                <w:lang w:val="zh-CN"/>
              </w:rPr>
              <w:t>污水处理厂的出水水质数据公开一览表（摘录）</w:t>
            </w:r>
          </w:p>
          <w:tbl>
            <w:tblPr>
              <w:tblStyle w:val="24"/>
              <w:tblW w:w="7568"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413"/>
              <w:gridCol w:w="823"/>
              <w:gridCol w:w="1298"/>
              <w:gridCol w:w="895"/>
              <w:gridCol w:w="796"/>
              <w:gridCol w:w="1594"/>
            </w:tblGrid>
            <w:tr w14:paraId="200C36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9" w:type="dxa"/>
                  <w:tcBorders>
                    <w:tl2br w:val="nil"/>
                    <w:tr2bl w:val="nil"/>
                  </w:tcBorders>
                  <w:vAlign w:val="center"/>
                </w:tcPr>
                <w:p w14:paraId="5E9E0198">
                  <w:pPr>
                    <w:numPr>
                      <w:ilvl w:val="0"/>
                      <w:numId w:val="0"/>
                    </w:numPr>
                    <w:adjustRightInd w:val="0"/>
                    <w:snapToGrid w:val="0"/>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监测时间</w:t>
                  </w:r>
                </w:p>
              </w:tc>
              <w:tc>
                <w:tcPr>
                  <w:tcW w:w="1413" w:type="dxa"/>
                  <w:tcBorders>
                    <w:tl2br w:val="nil"/>
                    <w:tr2bl w:val="nil"/>
                  </w:tcBorders>
                  <w:vAlign w:val="center"/>
                </w:tcPr>
                <w:p w14:paraId="59DB5354">
                  <w:pPr>
                    <w:numPr>
                      <w:ilvl w:val="0"/>
                      <w:numId w:val="0"/>
                    </w:numPr>
                    <w:adjustRightInd w:val="0"/>
                    <w:snapToGrid w:val="0"/>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检测项目</w:t>
                  </w:r>
                </w:p>
              </w:tc>
              <w:tc>
                <w:tcPr>
                  <w:tcW w:w="823" w:type="dxa"/>
                  <w:tcBorders>
                    <w:tl2br w:val="nil"/>
                    <w:tr2bl w:val="nil"/>
                  </w:tcBorders>
                  <w:vAlign w:val="center"/>
                </w:tcPr>
                <w:p w14:paraId="03794136">
                  <w:pPr>
                    <w:numPr>
                      <w:ilvl w:val="0"/>
                      <w:numId w:val="0"/>
                    </w:numPr>
                    <w:adjustRightInd w:val="0"/>
                    <w:snapToGrid w:val="0"/>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排放浓度</w:t>
                  </w:r>
                </w:p>
              </w:tc>
              <w:tc>
                <w:tcPr>
                  <w:tcW w:w="1298" w:type="dxa"/>
                  <w:tcBorders>
                    <w:tl2br w:val="nil"/>
                    <w:tr2bl w:val="nil"/>
                  </w:tcBorders>
                  <w:vAlign w:val="center"/>
                </w:tcPr>
                <w:p w14:paraId="45E4CFEE">
                  <w:pPr>
                    <w:numPr>
                      <w:ilvl w:val="0"/>
                      <w:numId w:val="0"/>
                    </w:numPr>
                    <w:adjustRightInd w:val="0"/>
                    <w:snapToGrid w:val="0"/>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污染物浓度排放限值</w:t>
                  </w:r>
                </w:p>
              </w:tc>
              <w:tc>
                <w:tcPr>
                  <w:tcW w:w="895" w:type="dxa"/>
                  <w:tcBorders>
                    <w:tl2br w:val="nil"/>
                    <w:tr2bl w:val="nil"/>
                  </w:tcBorders>
                  <w:vAlign w:val="center"/>
                </w:tcPr>
                <w:p w14:paraId="7BF3D697">
                  <w:pPr>
                    <w:numPr>
                      <w:ilvl w:val="0"/>
                      <w:numId w:val="0"/>
                    </w:numPr>
                    <w:adjustRightInd w:val="0"/>
                    <w:snapToGrid w:val="0"/>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是否</w:t>
                  </w:r>
                </w:p>
                <w:p w14:paraId="3349DCFA">
                  <w:pPr>
                    <w:numPr>
                      <w:ilvl w:val="0"/>
                      <w:numId w:val="0"/>
                    </w:numPr>
                    <w:adjustRightInd w:val="0"/>
                    <w:snapToGrid w:val="0"/>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达标</w:t>
                  </w:r>
                </w:p>
              </w:tc>
              <w:tc>
                <w:tcPr>
                  <w:tcW w:w="796" w:type="dxa"/>
                  <w:tcBorders>
                    <w:tl2br w:val="nil"/>
                    <w:tr2bl w:val="nil"/>
                  </w:tcBorders>
                  <w:vAlign w:val="center"/>
                </w:tcPr>
                <w:p w14:paraId="039BFE9D">
                  <w:pPr>
                    <w:numPr>
                      <w:ilvl w:val="0"/>
                      <w:numId w:val="0"/>
                    </w:numPr>
                    <w:adjustRightInd w:val="0"/>
                    <w:snapToGrid w:val="0"/>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超标倍数</w:t>
                  </w:r>
                </w:p>
              </w:tc>
              <w:tc>
                <w:tcPr>
                  <w:tcW w:w="1594" w:type="dxa"/>
                  <w:tcBorders>
                    <w:tl2br w:val="nil"/>
                    <w:tr2bl w:val="nil"/>
                  </w:tcBorders>
                  <w:vAlign w:val="center"/>
                </w:tcPr>
                <w:p w14:paraId="6A39862E">
                  <w:pPr>
                    <w:numPr>
                      <w:ilvl w:val="0"/>
                      <w:numId w:val="0"/>
                    </w:numPr>
                    <w:adjustRightInd w:val="0"/>
                    <w:snapToGrid w:val="0"/>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评价标准</w:t>
                  </w:r>
                </w:p>
              </w:tc>
            </w:tr>
            <w:tr w14:paraId="296476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9" w:type="dxa"/>
                  <w:vMerge w:val="restart"/>
                  <w:tcBorders>
                    <w:tl2br w:val="nil"/>
                    <w:tr2bl w:val="nil"/>
                  </w:tcBorders>
                  <w:vAlign w:val="center"/>
                </w:tcPr>
                <w:p w14:paraId="3454B02A">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2024年度</w:t>
                  </w:r>
                </w:p>
              </w:tc>
              <w:tc>
                <w:tcPr>
                  <w:tcW w:w="1413" w:type="dxa"/>
                  <w:tcBorders>
                    <w:tl2br w:val="nil"/>
                    <w:tr2bl w:val="nil"/>
                  </w:tcBorders>
                  <w:vAlign w:val="center"/>
                </w:tcPr>
                <w:p w14:paraId="269C5C7D">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pH（无量纲）</w:t>
                  </w:r>
                </w:p>
              </w:tc>
              <w:tc>
                <w:tcPr>
                  <w:tcW w:w="823" w:type="dxa"/>
                  <w:tcBorders>
                    <w:tl2br w:val="nil"/>
                    <w:tr2bl w:val="nil"/>
                  </w:tcBorders>
                  <w:vAlign w:val="center"/>
                </w:tcPr>
                <w:p w14:paraId="6DD04A92">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达标100%</w:t>
                  </w:r>
                </w:p>
              </w:tc>
              <w:tc>
                <w:tcPr>
                  <w:tcW w:w="1298" w:type="dxa"/>
                  <w:tcBorders>
                    <w:tl2br w:val="nil"/>
                    <w:tr2bl w:val="nil"/>
                  </w:tcBorders>
                  <w:vAlign w:val="center"/>
                </w:tcPr>
                <w:p w14:paraId="47D80CDD">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6~9</w:t>
                  </w:r>
                </w:p>
              </w:tc>
              <w:tc>
                <w:tcPr>
                  <w:tcW w:w="895" w:type="dxa"/>
                  <w:tcBorders>
                    <w:tl2br w:val="nil"/>
                    <w:tr2bl w:val="nil"/>
                  </w:tcBorders>
                  <w:vAlign w:val="center"/>
                </w:tcPr>
                <w:p w14:paraId="55D60286">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是</w:t>
                  </w:r>
                </w:p>
              </w:tc>
              <w:tc>
                <w:tcPr>
                  <w:tcW w:w="796" w:type="dxa"/>
                  <w:tcBorders>
                    <w:tl2br w:val="nil"/>
                    <w:tr2bl w:val="nil"/>
                  </w:tcBorders>
                  <w:vAlign w:val="center"/>
                </w:tcPr>
                <w:p w14:paraId="02EF01FA">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0</w:t>
                  </w:r>
                </w:p>
              </w:tc>
              <w:tc>
                <w:tcPr>
                  <w:tcW w:w="1594" w:type="dxa"/>
                  <w:vMerge w:val="restart"/>
                  <w:tcBorders>
                    <w:tl2br w:val="nil"/>
                    <w:tr2bl w:val="nil"/>
                  </w:tcBorders>
                  <w:vAlign w:val="center"/>
                </w:tcPr>
                <w:p w14:paraId="367E049C">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《城镇污水处理厂水污染物排放标准》（DB11/890-2012）表 1中的 B 标准</w:t>
                  </w:r>
                </w:p>
              </w:tc>
            </w:tr>
            <w:tr w14:paraId="44F529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tl2br w:val="nil"/>
                    <w:tr2bl w:val="nil"/>
                  </w:tcBorders>
                  <w:vAlign w:val="center"/>
                </w:tcPr>
                <w:p w14:paraId="6A76E6BD">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zh-CN"/>
                    </w:rPr>
                  </w:pPr>
                </w:p>
              </w:tc>
              <w:tc>
                <w:tcPr>
                  <w:tcW w:w="1413" w:type="dxa"/>
                  <w:tcBorders>
                    <w:tl2br w:val="nil"/>
                    <w:tr2bl w:val="nil"/>
                  </w:tcBorders>
                  <w:vAlign w:val="center"/>
                </w:tcPr>
                <w:p w14:paraId="586760FF">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化学需氧量（mg/L）</w:t>
                  </w:r>
                </w:p>
              </w:tc>
              <w:tc>
                <w:tcPr>
                  <w:tcW w:w="823" w:type="dxa"/>
                  <w:tcBorders>
                    <w:tl2br w:val="nil"/>
                    <w:tr2bl w:val="nil"/>
                  </w:tcBorders>
                  <w:vAlign w:val="center"/>
                </w:tcPr>
                <w:p w14:paraId="4154D115">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13.56</w:t>
                  </w:r>
                </w:p>
              </w:tc>
              <w:tc>
                <w:tcPr>
                  <w:tcW w:w="1298" w:type="dxa"/>
                  <w:tcBorders>
                    <w:tl2br w:val="nil"/>
                    <w:tr2bl w:val="nil"/>
                  </w:tcBorders>
                  <w:vAlign w:val="center"/>
                </w:tcPr>
                <w:p w14:paraId="7CB6327E">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30</w:t>
                  </w:r>
                </w:p>
              </w:tc>
              <w:tc>
                <w:tcPr>
                  <w:tcW w:w="895" w:type="dxa"/>
                  <w:tcBorders>
                    <w:tl2br w:val="nil"/>
                    <w:tr2bl w:val="nil"/>
                  </w:tcBorders>
                  <w:vAlign w:val="center"/>
                </w:tcPr>
                <w:p w14:paraId="0570175D">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是</w:t>
                  </w:r>
                </w:p>
              </w:tc>
              <w:tc>
                <w:tcPr>
                  <w:tcW w:w="796" w:type="dxa"/>
                  <w:tcBorders>
                    <w:tl2br w:val="nil"/>
                    <w:tr2bl w:val="nil"/>
                  </w:tcBorders>
                  <w:vAlign w:val="center"/>
                </w:tcPr>
                <w:p w14:paraId="0FF222A9">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0</w:t>
                  </w:r>
                </w:p>
              </w:tc>
              <w:tc>
                <w:tcPr>
                  <w:tcW w:w="1594" w:type="dxa"/>
                  <w:vMerge w:val="continue"/>
                  <w:tcBorders>
                    <w:tl2br w:val="nil"/>
                    <w:tr2bl w:val="nil"/>
                  </w:tcBorders>
                  <w:vAlign w:val="center"/>
                </w:tcPr>
                <w:p w14:paraId="19D9BBD6">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zh-CN"/>
                    </w:rPr>
                  </w:pPr>
                </w:p>
              </w:tc>
            </w:tr>
            <w:tr w14:paraId="52B6EC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tl2br w:val="nil"/>
                    <w:tr2bl w:val="nil"/>
                  </w:tcBorders>
                  <w:vAlign w:val="center"/>
                </w:tcPr>
                <w:p w14:paraId="7F9E7B37">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zh-CN"/>
                    </w:rPr>
                  </w:pPr>
                </w:p>
              </w:tc>
              <w:tc>
                <w:tcPr>
                  <w:tcW w:w="1413" w:type="dxa"/>
                  <w:tcBorders>
                    <w:tl2br w:val="nil"/>
                    <w:tr2bl w:val="nil"/>
                  </w:tcBorders>
                  <w:vAlign w:val="center"/>
                </w:tcPr>
                <w:p w14:paraId="5A02AF68">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氨氮（mg/L）</w:t>
                  </w:r>
                </w:p>
              </w:tc>
              <w:tc>
                <w:tcPr>
                  <w:tcW w:w="823" w:type="dxa"/>
                  <w:tcBorders>
                    <w:tl2br w:val="nil"/>
                    <w:tr2bl w:val="nil"/>
                  </w:tcBorders>
                  <w:vAlign w:val="center"/>
                </w:tcPr>
                <w:p w14:paraId="65C4E552">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0.31</w:t>
                  </w:r>
                </w:p>
              </w:tc>
              <w:tc>
                <w:tcPr>
                  <w:tcW w:w="1298" w:type="dxa"/>
                  <w:tcBorders>
                    <w:tl2br w:val="nil"/>
                    <w:tr2bl w:val="nil"/>
                  </w:tcBorders>
                  <w:vAlign w:val="center"/>
                </w:tcPr>
                <w:p w14:paraId="44516254">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1.5(2.5)</w:t>
                  </w:r>
                </w:p>
              </w:tc>
              <w:tc>
                <w:tcPr>
                  <w:tcW w:w="895" w:type="dxa"/>
                  <w:tcBorders>
                    <w:tl2br w:val="nil"/>
                    <w:tr2bl w:val="nil"/>
                  </w:tcBorders>
                  <w:vAlign w:val="center"/>
                </w:tcPr>
                <w:p w14:paraId="0017B271">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是</w:t>
                  </w:r>
                </w:p>
              </w:tc>
              <w:tc>
                <w:tcPr>
                  <w:tcW w:w="796" w:type="dxa"/>
                  <w:tcBorders>
                    <w:tl2br w:val="nil"/>
                    <w:tr2bl w:val="nil"/>
                  </w:tcBorders>
                  <w:vAlign w:val="center"/>
                </w:tcPr>
                <w:p w14:paraId="0B7BC3D3">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0</w:t>
                  </w:r>
                </w:p>
              </w:tc>
              <w:tc>
                <w:tcPr>
                  <w:tcW w:w="1594" w:type="dxa"/>
                  <w:vMerge w:val="continue"/>
                  <w:tcBorders>
                    <w:tl2br w:val="nil"/>
                    <w:tr2bl w:val="nil"/>
                  </w:tcBorders>
                  <w:vAlign w:val="center"/>
                </w:tcPr>
                <w:p w14:paraId="5994439A">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zh-CN"/>
                    </w:rPr>
                  </w:pPr>
                </w:p>
              </w:tc>
            </w:tr>
            <w:tr w14:paraId="0F2215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tl2br w:val="nil"/>
                    <w:tr2bl w:val="nil"/>
                  </w:tcBorders>
                  <w:vAlign w:val="center"/>
                </w:tcPr>
                <w:p w14:paraId="4A48BBA8">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zh-CN"/>
                    </w:rPr>
                  </w:pPr>
                </w:p>
              </w:tc>
              <w:tc>
                <w:tcPr>
                  <w:tcW w:w="1413" w:type="dxa"/>
                  <w:tcBorders>
                    <w:tl2br w:val="nil"/>
                    <w:tr2bl w:val="nil"/>
                  </w:tcBorders>
                  <w:vAlign w:val="center"/>
                </w:tcPr>
                <w:p w14:paraId="0D84A69D">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en-US" w:eastAsia="zh-CN"/>
                    </w:rPr>
                    <w:t>五日生化需氧量</w:t>
                  </w:r>
                  <w:r>
                    <w:rPr>
                      <w:rFonts w:hint="default" w:ascii="Times New Roman" w:hAnsi="Times New Roman" w:eastAsia="宋体" w:cs="Times New Roman"/>
                      <w:color w:val="auto"/>
                      <w:sz w:val="21"/>
                      <w:szCs w:val="21"/>
                      <w:highlight w:val="none"/>
                      <w:vertAlign w:val="baseline"/>
                      <w:lang w:val="zh-CN"/>
                    </w:rPr>
                    <w:t>（mg/L）</w:t>
                  </w:r>
                </w:p>
              </w:tc>
              <w:tc>
                <w:tcPr>
                  <w:tcW w:w="823" w:type="dxa"/>
                  <w:tcBorders>
                    <w:tl2br w:val="nil"/>
                    <w:tr2bl w:val="nil"/>
                  </w:tcBorders>
                  <w:vAlign w:val="center"/>
                </w:tcPr>
                <w:p w14:paraId="68835901">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0.99</w:t>
                  </w:r>
                </w:p>
              </w:tc>
              <w:tc>
                <w:tcPr>
                  <w:tcW w:w="1298" w:type="dxa"/>
                  <w:tcBorders>
                    <w:tl2br w:val="nil"/>
                    <w:tr2bl w:val="nil"/>
                  </w:tcBorders>
                  <w:vAlign w:val="center"/>
                </w:tcPr>
                <w:p w14:paraId="2615CA4E">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en-US" w:eastAsia="zh-CN"/>
                    </w:rPr>
                    <w:t>6</w:t>
                  </w:r>
                </w:p>
              </w:tc>
              <w:tc>
                <w:tcPr>
                  <w:tcW w:w="895" w:type="dxa"/>
                  <w:tcBorders>
                    <w:tl2br w:val="nil"/>
                    <w:tr2bl w:val="nil"/>
                  </w:tcBorders>
                  <w:vAlign w:val="center"/>
                </w:tcPr>
                <w:p w14:paraId="0D2260E3">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是</w:t>
                  </w:r>
                </w:p>
              </w:tc>
              <w:tc>
                <w:tcPr>
                  <w:tcW w:w="796" w:type="dxa"/>
                  <w:tcBorders>
                    <w:tl2br w:val="nil"/>
                    <w:tr2bl w:val="nil"/>
                  </w:tcBorders>
                  <w:vAlign w:val="center"/>
                </w:tcPr>
                <w:p w14:paraId="4DA69DF8">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0</w:t>
                  </w:r>
                </w:p>
              </w:tc>
              <w:tc>
                <w:tcPr>
                  <w:tcW w:w="1594" w:type="dxa"/>
                  <w:vMerge w:val="continue"/>
                  <w:tcBorders>
                    <w:tl2br w:val="nil"/>
                    <w:tr2bl w:val="nil"/>
                  </w:tcBorders>
                  <w:vAlign w:val="center"/>
                </w:tcPr>
                <w:p w14:paraId="1EEC4E45">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zh-CN"/>
                    </w:rPr>
                  </w:pPr>
                </w:p>
              </w:tc>
            </w:tr>
            <w:tr w14:paraId="290925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tl2br w:val="nil"/>
                    <w:tr2bl w:val="nil"/>
                  </w:tcBorders>
                  <w:vAlign w:val="center"/>
                </w:tcPr>
                <w:p w14:paraId="3B6E1F22">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zh-CN"/>
                    </w:rPr>
                  </w:pPr>
                </w:p>
              </w:tc>
              <w:tc>
                <w:tcPr>
                  <w:tcW w:w="1413" w:type="dxa"/>
                  <w:tcBorders>
                    <w:tl2br w:val="nil"/>
                    <w:tr2bl w:val="nil"/>
                  </w:tcBorders>
                  <w:vAlign w:val="center"/>
                </w:tcPr>
                <w:p w14:paraId="4DDEDE95">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悬浮物</w:t>
                  </w:r>
                  <w:r>
                    <w:rPr>
                      <w:rFonts w:hint="default" w:ascii="Times New Roman" w:hAnsi="Times New Roman" w:eastAsia="宋体" w:cs="Times New Roman"/>
                      <w:color w:val="auto"/>
                      <w:sz w:val="21"/>
                      <w:szCs w:val="21"/>
                      <w:highlight w:val="none"/>
                      <w:vertAlign w:val="baseline"/>
                      <w:lang w:val="zh-CN"/>
                    </w:rPr>
                    <w:t>（mg/L）</w:t>
                  </w:r>
                </w:p>
              </w:tc>
              <w:tc>
                <w:tcPr>
                  <w:tcW w:w="823" w:type="dxa"/>
                  <w:tcBorders>
                    <w:tl2br w:val="nil"/>
                    <w:tr2bl w:val="nil"/>
                  </w:tcBorders>
                  <w:vAlign w:val="center"/>
                </w:tcPr>
                <w:p w14:paraId="48F39285">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1.19</w:t>
                  </w:r>
                </w:p>
              </w:tc>
              <w:tc>
                <w:tcPr>
                  <w:tcW w:w="1298" w:type="dxa"/>
                  <w:tcBorders>
                    <w:tl2br w:val="nil"/>
                    <w:tr2bl w:val="nil"/>
                  </w:tcBorders>
                  <w:vAlign w:val="center"/>
                </w:tcPr>
                <w:p w14:paraId="77E99B3F">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w:t>
                  </w:r>
                </w:p>
              </w:tc>
              <w:tc>
                <w:tcPr>
                  <w:tcW w:w="895" w:type="dxa"/>
                  <w:tcBorders>
                    <w:tl2br w:val="nil"/>
                    <w:tr2bl w:val="nil"/>
                  </w:tcBorders>
                  <w:shd w:val="clear" w:color="auto" w:fill="auto"/>
                  <w:vAlign w:val="center"/>
                </w:tcPr>
                <w:p w14:paraId="2D2C53E7">
                  <w:pPr>
                    <w:numPr>
                      <w:ilvl w:val="0"/>
                      <w:numId w:val="0"/>
                    </w:numPr>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zh-CN" w:eastAsia="zh-CN" w:bidi="ar-SA"/>
                    </w:rPr>
                  </w:pPr>
                  <w:r>
                    <w:rPr>
                      <w:rFonts w:hint="default" w:ascii="Times New Roman" w:hAnsi="Times New Roman" w:eastAsia="宋体" w:cs="Times New Roman"/>
                      <w:color w:val="auto"/>
                      <w:sz w:val="21"/>
                      <w:szCs w:val="21"/>
                      <w:highlight w:val="none"/>
                      <w:vertAlign w:val="baseline"/>
                      <w:lang w:val="zh-CN"/>
                    </w:rPr>
                    <w:t>是</w:t>
                  </w:r>
                </w:p>
              </w:tc>
              <w:tc>
                <w:tcPr>
                  <w:tcW w:w="796" w:type="dxa"/>
                  <w:tcBorders>
                    <w:tl2br w:val="nil"/>
                    <w:tr2bl w:val="nil"/>
                  </w:tcBorders>
                  <w:shd w:val="clear" w:color="auto" w:fill="auto"/>
                  <w:vAlign w:val="center"/>
                </w:tcPr>
                <w:p w14:paraId="72798D4E">
                  <w:pPr>
                    <w:numPr>
                      <w:ilvl w:val="0"/>
                      <w:numId w:val="0"/>
                    </w:numPr>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zh-CN" w:eastAsia="zh-CN" w:bidi="ar-SA"/>
                    </w:rPr>
                  </w:pPr>
                  <w:r>
                    <w:rPr>
                      <w:rFonts w:hint="default" w:ascii="Times New Roman" w:hAnsi="Times New Roman" w:eastAsia="宋体" w:cs="Times New Roman"/>
                      <w:color w:val="auto"/>
                      <w:sz w:val="21"/>
                      <w:szCs w:val="21"/>
                      <w:highlight w:val="none"/>
                      <w:vertAlign w:val="baseline"/>
                      <w:lang w:val="zh-CN"/>
                    </w:rPr>
                    <w:t>0</w:t>
                  </w:r>
                </w:p>
              </w:tc>
              <w:tc>
                <w:tcPr>
                  <w:tcW w:w="1594" w:type="dxa"/>
                  <w:vMerge w:val="continue"/>
                  <w:tcBorders>
                    <w:tl2br w:val="nil"/>
                    <w:tr2bl w:val="nil"/>
                  </w:tcBorders>
                  <w:vAlign w:val="center"/>
                </w:tcPr>
                <w:p w14:paraId="145B35BE">
                  <w:pPr>
                    <w:numPr>
                      <w:ilvl w:val="0"/>
                      <w:numId w:val="0"/>
                    </w:numPr>
                    <w:adjustRightInd w:val="0"/>
                    <w:snapToGrid w:val="0"/>
                    <w:jc w:val="center"/>
                    <w:rPr>
                      <w:rFonts w:hint="default" w:ascii="Times New Roman" w:hAnsi="Times New Roman" w:eastAsia="宋体" w:cs="Times New Roman"/>
                      <w:color w:val="auto"/>
                      <w:sz w:val="21"/>
                      <w:szCs w:val="21"/>
                      <w:highlight w:val="none"/>
                      <w:vertAlign w:val="baseline"/>
                      <w:lang w:val="zh-CN"/>
                    </w:rPr>
                  </w:pPr>
                </w:p>
              </w:tc>
            </w:tr>
          </w:tbl>
          <w:p w14:paraId="3FC25A32">
            <w:pPr>
              <w:adjustRightInd w:val="0"/>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由上表数据可知，</w:t>
            </w:r>
            <w:r>
              <w:rPr>
                <w:rFonts w:hint="eastAsia" w:cs="Times New Roman"/>
                <w:color w:val="auto"/>
                <w:sz w:val="24"/>
                <w:highlight w:val="none"/>
                <w:lang w:val="zh-CN"/>
              </w:rPr>
              <w:t>北京新城禹潞环保科技有限责任公司—金桥基地第一污水处理厂</w:t>
            </w:r>
            <w:r>
              <w:rPr>
                <w:rFonts w:hint="default" w:ascii="Times New Roman" w:hAnsi="Times New Roman" w:eastAsia="宋体" w:cs="Times New Roman"/>
                <w:color w:val="auto"/>
                <w:sz w:val="24"/>
                <w:highlight w:val="none"/>
                <w:lang w:val="zh-CN"/>
              </w:rPr>
              <w:t>水质监测结果满足《城镇污水处理厂污染物排放标准》（DB11/890-2012）表1中的B标准，污水处理厂污水处理设备运行稳定，出水可稳定达标排放。本项目位于</w:t>
            </w:r>
            <w:r>
              <w:rPr>
                <w:rFonts w:hint="eastAsia" w:cs="Times New Roman"/>
                <w:color w:val="auto"/>
                <w:sz w:val="24"/>
                <w:highlight w:val="none"/>
                <w:lang w:val="zh-CN"/>
              </w:rPr>
              <w:t>北京新城禹潞环保科技有限责任公司—金桥基地第一污水处理厂</w:t>
            </w:r>
            <w:r>
              <w:rPr>
                <w:rFonts w:hint="default" w:ascii="Times New Roman" w:hAnsi="Times New Roman" w:eastAsia="宋体" w:cs="Times New Roman"/>
                <w:color w:val="auto"/>
                <w:sz w:val="24"/>
                <w:highlight w:val="none"/>
                <w:lang w:val="zh-CN"/>
              </w:rPr>
              <w:t>收水范围内，排水量完全可被现有污水管网收纳</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lang w:val="zh-CN"/>
              </w:rPr>
              <w:t>项目排水水质能够符合《水污染物综合排放标准》（DB11/307-2013）中排入公共污水处理系统的水污染物排放限值，不会给市政管网造成不利影响。因此，本项目废水排入市政污水管网，最终进入</w:t>
            </w:r>
            <w:r>
              <w:rPr>
                <w:rFonts w:hint="eastAsia" w:cs="Times New Roman"/>
                <w:color w:val="auto"/>
                <w:sz w:val="24"/>
                <w:highlight w:val="none"/>
                <w:lang w:val="zh-CN"/>
              </w:rPr>
              <w:t>北京新城禹潞环保科技有限责任公司—金桥基地第一污水处理厂</w:t>
            </w:r>
            <w:r>
              <w:rPr>
                <w:rFonts w:hint="default" w:ascii="Times New Roman" w:hAnsi="Times New Roman" w:eastAsia="宋体" w:cs="Times New Roman"/>
                <w:color w:val="auto"/>
                <w:sz w:val="24"/>
                <w:highlight w:val="none"/>
                <w:lang w:val="zh-CN"/>
              </w:rPr>
              <w:t>处理是可行的。</w:t>
            </w:r>
          </w:p>
          <w:p w14:paraId="20DAAA22">
            <w:pPr>
              <w:adjustRightInd w:val="0"/>
              <w:snapToGrid w:val="0"/>
              <w:spacing w:line="360" w:lineRule="auto"/>
              <w:ind w:firstLine="361" w:firstLineChars="15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eastAsia="zh-CN"/>
              </w:rPr>
              <w:t>（</w:t>
            </w:r>
            <w:r>
              <w:rPr>
                <w:rFonts w:hint="eastAsia"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废水监测计划</w:t>
            </w:r>
          </w:p>
          <w:p w14:paraId="1C385784">
            <w:pPr>
              <w:adjustRightInd w:val="0"/>
              <w:snapToGrid w:val="0"/>
              <w:spacing w:line="360" w:lineRule="auto"/>
              <w:ind w:firstLine="360" w:firstLineChars="15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根据《排污许可证申请与核发技术规范总则》(HJ942-2018)、《排污单位自行监测技术指南 总则》(HJ819-2017)，本项目废水监测计划详见下表。</w:t>
            </w:r>
          </w:p>
          <w:p w14:paraId="252F95CD">
            <w:pPr>
              <w:numPr>
                <w:ilvl w:val="0"/>
                <w:numId w:val="40"/>
              </w:numPr>
              <w:adjustRightInd w:val="0"/>
              <w:snapToGrid w:val="0"/>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项目废水监测计划</w:t>
            </w:r>
          </w:p>
          <w:tbl>
            <w:tblPr>
              <w:tblStyle w:val="23"/>
              <w:tblW w:w="7643"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106"/>
              <w:gridCol w:w="3220"/>
              <w:gridCol w:w="1314"/>
              <w:gridCol w:w="1288"/>
            </w:tblGrid>
            <w:tr w14:paraId="160C0A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467" w:type="pct"/>
                  <w:tcBorders>
                    <w:tl2br w:val="nil"/>
                    <w:tr2bl w:val="nil"/>
                  </w:tcBorders>
                  <w:vAlign w:val="center"/>
                </w:tcPr>
                <w:p w14:paraId="2282F8BD">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时段</w:t>
                  </w:r>
                </w:p>
              </w:tc>
              <w:tc>
                <w:tcPr>
                  <w:tcW w:w="723" w:type="pct"/>
                  <w:tcBorders>
                    <w:tl2br w:val="nil"/>
                    <w:tr2bl w:val="nil"/>
                  </w:tcBorders>
                  <w:vAlign w:val="center"/>
                </w:tcPr>
                <w:p w14:paraId="7DC71777">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监测内容</w:t>
                  </w:r>
                </w:p>
              </w:tc>
              <w:tc>
                <w:tcPr>
                  <w:tcW w:w="2106" w:type="pct"/>
                  <w:tcBorders>
                    <w:tl2br w:val="nil"/>
                    <w:tr2bl w:val="nil"/>
                  </w:tcBorders>
                  <w:vAlign w:val="center"/>
                </w:tcPr>
                <w:p w14:paraId="7AB68C23">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监测因子</w:t>
                  </w:r>
                </w:p>
              </w:tc>
              <w:tc>
                <w:tcPr>
                  <w:tcW w:w="859" w:type="pct"/>
                  <w:tcBorders>
                    <w:tl2br w:val="nil"/>
                    <w:tr2bl w:val="nil"/>
                  </w:tcBorders>
                  <w:vAlign w:val="center"/>
                </w:tcPr>
                <w:p w14:paraId="4D7FA380">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监测点位</w:t>
                  </w:r>
                </w:p>
              </w:tc>
              <w:tc>
                <w:tcPr>
                  <w:tcW w:w="842" w:type="pct"/>
                  <w:tcBorders>
                    <w:tl2br w:val="nil"/>
                    <w:tr2bl w:val="nil"/>
                  </w:tcBorders>
                  <w:vAlign w:val="center"/>
                </w:tcPr>
                <w:p w14:paraId="7A369332">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监测频次</w:t>
                  </w:r>
                </w:p>
              </w:tc>
            </w:tr>
            <w:tr w14:paraId="343268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67" w:type="pct"/>
                  <w:vMerge w:val="restart"/>
                  <w:tcBorders>
                    <w:tl2br w:val="nil"/>
                    <w:tr2bl w:val="nil"/>
                  </w:tcBorders>
                  <w:vAlign w:val="center"/>
                </w:tcPr>
                <w:p w14:paraId="6FCA8E39">
                  <w:pPr>
                    <w:widowControl/>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运营期</w:t>
                  </w:r>
                </w:p>
              </w:tc>
              <w:tc>
                <w:tcPr>
                  <w:tcW w:w="723" w:type="pct"/>
                  <w:vMerge w:val="restart"/>
                  <w:tcBorders>
                    <w:tl2br w:val="nil"/>
                    <w:tr2bl w:val="nil"/>
                  </w:tcBorders>
                  <w:vAlign w:val="center"/>
                </w:tcPr>
                <w:p w14:paraId="13E489FF">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废水</w:t>
                  </w:r>
                </w:p>
              </w:tc>
              <w:tc>
                <w:tcPr>
                  <w:tcW w:w="2106" w:type="pct"/>
                  <w:tcBorders>
                    <w:tl2br w:val="nil"/>
                    <w:tr2bl w:val="nil"/>
                  </w:tcBorders>
                  <w:vAlign w:val="center"/>
                </w:tcPr>
                <w:p w14:paraId="35C71D85">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COD</w:t>
                  </w:r>
                  <w:r>
                    <w:rPr>
                      <w:rFonts w:hint="default" w:ascii="Times New Roman" w:hAnsi="Times New Roman" w:eastAsia="宋体" w:cs="Times New Roman"/>
                      <w:color w:val="auto"/>
                      <w:szCs w:val="21"/>
                      <w:highlight w:val="none"/>
                      <w:vertAlign w:val="subscript"/>
                    </w:rPr>
                    <w:t>Cr</w:t>
                  </w:r>
                  <w:r>
                    <w:rPr>
                      <w:rFonts w:hint="default" w:ascii="Times New Roman" w:hAnsi="Times New Roman" w:eastAsia="宋体" w:cs="Times New Roman"/>
                      <w:color w:val="auto"/>
                      <w:szCs w:val="21"/>
                      <w:highlight w:val="none"/>
                    </w:rPr>
                    <w:t>、BOD</w:t>
                  </w:r>
                  <w:r>
                    <w:rPr>
                      <w:rFonts w:hint="default" w:ascii="Times New Roman" w:hAnsi="Times New Roman" w:eastAsia="宋体" w:cs="Times New Roman"/>
                      <w:color w:val="auto"/>
                      <w:szCs w:val="21"/>
                      <w:highlight w:val="none"/>
                      <w:vertAlign w:val="subscript"/>
                    </w:rPr>
                    <w:t>5</w:t>
                  </w:r>
                  <w:r>
                    <w:rPr>
                      <w:rFonts w:hint="default" w:ascii="Times New Roman" w:hAnsi="Times New Roman" w:eastAsia="宋体" w:cs="Times New Roman"/>
                      <w:color w:val="auto"/>
                      <w:szCs w:val="21"/>
                      <w:highlight w:val="none"/>
                    </w:rPr>
                    <w:t>、SS、NH</w:t>
                  </w:r>
                  <w:r>
                    <w:rPr>
                      <w:rFonts w:hint="default" w:ascii="Times New Roman" w:hAnsi="Times New Roman" w:eastAsia="宋体" w:cs="Times New Roman"/>
                      <w:color w:val="auto"/>
                      <w:szCs w:val="21"/>
                      <w:highlight w:val="none"/>
                      <w:vertAlign w:val="subscript"/>
                    </w:rPr>
                    <w:t>3</w:t>
                  </w:r>
                  <w:r>
                    <w:rPr>
                      <w:rFonts w:hint="default" w:ascii="Times New Roman" w:hAnsi="Times New Roman" w:eastAsia="宋体" w:cs="Times New Roman"/>
                      <w:color w:val="auto"/>
                      <w:szCs w:val="21"/>
                      <w:highlight w:val="none"/>
                    </w:rPr>
                    <w:t>-N</w:t>
                  </w:r>
                </w:p>
              </w:tc>
              <w:tc>
                <w:tcPr>
                  <w:tcW w:w="859" w:type="pct"/>
                  <w:vMerge w:val="restart"/>
                  <w:tcBorders>
                    <w:tl2br w:val="nil"/>
                    <w:tr2bl w:val="nil"/>
                  </w:tcBorders>
                  <w:vAlign w:val="center"/>
                </w:tcPr>
                <w:p w14:paraId="0BB6B45D">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废水总排口</w:t>
                  </w:r>
                </w:p>
              </w:tc>
              <w:tc>
                <w:tcPr>
                  <w:tcW w:w="842" w:type="pct"/>
                  <w:tcBorders>
                    <w:tl2br w:val="nil"/>
                    <w:tr2bl w:val="nil"/>
                  </w:tcBorders>
                  <w:vAlign w:val="center"/>
                </w:tcPr>
                <w:p w14:paraId="5B5B8794">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每季度1次</w:t>
                  </w:r>
                </w:p>
              </w:tc>
            </w:tr>
            <w:tr w14:paraId="345236F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67" w:type="pct"/>
                  <w:vMerge w:val="continue"/>
                  <w:tcBorders>
                    <w:tl2br w:val="nil"/>
                    <w:tr2bl w:val="nil"/>
                  </w:tcBorders>
                  <w:vAlign w:val="center"/>
                </w:tcPr>
                <w:p w14:paraId="5C22CD2A">
                  <w:pPr>
                    <w:widowControl/>
                    <w:snapToGrid w:val="0"/>
                    <w:jc w:val="center"/>
                    <w:rPr>
                      <w:rFonts w:hint="default" w:ascii="Times New Roman" w:hAnsi="Times New Roman" w:eastAsia="宋体" w:cs="Times New Roman"/>
                      <w:bCs/>
                      <w:color w:val="auto"/>
                      <w:szCs w:val="21"/>
                      <w:highlight w:val="none"/>
                    </w:rPr>
                  </w:pPr>
                </w:p>
              </w:tc>
              <w:tc>
                <w:tcPr>
                  <w:tcW w:w="723" w:type="pct"/>
                  <w:vMerge w:val="continue"/>
                  <w:tcBorders>
                    <w:tl2br w:val="nil"/>
                    <w:tr2bl w:val="nil"/>
                  </w:tcBorders>
                  <w:vAlign w:val="center"/>
                </w:tcPr>
                <w:p w14:paraId="193B89C1">
                  <w:pPr>
                    <w:adjustRightInd w:val="0"/>
                    <w:snapToGrid w:val="0"/>
                    <w:jc w:val="center"/>
                    <w:rPr>
                      <w:rFonts w:hint="default" w:ascii="Times New Roman" w:hAnsi="Times New Roman" w:eastAsia="宋体" w:cs="Times New Roman"/>
                      <w:bCs/>
                      <w:color w:val="auto"/>
                      <w:szCs w:val="21"/>
                      <w:highlight w:val="none"/>
                    </w:rPr>
                  </w:pPr>
                </w:p>
              </w:tc>
              <w:tc>
                <w:tcPr>
                  <w:tcW w:w="2106" w:type="pct"/>
                  <w:tcBorders>
                    <w:tl2br w:val="nil"/>
                    <w:tr2bl w:val="nil"/>
                  </w:tcBorders>
                  <w:vAlign w:val="center"/>
                </w:tcPr>
                <w:p w14:paraId="2195957B">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pH</w:t>
                  </w:r>
                  <w:r>
                    <w:rPr>
                      <w:rFonts w:hint="default" w:ascii="Times New Roman" w:hAnsi="Times New Roman" w:eastAsia="宋体" w:cs="Times New Roman"/>
                      <w:color w:val="auto"/>
                      <w:szCs w:val="21"/>
                      <w:highlight w:val="none"/>
                    </w:rPr>
                    <w:t>、可溶性固体总量</w:t>
                  </w:r>
                </w:p>
              </w:tc>
              <w:tc>
                <w:tcPr>
                  <w:tcW w:w="859" w:type="pct"/>
                  <w:vMerge w:val="continue"/>
                  <w:tcBorders>
                    <w:tl2br w:val="nil"/>
                    <w:tr2bl w:val="nil"/>
                  </w:tcBorders>
                  <w:vAlign w:val="center"/>
                </w:tcPr>
                <w:p w14:paraId="59981DEF">
                  <w:pPr>
                    <w:adjustRightInd w:val="0"/>
                    <w:snapToGrid w:val="0"/>
                    <w:jc w:val="center"/>
                    <w:rPr>
                      <w:rFonts w:hint="default" w:ascii="Times New Roman" w:hAnsi="Times New Roman" w:eastAsia="宋体" w:cs="Times New Roman"/>
                      <w:bCs/>
                      <w:color w:val="auto"/>
                      <w:szCs w:val="21"/>
                      <w:highlight w:val="none"/>
                    </w:rPr>
                  </w:pPr>
                </w:p>
              </w:tc>
              <w:tc>
                <w:tcPr>
                  <w:tcW w:w="842" w:type="pct"/>
                  <w:tcBorders>
                    <w:tl2br w:val="nil"/>
                    <w:tr2bl w:val="nil"/>
                  </w:tcBorders>
                  <w:vAlign w:val="center"/>
                </w:tcPr>
                <w:p w14:paraId="29C4DEB0">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每年1次</w:t>
                  </w:r>
                </w:p>
              </w:tc>
            </w:tr>
          </w:tbl>
          <w:p w14:paraId="68718DFA">
            <w:pPr>
              <w:adjustRightInd w:val="0"/>
              <w:spacing w:line="360" w:lineRule="auto"/>
              <w:ind w:firstLine="3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bCs/>
                <w:color w:val="auto"/>
                <w:spacing w:val="-10"/>
                <w:szCs w:val="21"/>
                <w:highlight w:val="none"/>
              </w:rPr>
              <w:t>（注：</w:t>
            </w:r>
            <w:r>
              <w:rPr>
                <w:rFonts w:hint="default" w:ascii="Times New Roman" w:hAnsi="Times New Roman" w:eastAsia="宋体" w:cs="Times New Roman"/>
                <w:bCs/>
                <w:color w:val="auto"/>
                <w:szCs w:val="21"/>
                <w:highlight w:val="none"/>
              </w:rPr>
              <w:t>废水监测计划参照《</w:t>
            </w:r>
            <w:r>
              <w:rPr>
                <w:rFonts w:hint="default" w:ascii="Times New Roman" w:hAnsi="Times New Roman" w:eastAsia="宋体" w:cs="Times New Roman"/>
                <w:bCs/>
                <w:color w:val="auto"/>
                <w:szCs w:val="21"/>
                <w:highlight w:val="none"/>
                <w:lang w:val="ru-RU"/>
              </w:rPr>
              <w:t>排污单位自行监测技术指南 总则</w:t>
            </w:r>
            <w:r>
              <w:rPr>
                <w:rFonts w:hint="default" w:ascii="Times New Roman" w:hAnsi="Times New Roman" w:eastAsia="宋体" w:cs="Times New Roman"/>
                <w:bCs/>
                <w:color w:val="auto"/>
                <w:szCs w:val="21"/>
                <w:highlight w:val="none"/>
              </w:rPr>
              <w:t>》（HJ819-2017）</w:t>
            </w:r>
            <w:r>
              <w:rPr>
                <w:rFonts w:hint="default" w:ascii="Times New Roman" w:hAnsi="Times New Roman" w:eastAsia="宋体" w:cs="Times New Roman"/>
                <w:bCs/>
                <w:color w:val="auto"/>
                <w:spacing w:val="-10"/>
                <w:szCs w:val="21"/>
                <w:highlight w:val="none"/>
              </w:rPr>
              <w:t>）</w:t>
            </w:r>
          </w:p>
          <w:p w14:paraId="4BE7B8D8">
            <w:pPr>
              <w:numPr>
                <w:ilvl w:val="0"/>
                <w:numId w:val="38"/>
              </w:numPr>
              <w:adjustRightInd w:val="0"/>
              <w:snapToGrid w:val="0"/>
              <w:spacing w:line="360" w:lineRule="auto"/>
              <w:rPr>
                <w:rFonts w:hint="default" w:ascii="Times New Roman" w:hAnsi="Times New Roman" w:eastAsia="宋体" w:cs="Times New Roman"/>
                <w:b/>
                <w:bCs/>
                <w:color w:val="auto"/>
                <w:spacing w:val="-10"/>
                <w:sz w:val="24"/>
                <w:highlight w:val="none"/>
              </w:rPr>
            </w:pPr>
            <w:r>
              <w:rPr>
                <w:rFonts w:hint="default" w:ascii="Times New Roman" w:hAnsi="Times New Roman" w:eastAsia="宋体" w:cs="Times New Roman"/>
                <w:b/>
                <w:bCs/>
                <w:color w:val="auto"/>
                <w:spacing w:val="-10"/>
                <w:sz w:val="24"/>
                <w:highlight w:val="none"/>
              </w:rPr>
              <w:t>声环境影响分析及环境保护措施</w:t>
            </w:r>
          </w:p>
          <w:p w14:paraId="68B90EC1">
            <w:pPr>
              <w:adjustRightIn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（1）噪声源强</w:t>
            </w:r>
          </w:p>
          <w:p w14:paraId="0832F1B2">
            <w:pPr>
              <w:adjustRightInd w:val="0"/>
              <w:spacing w:line="360" w:lineRule="auto"/>
              <w:ind w:firstLine="480" w:firstLineChars="200"/>
              <w:rPr>
                <w:rFonts w:hint="default" w:ascii="Times New Roman" w:hAnsi="Times New Roman" w:eastAsia="宋体" w:cs="Times New Roman"/>
                <w:color w:val="auto"/>
                <w:sz w:val="24"/>
                <w:highlight w:val="none"/>
                <w:lang w:val="zh-CN" w:eastAsia="zh-CN"/>
              </w:rPr>
            </w:pPr>
            <w:r>
              <w:rPr>
                <w:rFonts w:hint="eastAsia" w:ascii="Times New Roman" w:hAnsi="Times New Roman" w:eastAsia="宋体" w:cs="Times New Roman"/>
                <w:color w:val="auto"/>
                <w:sz w:val="24"/>
                <w:highlight w:val="none"/>
                <w:lang w:val="en-US" w:eastAsia="zh-CN"/>
              </w:rPr>
              <w:t>本</w:t>
            </w:r>
            <w:r>
              <w:rPr>
                <w:rFonts w:hint="default" w:ascii="Times New Roman" w:hAnsi="Times New Roman" w:eastAsia="宋体" w:cs="Times New Roman"/>
                <w:color w:val="auto"/>
                <w:sz w:val="24"/>
                <w:highlight w:val="none"/>
                <w:lang w:val="en-US" w:eastAsia="zh-CN"/>
              </w:rPr>
              <w:t>项目噪声源为液相色谱质谱联用仪</w:t>
            </w:r>
            <w:r>
              <w:rPr>
                <w:rFonts w:hint="eastAsia" w:ascii="Times New Roman" w:hAnsi="Times New Roman" w:eastAsia="宋体" w:cs="Times New Roman"/>
                <w:color w:val="auto"/>
                <w:sz w:val="24"/>
                <w:highlight w:val="none"/>
                <w:lang w:val="en-US" w:eastAsia="zh-CN"/>
              </w:rPr>
              <w:t>、通风橱风机、</w:t>
            </w:r>
            <w:r>
              <w:rPr>
                <w:rFonts w:hint="default" w:ascii="Times New Roman" w:hAnsi="Times New Roman" w:eastAsia="宋体" w:cs="Times New Roman"/>
                <w:color w:val="auto"/>
                <w:sz w:val="24"/>
                <w:highlight w:val="none"/>
                <w:lang w:val="en-US" w:eastAsia="zh-CN"/>
              </w:rPr>
              <w:t>电感耦合等离子体发射光谱仪</w:t>
            </w:r>
            <w:r>
              <w:rPr>
                <w:rFonts w:hint="eastAsia" w:ascii="Times New Roman" w:hAnsi="Times New Roman" w:eastAsia="宋体" w:cs="Times New Roman"/>
                <w:color w:val="auto"/>
                <w:sz w:val="24"/>
                <w:highlight w:val="none"/>
                <w:lang w:val="en-US" w:eastAsia="zh-CN"/>
              </w:rPr>
              <w:t>等室内声源、空调外机、废气治理设施等室外声源，各噪声源</w:t>
            </w:r>
            <w:r>
              <w:rPr>
                <w:rFonts w:hint="default" w:ascii="Times New Roman" w:hAnsi="Times New Roman" w:eastAsia="宋体" w:cs="Times New Roman"/>
                <w:color w:val="auto"/>
                <w:sz w:val="24"/>
                <w:highlight w:val="none"/>
                <w:lang w:val="en-US" w:eastAsia="zh-CN"/>
              </w:rPr>
              <w:t>产噪情况详见下表。</w:t>
            </w:r>
          </w:p>
          <w:p w14:paraId="0C2B513F">
            <w:pPr>
              <w:numPr>
                <w:ilvl w:val="0"/>
                <w:numId w:val="40"/>
              </w:numPr>
              <w:adjustRightInd w:val="0"/>
              <w:spacing w:line="360" w:lineRule="auto"/>
              <w:ind w:left="425" w:leftChars="0" w:hanging="425" w:firstLineChars="0"/>
              <w:jc w:val="center"/>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sz w:val="24"/>
                <w:highlight w:val="none"/>
              </w:rPr>
              <w:t>本项目噪声源强调查清单（室外声源）</w:t>
            </w:r>
          </w:p>
          <w:tbl>
            <w:tblPr>
              <w:tblStyle w:val="24"/>
              <w:tblW w:w="7518" w:type="dxa"/>
              <w:tblInd w:w="5"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87"/>
              <w:gridCol w:w="1358"/>
              <w:gridCol w:w="720"/>
              <w:gridCol w:w="807"/>
              <w:gridCol w:w="709"/>
              <w:gridCol w:w="960"/>
              <w:gridCol w:w="840"/>
              <w:gridCol w:w="927"/>
              <w:gridCol w:w="710"/>
            </w:tblGrid>
            <w:tr w14:paraId="67F0BB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trPr>
              <w:tc>
                <w:tcPr>
                  <w:tcW w:w="487" w:type="dxa"/>
                  <w:vMerge w:val="restart"/>
                  <w:tcBorders>
                    <w:tl2br w:val="nil"/>
                    <w:tr2bl w:val="nil"/>
                  </w:tcBorders>
                  <w:vAlign w:val="center"/>
                </w:tcPr>
                <w:p w14:paraId="699740BB">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1358" w:type="dxa"/>
                  <w:vMerge w:val="restart"/>
                  <w:tcBorders>
                    <w:tl2br w:val="nil"/>
                    <w:tr2bl w:val="nil"/>
                  </w:tcBorders>
                  <w:vAlign w:val="center"/>
                </w:tcPr>
                <w:p w14:paraId="7B3B815C">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声源名称</w:t>
                  </w:r>
                </w:p>
              </w:tc>
              <w:tc>
                <w:tcPr>
                  <w:tcW w:w="2236" w:type="dxa"/>
                  <w:gridSpan w:val="3"/>
                  <w:tcBorders>
                    <w:tl2br w:val="nil"/>
                    <w:tr2bl w:val="nil"/>
                  </w:tcBorders>
                  <w:vAlign w:val="center"/>
                </w:tcPr>
                <w:p w14:paraId="3722948C">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空间相对位置/m</w:t>
                  </w:r>
                </w:p>
              </w:tc>
              <w:tc>
                <w:tcPr>
                  <w:tcW w:w="960" w:type="dxa"/>
                  <w:vMerge w:val="restart"/>
                  <w:tcBorders>
                    <w:tl2br w:val="nil"/>
                    <w:tr2bl w:val="nil"/>
                  </w:tcBorders>
                  <w:vAlign w:val="center"/>
                </w:tcPr>
                <w:p w14:paraId="7C2C0732">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声功率级/dB(A)</w:t>
                  </w:r>
                </w:p>
              </w:tc>
              <w:tc>
                <w:tcPr>
                  <w:tcW w:w="840" w:type="dxa"/>
                  <w:vMerge w:val="restart"/>
                  <w:tcBorders>
                    <w:tl2br w:val="nil"/>
                    <w:tr2bl w:val="nil"/>
                  </w:tcBorders>
                  <w:vAlign w:val="center"/>
                </w:tcPr>
                <w:p w14:paraId="29EE943C">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声源控制措施</w:t>
                  </w:r>
                </w:p>
              </w:tc>
              <w:tc>
                <w:tcPr>
                  <w:tcW w:w="927" w:type="dxa"/>
                  <w:vMerge w:val="restart"/>
                  <w:tcBorders>
                    <w:tl2br w:val="nil"/>
                    <w:tr2bl w:val="nil"/>
                  </w:tcBorders>
                  <w:vAlign w:val="center"/>
                </w:tcPr>
                <w:p w14:paraId="6AB5D121">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排放强度</w:t>
                  </w:r>
                  <w:r>
                    <w:rPr>
                      <w:rFonts w:hint="default" w:ascii="Times New Roman" w:hAnsi="Times New Roman" w:eastAsia="宋体" w:cs="Times New Roman"/>
                      <w:b/>
                      <w:bCs/>
                      <w:color w:val="auto"/>
                      <w:szCs w:val="21"/>
                      <w:highlight w:val="none"/>
                    </w:rPr>
                    <w:t>/dB(A)</w:t>
                  </w:r>
                </w:p>
              </w:tc>
              <w:tc>
                <w:tcPr>
                  <w:tcW w:w="710" w:type="dxa"/>
                  <w:vMerge w:val="restart"/>
                  <w:tcBorders>
                    <w:tl2br w:val="nil"/>
                    <w:tr2bl w:val="nil"/>
                  </w:tcBorders>
                  <w:shd w:val="clear" w:color="auto" w:fill="auto"/>
                  <w:vAlign w:val="center"/>
                </w:tcPr>
                <w:p w14:paraId="305564B0">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运行时段</w:t>
                  </w:r>
                </w:p>
              </w:tc>
            </w:tr>
            <w:tr w14:paraId="6442E4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trPr>
              <w:tc>
                <w:tcPr>
                  <w:tcW w:w="487" w:type="dxa"/>
                  <w:vMerge w:val="continue"/>
                  <w:tcBorders>
                    <w:tl2br w:val="nil"/>
                    <w:tr2bl w:val="nil"/>
                  </w:tcBorders>
                  <w:vAlign w:val="center"/>
                </w:tcPr>
                <w:p w14:paraId="151F251C">
                  <w:pPr>
                    <w:adjustRightInd w:val="0"/>
                    <w:snapToGrid w:val="0"/>
                    <w:jc w:val="center"/>
                    <w:rPr>
                      <w:rFonts w:hint="default" w:ascii="Times New Roman" w:hAnsi="Times New Roman" w:eastAsia="宋体" w:cs="Times New Roman"/>
                      <w:b/>
                      <w:bCs/>
                      <w:color w:val="auto"/>
                      <w:szCs w:val="21"/>
                      <w:highlight w:val="none"/>
                    </w:rPr>
                  </w:pPr>
                </w:p>
              </w:tc>
              <w:tc>
                <w:tcPr>
                  <w:tcW w:w="1358" w:type="dxa"/>
                  <w:vMerge w:val="continue"/>
                  <w:tcBorders>
                    <w:tl2br w:val="nil"/>
                    <w:tr2bl w:val="nil"/>
                  </w:tcBorders>
                  <w:vAlign w:val="center"/>
                </w:tcPr>
                <w:p w14:paraId="421036B3">
                  <w:pPr>
                    <w:adjustRightInd w:val="0"/>
                    <w:snapToGrid w:val="0"/>
                    <w:jc w:val="center"/>
                    <w:rPr>
                      <w:rFonts w:hint="default" w:ascii="Times New Roman" w:hAnsi="Times New Roman" w:eastAsia="宋体" w:cs="Times New Roman"/>
                      <w:b/>
                      <w:bCs/>
                      <w:color w:val="auto"/>
                      <w:szCs w:val="21"/>
                      <w:highlight w:val="none"/>
                    </w:rPr>
                  </w:pPr>
                </w:p>
              </w:tc>
              <w:tc>
                <w:tcPr>
                  <w:tcW w:w="720" w:type="dxa"/>
                  <w:tcBorders>
                    <w:tl2br w:val="nil"/>
                    <w:tr2bl w:val="nil"/>
                  </w:tcBorders>
                  <w:vAlign w:val="center"/>
                </w:tcPr>
                <w:p w14:paraId="3F4FFCFE">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X</w:t>
                  </w:r>
                </w:p>
              </w:tc>
              <w:tc>
                <w:tcPr>
                  <w:tcW w:w="807" w:type="dxa"/>
                  <w:tcBorders>
                    <w:tl2br w:val="nil"/>
                    <w:tr2bl w:val="nil"/>
                  </w:tcBorders>
                  <w:vAlign w:val="center"/>
                </w:tcPr>
                <w:p w14:paraId="6DE1D877">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Y</w:t>
                  </w:r>
                </w:p>
              </w:tc>
              <w:tc>
                <w:tcPr>
                  <w:tcW w:w="709" w:type="dxa"/>
                  <w:tcBorders>
                    <w:tl2br w:val="nil"/>
                    <w:tr2bl w:val="nil"/>
                  </w:tcBorders>
                  <w:vAlign w:val="center"/>
                </w:tcPr>
                <w:p w14:paraId="39AB8EBD">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Z</w:t>
                  </w:r>
                </w:p>
              </w:tc>
              <w:tc>
                <w:tcPr>
                  <w:tcW w:w="960" w:type="dxa"/>
                  <w:vMerge w:val="continue"/>
                  <w:tcBorders>
                    <w:tl2br w:val="nil"/>
                    <w:tr2bl w:val="nil"/>
                  </w:tcBorders>
                  <w:vAlign w:val="center"/>
                </w:tcPr>
                <w:p w14:paraId="25F9DA04">
                  <w:pPr>
                    <w:adjustRightInd w:val="0"/>
                    <w:snapToGrid w:val="0"/>
                    <w:jc w:val="center"/>
                    <w:rPr>
                      <w:rFonts w:hint="default" w:ascii="Times New Roman" w:hAnsi="Times New Roman" w:eastAsia="宋体" w:cs="Times New Roman"/>
                      <w:b/>
                      <w:bCs/>
                      <w:color w:val="auto"/>
                      <w:szCs w:val="21"/>
                      <w:highlight w:val="none"/>
                    </w:rPr>
                  </w:pPr>
                </w:p>
              </w:tc>
              <w:tc>
                <w:tcPr>
                  <w:tcW w:w="840" w:type="dxa"/>
                  <w:vMerge w:val="continue"/>
                  <w:tcBorders>
                    <w:tl2br w:val="nil"/>
                    <w:tr2bl w:val="nil"/>
                  </w:tcBorders>
                  <w:vAlign w:val="center"/>
                </w:tcPr>
                <w:p w14:paraId="02212153">
                  <w:pPr>
                    <w:adjustRightInd w:val="0"/>
                    <w:snapToGrid w:val="0"/>
                    <w:jc w:val="center"/>
                    <w:rPr>
                      <w:rFonts w:hint="default" w:ascii="Times New Roman" w:hAnsi="Times New Roman" w:eastAsia="宋体" w:cs="Times New Roman"/>
                      <w:b/>
                      <w:bCs/>
                      <w:color w:val="auto"/>
                      <w:szCs w:val="21"/>
                      <w:highlight w:val="none"/>
                    </w:rPr>
                  </w:pPr>
                </w:p>
              </w:tc>
              <w:tc>
                <w:tcPr>
                  <w:tcW w:w="927" w:type="dxa"/>
                  <w:vMerge w:val="continue"/>
                  <w:tcBorders>
                    <w:tl2br w:val="nil"/>
                    <w:tr2bl w:val="nil"/>
                  </w:tcBorders>
                  <w:vAlign w:val="center"/>
                </w:tcPr>
                <w:p w14:paraId="6DC235D0">
                  <w:pPr>
                    <w:adjustRightInd w:val="0"/>
                    <w:snapToGrid w:val="0"/>
                    <w:jc w:val="center"/>
                    <w:rPr>
                      <w:rFonts w:hint="default" w:ascii="Times New Roman" w:hAnsi="Times New Roman" w:eastAsia="宋体" w:cs="Times New Roman"/>
                      <w:b/>
                      <w:bCs/>
                      <w:color w:val="auto"/>
                      <w:szCs w:val="21"/>
                      <w:highlight w:val="none"/>
                    </w:rPr>
                  </w:pPr>
                </w:p>
              </w:tc>
              <w:tc>
                <w:tcPr>
                  <w:tcW w:w="710" w:type="dxa"/>
                  <w:vMerge w:val="continue"/>
                  <w:tcBorders>
                    <w:tl2br w:val="nil"/>
                    <w:tr2bl w:val="nil"/>
                  </w:tcBorders>
                  <w:vAlign w:val="center"/>
                </w:tcPr>
                <w:p w14:paraId="230C1F91">
                  <w:pPr>
                    <w:adjustRightInd w:val="0"/>
                    <w:snapToGrid w:val="0"/>
                    <w:jc w:val="center"/>
                    <w:rPr>
                      <w:rFonts w:hint="default" w:ascii="Times New Roman" w:hAnsi="Times New Roman" w:eastAsia="宋体" w:cs="Times New Roman"/>
                      <w:b/>
                      <w:bCs/>
                      <w:color w:val="auto"/>
                      <w:szCs w:val="21"/>
                      <w:highlight w:val="none"/>
                    </w:rPr>
                  </w:pPr>
                </w:p>
              </w:tc>
            </w:tr>
            <w:tr w14:paraId="2198CA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70" w:hRule="atLeast"/>
              </w:trPr>
              <w:tc>
                <w:tcPr>
                  <w:tcW w:w="487" w:type="dxa"/>
                  <w:tcBorders>
                    <w:tl2br w:val="nil"/>
                    <w:tr2bl w:val="nil"/>
                  </w:tcBorders>
                  <w:vAlign w:val="center"/>
                </w:tcPr>
                <w:p w14:paraId="7DB37CB1">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1</w:t>
                  </w:r>
                </w:p>
              </w:tc>
              <w:tc>
                <w:tcPr>
                  <w:tcW w:w="1358" w:type="dxa"/>
                  <w:tcBorders>
                    <w:tl2br w:val="nil"/>
                    <w:tr2bl w:val="nil"/>
                  </w:tcBorders>
                  <w:shd w:val="clear" w:color="auto" w:fill="FFFFFF"/>
                  <w:vAlign w:val="center"/>
                </w:tcPr>
                <w:p w14:paraId="4627BC91">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空调外机</w:t>
                  </w:r>
                </w:p>
              </w:tc>
              <w:tc>
                <w:tcPr>
                  <w:tcW w:w="720" w:type="dxa"/>
                  <w:tcBorders>
                    <w:tl2br w:val="nil"/>
                    <w:tr2bl w:val="nil"/>
                  </w:tcBorders>
                  <w:shd w:val="clear" w:color="auto" w:fill="FFFFFF"/>
                  <w:vAlign w:val="center"/>
                </w:tcPr>
                <w:p w14:paraId="2CD941D3">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2.6</w:t>
                  </w:r>
                </w:p>
              </w:tc>
              <w:tc>
                <w:tcPr>
                  <w:tcW w:w="807" w:type="dxa"/>
                  <w:tcBorders>
                    <w:tl2br w:val="nil"/>
                    <w:tr2bl w:val="nil"/>
                  </w:tcBorders>
                  <w:shd w:val="clear" w:color="auto" w:fill="FFFFFF"/>
                  <w:vAlign w:val="center"/>
                </w:tcPr>
                <w:p w14:paraId="228DBFDC">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2.5</w:t>
                  </w:r>
                </w:p>
              </w:tc>
              <w:tc>
                <w:tcPr>
                  <w:tcW w:w="709" w:type="dxa"/>
                  <w:tcBorders>
                    <w:tl2br w:val="nil"/>
                    <w:tr2bl w:val="nil"/>
                  </w:tcBorders>
                  <w:shd w:val="clear" w:color="auto" w:fill="FFFFFF"/>
                  <w:vAlign w:val="center"/>
                </w:tcPr>
                <w:p w14:paraId="18C143F0">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17.2</w:t>
                  </w:r>
                </w:p>
              </w:tc>
              <w:tc>
                <w:tcPr>
                  <w:tcW w:w="960" w:type="dxa"/>
                  <w:tcBorders>
                    <w:tl2br w:val="nil"/>
                    <w:tr2bl w:val="nil"/>
                  </w:tcBorders>
                  <w:shd w:val="clear" w:color="auto" w:fill="auto"/>
                  <w:vAlign w:val="center"/>
                </w:tcPr>
                <w:p w14:paraId="29ABE757">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75</w:t>
                  </w:r>
                </w:p>
              </w:tc>
              <w:tc>
                <w:tcPr>
                  <w:tcW w:w="840" w:type="dxa"/>
                  <w:vMerge w:val="restart"/>
                  <w:tcBorders>
                    <w:tl2br w:val="nil"/>
                    <w:tr2bl w:val="nil"/>
                  </w:tcBorders>
                  <w:vAlign w:val="center"/>
                </w:tcPr>
                <w:p w14:paraId="691A1FCC">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选用低噪声设备、减振等措施</w:t>
                  </w:r>
                </w:p>
              </w:tc>
              <w:tc>
                <w:tcPr>
                  <w:tcW w:w="927" w:type="dxa"/>
                  <w:tcBorders>
                    <w:tl2br w:val="nil"/>
                    <w:tr2bl w:val="nil"/>
                  </w:tcBorders>
                  <w:vAlign w:val="center"/>
                </w:tcPr>
                <w:p w14:paraId="1F4C32B6">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6</w:t>
                  </w:r>
                  <w:r>
                    <w:rPr>
                      <w:rFonts w:hint="default" w:ascii="Times New Roman" w:hAnsi="Times New Roman" w:eastAsia="宋体" w:cs="Times New Roman"/>
                      <w:b w:val="0"/>
                      <w:bCs w:val="0"/>
                      <w:color w:val="auto"/>
                      <w:szCs w:val="21"/>
                      <w:highlight w:val="none"/>
                      <w:lang w:val="en-US" w:eastAsia="zh-CN"/>
                    </w:rPr>
                    <w:t>5</w:t>
                  </w:r>
                </w:p>
              </w:tc>
              <w:tc>
                <w:tcPr>
                  <w:tcW w:w="710" w:type="dxa"/>
                  <w:vMerge w:val="restart"/>
                  <w:tcBorders>
                    <w:tl2br w:val="nil"/>
                    <w:tr2bl w:val="nil"/>
                  </w:tcBorders>
                  <w:vAlign w:val="center"/>
                </w:tcPr>
                <w:p w14:paraId="0F4F8BAD">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昼夜</w:t>
                  </w:r>
                </w:p>
                <w:p w14:paraId="18B13484">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运行</w:t>
                  </w:r>
                </w:p>
              </w:tc>
            </w:tr>
            <w:tr w14:paraId="152339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70" w:hRule="atLeast"/>
              </w:trPr>
              <w:tc>
                <w:tcPr>
                  <w:tcW w:w="487" w:type="dxa"/>
                  <w:tcBorders>
                    <w:tl2br w:val="nil"/>
                    <w:tr2bl w:val="nil"/>
                  </w:tcBorders>
                  <w:vAlign w:val="center"/>
                </w:tcPr>
                <w:p w14:paraId="42EF8E95">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2</w:t>
                  </w:r>
                </w:p>
              </w:tc>
              <w:tc>
                <w:tcPr>
                  <w:tcW w:w="1358" w:type="dxa"/>
                  <w:tcBorders>
                    <w:tl2br w:val="nil"/>
                    <w:tr2bl w:val="nil"/>
                  </w:tcBorders>
                  <w:shd w:val="clear" w:color="auto" w:fill="FFFFFF"/>
                  <w:vAlign w:val="center"/>
                </w:tcPr>
                <w:p w14:paraId="27D812C8">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废气治理设施</w:t>
                  </w:r>
                </w:p>
              </w:tc>
              <w:tc>
                <w:tcPr>
                  <w:tcW w:w="720" w:type="dxa"/>
                  <w:tcBorders>
                    <w:tl2br w:val="nil"/>
                    <w:tr2bl w:val="nil"/>
                  </w:tcBorders>
                  <w:shd w:val="clear" w:color="auto" w:fill="FFFFFF"/>
                  <w:vAlign w:val="center"/>
                </w:tcPr>
                <w:p w14:paraId="06EBCE2A">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-9</w:t>
                  </w:r>
                </w:p>
              </w:tc>
              <w:tc>
                <w:tcPr>
                  <w:tcW w:w="807" w:type="dxa"/>
                  <w:tcBorders>
                    <w:tl2br w:val="nil"/>
                    <w:tr2bl w:val="nil"/>
                  </w:tcBorders>
                  <w:shd w:val="clear" w:color="auto" w:fill="FFFFFF"/>
                  <w:vAlign w:val="center"/>
                </w:tcPr>
                <w:p w14:paraId="287BD106">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-1.3</w:t>
                  </w:r>
                </w:p>
              </w:tc>
              <w:tc>
                <w:tcPr>
                  <w:tcW w:w="709" w:type="dxa"/>
                  <w:tcBorders>
                    <w:tl2br w:val="nil"/>
                    <w:tr2bl w:val="nil"/>
                  </w:tcBorders>
                  <w:shd w:val="clear" w:color="auto" w:fill="FFFFFF"/>
                  <w:vAlign w:val="center"/>
                </w:tcPr>
                <w:p w14:paraId="1814D409">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17.2</w:t>
                  </w:r>
                </w:p>
              </w:tc>
              <w:tc>
                <w:tcPr>
                  <w:tcW w:w="960" w:type="dxa"/>
                  <w:tcBorders>
                    <w:tl2br w:val="nil"/>
                    <w:tr2bl w:val="nil"/>
                  </w:tcBorders>
                  <w:shd w:val="clear" w:color="auto" w:fill="auto"/>
                  <w:vAlign w:val="center"/>
                </w:tcPr>
                <w:p w14:paraId="529B4DC3">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75</w:t>
                  </w:r>
                </w:p>
              </w:tc>
              <w:tc>
                <w:tcPr>
                  <w:tcW w:w="840" w:type="dxa"/>
                  <w:vMerge w:val="continue"/>
                  <w:tcBorders>
                    <w:tl2br w:val="nil"/>
                    <w:tr2bl w:val="nil"/>
                  </w:tcBorders>
                  <w:vAlign w:val="center"/>
                </w:tcPr>
                <w:p w14:paraId="588B8ADF">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c>
                <w:tcPr>
                  <w:tcW w:w="927" w:type="dxa"/>
                  <w:tcBorders>
                    <w:tl2br w:val="nil"/>
                    <w:tr2bl w:val="nil"/>
                  </w:tcBorders>
                  <w:vAlign w:val="center"/>
                </w:tcPr>
                <w:p w14:paraId="64A97A9B">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65</w:t>
                  </w:r>
                </w:p>
              </w:tc>
              <w:tc>
                <w:tcPr>
                  <w:tcW w:w="710" w:type="dxa"/>
                  <w:vMerge w:val="continue"/>
                  <w:tcBorders>
                    <w:tl2br w:val="nil"/>
                    <w:tr2bl w:val="nil"/>
                  </w:tcBorders>
                  <w:vAlign w:val="center"/>
                </w:tcPr>
                <w:p w14:paraId="3C43B480">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r>
            <w:tr w14:paraId="1EBA95E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7518" w:type="dxa"/>
                  <w:gridSpan w:val="9"/>
                  <w:tcBorders>
                    <w:tl2br w:val="nil"/>
                    <w:tr2bl w:val="nil"/>
                  </w:tcBorders>
                  <w:vAlign w:val="center"/>
                </w:tcPr>
                <w:p w14:paraId="1442EC04">
                  <w:pP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color w:val="auto"/>
                      <w:sz w:val="21"/>
                      <w:szCs w:val="21"/>
                      <w:lang w:val="en-US" w:eastAsia="zh-CN"/>
                    </w:rPr>
                    <w:t>表中坐标以厂界中心（</w:t>
                  </w:r>
                  <w:r>
                    <w:rPr>
                      <w:rFonts w:hint="default" w:ascii="Times New Roman" w:hAnsi="Times New Roman" w:cs="Times New Roman" w:eastAsiaTheme="minorEastAsia"/>
                      <w:b w:val="0"/>
                      <w:bCs/>
                      <w:sz w:val="21"/>
                      <w:szCs w:val="21"/>
                      <w:lang w:val="en-US" w:eastAsia="zh-CN"/>
                    </w:rPr>
                    <w:t>116.552467</w:t>
                  </w:r>
                  <w:r>
                    <w:rPr>
                      <w:rFonts w:hint="eastAsia" w:ascii="Times New Roman" w:hAnsi="Times New Roman" w:cs="Times New Roman" w:eastAsiaTheme="minorEastAsia"/>
                      <w:b w:val="0"/>
                      <w:bCs/>
                      <w:sz w:val="21"/>
                      <w:szCs w:val="21"/>
                      <w:lang w:val="en-US" w:eastAsia="zh-CN"/>
                    </w:rPr>
                    <w:t>，</w:t>
                  </w:r>
                  <w:r>
                    <w:rPr>
                      <w:rFonts w:hint="default" w:ascii="Times New Roman" w:hAnsi="Times New Roman" w:cs="Times New Roman" w:eastAsiaTheme="minorEastAsia"/>
                      <w:b w:val="0"/>
                      <w:bCs/>
                      <w:sz w:val="21"/>
                      <w:szCs w:val="21"/>
                      <w:lang w:val="en-US" w:eastAsia="zh-CN"/>
                    </w:rPr>
                    <w:t>39.730022</w:t>
                  </w:r>
                  <w:r>
                    <w:rPr>
                      <w:rFonts w:hint="default" w:ascii="Times New Roman" w:hAnsi="Times New Roman" w:eastAsia="宋体" w:cs="Times New Roman"/>
                      <w:b w:val="0"/>
                      <w:bCs/>
                      <w:color w:val="auto"/>
                      <w:sz w:val="21"/>
                      <w:szCs w:val="21"/>
                      <w:lang w:val="en-US" w:eastAsia="zh-CN"/>
                    </w:rPr>
                    <w:t>）为坐标原点，正东向为X轴正方向，正北向为Y轴正方向。</w:t>
                  </w:r>
                </w:p>
              </w:tc>
            </w:tr>
          </w:tbl>
          <w:p w14:paraId="09507E7B">
            <w:pPr>
              <w:numPr>
                <w:ilvl w:val="0"/>
                <w:numId w:val="40"/>
              </w:numPr>
              <w:adjustRightInd w:val="0"/>
              <w:spacing w:line="360" w:lineRule="auto"/>
              <w:ind w:left="425" w:leftChars="0" w:hanging="425" w:firstLineChars="0"/>
              <w:jc w:val="center"/>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sz w:val="24"/>
                <w:highlight w:val="none"/>
              </w:rPr>
              <w:t>本项目噪声源强调查清单（室内声源）</w:t>
            </w:r>
          </w:p>
          <w:tbl>
            <w:tblPr>
              <w:tblStyle w:val="50"/>
              <w:tblW w:w="7677" w:type="dxa"/>
              <w:jc w:val="center"/>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450"/>
              <w:gridCol w:w="1232"/>
              <w:gridCol w:w="651"/>
              <w:gridCol w:w="936"/>
              <w:gridCol w:w="698"/>
              <w:gridCol w:w="643"/>
              <w:gridCol w:w="546"/>
              <w:gridCol w:w="971"/>
              <w:gridCol w:w="886"/>
              <w:gridCol w:w="664"/>
            </w:tblGrid>
            <w:tr w14:paraId="624C6E61">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0" w:hRule="atLeast"/>
                <w:jc w:val="center"/>
              </w:trPr>
              <w:tc>
                <w:tcPr>
                  <w:tcW w:w="450" w:type="dxa"/>
                  <w:vMerge w:val="restart"/>
                  <w:tcBorders>
                    <w:tl2br w:val="nil"/>
                    <w:tr2bl w:val="nil"/>
                  </w:tcBorders>
                  <w:vAlign w:val="center"/>
                </w:tcPr>
                <w:p w14:paraId="49735684">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1232" w:type="dxa"/>
                  <w:vMerge w:val="restart"/>
                  <w:tcBorders>
                    <w:tl2br w:val="nil"/>
                    <w:tr2bl w:val="nil"/>
                  </w:tcBorders>
                  <w:vAlign w:val="center"/>
                </w:tcPr>
                <w:p w14:paraId="65F573FD">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声源名称</w:t>
                  </w:r>
                </w:p>
              </w:tc>
              <w:tc>
                <w:tcPr>
                  <w:tcW w:w="651" w:type="dxa"/>
                  <w:vMerge w:val="restart"/>
                  <w:tcBorders>
                    <w:tl2br w:val="nil"/>
                    <w:tr2bl w:val="nil"/>
                  </w:tcBorders>
                  <w:vAlign w:val="center"/>
                </w:tcPr>
                <w:p w14:paraId="2EBDC5ED">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声源源强/dB(A)</w:t>
                  </w:r>
                </w:p>
              </w:tc>
              <w:tc>
                <w:tcPr>
                  <w:tcW w:w="936" w:type="dxa"/>
                  <w:vMerge w:val="restart"/>
                  <w:tcBorders>
                    <w:tl2br w:val="nil"/>
                    <w:tr2bl w:val="nil"/>
                  </w:tcBorders>
                  <w:vAlign w:val="center"/>
                </w:tcPr>
                <w:p w14:paraId="274D896F">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声源控制措施</w:t>
                  </w:r>
                </w:p>
              </w:tc>
              <w:tc>
                <w:tcPr>
                  <w:tcW w:w="1887" w:type="dxa"/>
                  <w:gridSpan w:val="3"/>
                  <w:tcBorders>
                    <w:tl2br w:val="nil"/>
                    <w:tr2bl w:val="nil"/>
                  </w:tcBorders>
                  <w:vAlign w:val="center"/>
                </w:tcPr>
                <w:p w14:paraId="6BEB8502">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空间相对位置/m</w:t>
                  </w:r>
                </w:p>
              </w:tc>
              <w:tc>
                <w:tcPr>
                  <w:tcW w:w="971" w:type="dxa"/>
                  <w:vMerge w:val="restart"/>
                  <w:tcBorders>
                    <w:tl2br w:val="nil"/>
                    <w:tr2bl w:val="nil"/>
                  </w:tcBorders>
                  <w:vAlign w:val="center"/>
                </w:tcPr>
                <w:p w14:paraId="2C5C791F">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lang w:val="en-US" w:eastAsia="zh-CN"/>
                    </w:rPr>
                    <w:t>排放强度</w:t>
                  </w:r>
                  <w:r>
                    <w:rPr>
                      <w:rFonts w:hint="default" w:ascii="Times New Roman" w:hAnsi="Times New Roman" w:eastAsia="宋体" w:cs="Times New Roman"/>
                      <w:b/>
                      <w:bCs/>
                      <w:color w:val="auto"/>
                      <w:szCs w:val="21"/>
                      <w:highlight w:val="none"/>
                    </w:rPr>
                    <w:t>/dB(A)</w:t>
                  </w:r>
                </w:p>
              </w:tc>
              <w:tc>
                <w:tcPr>
                  <w:tcW w:w="886" w:type="dxa"/>
                  <w:vMerge w:val="restart"/>
                  <w:tcBorders>
                    <w:tl2br w:val="nil"/>
                    <w:tr2bl w:val="nil"/>
                  </w:tcBorders>
                  <w:vAlign w:val="center"/>
                </w:tcPr>
                <w:p w14:paraId="2CF80A70">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 w:val="21"/>
                      <w:szCs w:val="21"/>
                      <w:highlight w:val="none"/>
                    </w:rPr>
                    <w:t>建筑物插入损失 / dB(A)</w:t>
                  </w:r>
                </w:p>
              </w:tc>
              <w:tc>
                <w:tcPr>
                  <w:tcW w:w="664" w:type="dxa"/>
                  <w:vMerge w:val="restart"/>
                  <w:tcBorders>
                    <w:tl2br w:val="nil"/>
                    <w:tr2bl w:val="nil"/>
                  </w:tcBorders>
                  <w:vAlign w:val="center"/>
                </w:tcPr>
                <w:p w14:paraId="02721870">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运行</w:t>
                  </w:r>
                </w:p>
                <w:p w14:paraId="693120B1">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时段</w:t>
                  </w:r>
                </w:p>
              </w:tc>
            </w:tr>
            <w:tr w14:paraId="1AD31C56">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0" w:hRule="atLeast"/>
                <w:jc w:val="center"/>
              </w:trPr>
              <w:tc>
                <w:tcPr>
                  <w:tcW w:w="450" w:type="dxa"/>
                  <w:vMerge w:val="continue"/>
                  <w:tcBorders>
                    <w:tl2br w:val="nil"/>
                    <w:tr2bl w:val="nil"/>
                  </w:tcBorders>
                  <w:vAlign w:val="center"/>
                </w:tcPr>
                <w:p w14:paraId="30F83BBE">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p>
              </w:tc>
              <w:tc>
                <w:tcPr>
                  <w:tcW w:w="1232" w:type="dxa"/>
                  <w:vMerge w:val="continue"/>
                  <w:tcBorders>
                    <w:tl2br w:val="nil"/>
                    <w:tr2bl w:val="nil"/>
                  </w:tcBorders>
                  <w:vAlign w:val="center"/>
                </w:tcPr>
                <w:p w14:paraId="29AEA69F">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p>
              </w:tc>
              <w:tc>
                <w:tcPr>
                  <w:tcW w:w="651" w:type="dxa"/>
                  <w:vMerge w:val="continue"/>
                  <w:tcBorders>
                    <w:tl2br w:val="nil"/>
                    <w:tr2bl w:val="nil"/>
                  </w:tcBorders>
                  <w:vAlign w:val="center"/>
                </w:tcPr>
                <w:p w14:paraId="7432FF78">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p>
              </w:tc>
              <w:tc>
                <w:tcPr>
                  <w:tcW w:w="936" w:type="dxa"/>
                  <w:vMerge w:val="continue"/>
                  <w:tcBorders>
                    <w:tl2br w:val="nil"/>
                    <w:tr2bl w:val="nil"/>
                  </w:tcBorders>
                  <w:vAlign w:val="center"/>
                </w:tcPr>
                <w:p w14:paraId="61797739">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p>
              </w:tc>
              <w:tc>
                <w:tcPr>
                  <w:tcW w:w="698" w:type="dxa"/>
                  <w:tcBorders>
                    <w:tl2br w:val="nil"/>
                    <w:tr2bl w:val="nil"/>
                  </w:tcBorders>
                  <w:vAlign w:val="center"/>
                </w:tcPr>
                <w:p w14:paraId="7C09AA97">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X</w:t>
                  </w:r>
                </w:p>
              </w:tc>
              <w:tc>
                <w:tcPr>
                  <w:tcW w:w="643" w:type="dxa"/>
                  <w:tcBorders>
                    <w:tl2br w:val="nil"/>
                    <w:tr2bl w:val="nil"/>
                  </w:tcBorders>
                  <w:vAlign w:val="center"/>
                </w:tcPr>
                <w:p w14:paraId="1D562011">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Y</w:t>
                  </w:r>
                </w:p>
              </w:tc>
              <w:tc>
                <w:tcPr>
                  <w:tcW w:w="546" w:type="dxa"/>
                  <w:tcBorders>
                    <w:tl2br w:val="nil"/>
                    <w:tr2bl w:val="nil"/>
                  </w:tcBorders>
                  <w:vAlign w:val="center"/>
                </w:tcPr>
                <w:p w14:paraId="0B3207D0">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Z</w:t>
                  </w:r>
                </w:p>
              </w:tc>
              <w:tc>
                <w:tcPr>
                  <w:tcW w:w="971" w:type="dxa"/>
                  <w:vMerge w:val="continue"/>
                  <w:tcBorders>
                    <w:tl2br w:val="nil"/>
                    <w:tr2bl w:val="nil"/>
                  </w:tcBorders>
                  <w:vAlign w:val="center"/>
                </w:tcPr>
                <w:p w14:paraId="35BA6CE3">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p>
              </w:tc>
              <w:tc>
                <w:tcPr>
                  <w:tcW w:w="886" w:type="dxa"/>
                  <w:vMerge w:val="continue"/>
                  <w:tcBorders>
                    <w:tl2br w:val="nil"/>
                    <w:tr2bl w:val="nil"/>
                  </w:tcBorders>
                  <w:vAlign w:val="center"/>
                </w:tcPr>
                <w:p w14:paraId="47A598C2">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p>
              </w:tc>
              <w:tc>
                <w:tcPr>
                  <w:tcW w:w="664" w:type="dxa"/>
                  <w:vMerge w:val="continue"/>
                  <w:tcBorders>
                    <w:tl2br w:val="nil"/>
                    <w:tr2bl w:val="nil"/>
                  </w:tcBorders>
                  <w:vAlign w:val="center"/>
                </w:tcPr>
                <w:p w14:paraId="1D751F43">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p>
              </w:tc>
            </w:tr>
            <w:tr w14:paraId="11819E5A">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290" w:hRule="atLeast"/>
                <w:jc w:val="center"/>
              </w:trPr>
              <w:tc>
                <w:tcPr>
                  <w:tcW w:w="450" w:type="dxa"/>
                  <w:tcBorders>
                    <w:tl2br w:val="nil"/>
                    <w:tr2bl w:val="nil"/>
                  </w:tcBorders>
                  <w:vAlign w:val="center"/>
                </w:tcPr>
                <w:p w14:paraId="29CED895">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w:t>
                  </w:r>
                </w:p>
              </w:tc>
              <w:tc>
                <w:tcPr>
                  <w:tcW w:w="1232" w:type="dxa"/>
                  <w:tcBorders>
                    <w:tl2br w:val="nil"/>
                    <w:tr2bl w:val="nil"/>
                  </w:tcBorders>
                  <w:vAlign w:val="center"/>
                </w:tcPr>
                <w:p w14:paraId="6E530D99">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液相色谱质谱联用仪</w:t>
                  </w:r>
                </w:p>
              </w:tc>
              <w:tc>
                <w:tcPr>
                  <w:tcW w:w="651" w:type="dxa"/>
                  <w:tcBorders>
                    <w:tl2br w:val="nil"/>
                    <w:tr2bl w:val="nil"/>
                  </w:tcBorders>
                  <w:vAlign w:val="center"/>
                </w:tcPr>
                <w:p w14:paraId="5CF2DD43">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60</w:t>
                  </w:r>
                </w:p>
              </w:tc>
              <w:tc>
                <w:tcPr>
                  <w:tcW w:w="936" w:type="dxa"/>
                  <w:vMerge w:val="restart"/>
                  <w:tcBorders>
                    <w:tl2br w:val="nil"/>
                    <w:tr2bl w:val="nil"/>
                  </w:tcBorders>
                  <w:vAlign w:val="center"/>
                </w:tcPr>
                <w:p w14:paraId="60A7876F">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低噪声设备，基础减振</w:t>
                  </w:r>
                </w:p>
              </w:tc>
              <w:tc>
                <w:tcPr>
                  <w:tcW w:w="698" w:type="dxa"/>
                  <w:tcBorders>
                    <w:tl2br w:val="nil"/>
                    <w:tr2bl w:val="nil"/>
                  </w:tcBorders>
                  <w:shd w:val="clear" w:color="auto" w:fill="FFFFFF"/>
                  <w:vAlign w:val="center"/>
                </w:tcPr>
                <w:p w14:paraId="69B529A2">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7.8</w:t>
                  </w:r>
                </w:p>
              </w:tc>
              <w:tc>
                <w:tcPr>
                  <w:tcW w:w="643" w:type="dxa"/>
                  <w:tcBorders>
                    <w:tl2br w:val="nil"/>
                    <w:tr2bl w:val="nil"/>
                  </w:tcBorders>
                  <w:shd w:val="clear" w:color="auto" w:fill="FFFFFF"/>
                  <w:vAlign w:val="center"/>
                </w:tcPr>
                <w:p w14:paraId="4A2D02A6">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-3.8</w:t>
                  </w:r>
                </w:p>
              </w:tc>
              <w:tc>
                <w:tcPr>
                  <w:tcW w:w="546" w:type="dxa"/>
                  <w:tcBorders>
                    <w:tl2br w:val="nil"/>
                    <w:tr2bl w:val="nil"/>
                  </w:tcBorders>
                  <w:shd w:val="clear" w:color="auto" w:fill="FFFFFF"/>
                  <w:vAlign w:val="center"/>
                </w:tcPr>
                <w:p w14:paraId="08D6E661">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10.2</w:t>
                  </w:r>
                </w:p>
              </w:tc>
              <w:tc>
                <w:tcPr>
                  <w:tcW w:w="971" w:type="dxa"/>
                  <w:tcBorders>
                    <w:tl2br w:val="nil"/>
                    <w:tr2bl w:val="nil"/>
                  </w:tcBorders>
                  <w:shd w:val="clear" w:color="auto" w:fill="auto"/>
                  <w:vAlign w:val="center"/>
                </w:tcPr>
                <w:p w14:paraId="6E94BE95">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40</w:t>
                  </w:r>
                </w:p>
              </w:tc>
              <w:tc>
                <w:tcPr>
                  <w:tcW w:w="886" w:type="dxa"/>
                  <w:tcBorders>
                    <w:tl2br w:val="nil"/>
                    <w:tr2bl w:val="nil"/>
                  </w:tcBorders>
                  <w:shd w:val="clear" w:color="auto" w:fill="auto"/>
                  <w:vAlign w:val="center"/>
                </w:tcPr>
                <w:p w14:paraId="3621692C">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664" w:type="dxa"/>
                  <w:vMerge w:val="restart"/>
                  <w:tcBorders>
                    <w:tl2br w:val="nil"/>
                    <w:tr2bl w:val="nil"/>
                  </w:tcBorders>
                  <w:vAlign w:val="center"/>
                </w:tcPr>
                <w:p w14:paraId="56346EBF">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昼间</w:t>
                  </w:r>
                </w:p>
              </w:tc>
            </w:tr>
            <w:tr w14:paraId="473850C0">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0" w:hRule="atLeast"/>
                <w:jc w:val="center"/>
              </w:trPr>
              <w:tc>
                <w:tcPr>
                  <w:tcW w:w="450" w:type="dxa"/>
                  <w:tcBorders>
                    <w:tl2br w:val="nil"/>
                    <w:tr2bl w:val="nil"/>
                  </w:tcBorders>
                  <w:vAlign w:val="center"/>
                </w:tcPr>
                <w:p w14:paraId="23EAFA37">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2</w:t>
                  </w:r>
                </w:p>
              </w:tc>
              <w:tc>
                <w:tcPr>
                  <w:tcW w:w="1232" w:type="dxa"/>
                  <w:tcBorders>
                    <w:tl2br w:val="nil"/>
                    <w:tr2bl w:val="nil"/>
                  </w:tcBorders>
                  <w:vAlign w:val="center"/>
                </w:tcPr>
                <w:p w14:paraId="144F2615">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电感耦合等离子体发射光谱仪</w:t>
                  </w:r>
                  <w:r>
                    <w:rPr>
                      <w:rFonts w:hint="eastAsia" w:ascii="Times New Roman" w:hAnsi="Times New Roman" w:eastAsia="宋体" w:cs="Times New Roman"/>
                      <w:b w:val="0"/>
                      <w:bCs w:val="0"/>
                      <w:color w:val="auto"/>
                      <w:szCs w:val="21"/>
                      <w:highlight w:val="none"/>
                      <w:lang w:val="en-US" w:eastAsia="zh-CN"/>
                    </w:rPr>
                    <w:t>-1</w:t>
                  </w:r>
                </w:p>
              </w:tc>
              <w:tc>
                <w:tcPr>
                  <w:tcW w:w="651" w:type="dxa"/>
                  <w:tcBorders>
                    <w:tl2br w:val="nil"/>
                    <w:tr2bl w:val="nil"/>
                  </w:tcBorders>
                  <w:vAlign w:val="center"/>
                </w:tcPr>
                <w:p w14:paraId="0F7B9E06">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60</w:t>
                  </w:r>
                </w:p>
              </w:tc>
              <w:tc>
                <w:tcPr>
                  <w:tcW w:w="936" w:type="dxa"/>
                  <w:vMerge w:val="continue"/>
                  <w:tcBorders>
                    <w:tl2br w:val="nil"/>
                    <w:tr2bl w:val="nil"/>
                  </w:tcBorders>
                  <w:vAlign w:val="center"/>
                </w:tcPr>
                <w:p w14:paraId="64EA35D4">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c>
                <w:tcPr>
                  <w:tcW w:w="698" w:type="dxa"/>
                  <w:tcBorders>
                    <w:tl2br w:val="nil"/>
                    <w:tr2bl w:val="nil"/>
                  </w:tcBorders>
                  <w:shd w:val="clear" w:color="auto" w:fill="FFFFFF"/>
                  <w:vAlign w:val="center"/>
                </w:tcPr>
                <w:p w14:paraId="48FD2D49">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3.2</w:t>
                  </w:r>
                </w:p>
              </w:tc>
              <w:tc>
                <w:tcPr>
                  <w:tcW w:w="643" w:type="dxa"/>
                  <w:tcBorders>
                    <w:tl2br w:val="nil"/>
                    <w:tr2bl w:val="nil"/>
                  </w:tcBorders>
                  <w:shd w:val="clear" w:color="auto" w:fill="FFFFFF"/>
                  <w:vAlign w:val="center"/>
                </w:tcPr>
                <w:p w14:paraId="42B4BC78">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-4.3</w:t>
                  </w:r>
                </w:p>
              </w:tc>
              <w:tc>
                <w:tcPr>
                  <w:tcW w:w="546" w:type="dxa"/>
                  <w:tcBorders>
                    <w:tl2br w:val="nil"/>
                    <w:tr2bl w:val="nil"/>
                  </w:tcBorders>
                  <w:shd w:val="clear" w:color="auto" w:fill="FFFFFF"/>
                  <w:vAlign w:val="center"/>
                </w:tcPr>
                <w:p w14:paraId="5296A4F8">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10.2</w:t>
                  </w:r>
                </w:p>
              </w:tc>
              <w:tc>
                <w:tcPr>
                  <w:tcW w:w="971" w:type="dxa"/>
                  <w:tcBorders>
                    <w:tl2br w:val="nil"/>
                    <w:tr2bl w:val="nil"/>
                  </w:tcBorders>
                  <w:shd w:val="clear" w:color="auto" w:fill="auto"/>
                  <w:vAlign w:val="center"/>
                </w:tcPr>
                <w:p w14:paraId="2697A415">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40</w:t>
                  </w:r>
                </w:p>
              </w:tc>
              <w:tc>
                <w:tcPr>
                  <w:tcW w:w="886" w:type="dxa"/>
                  <w:tcBorders>
                    <w:tl2br w:val="nil"/>
                    <w:tr2bl w:val="nil"/>
                  </w:tcBorders>
                  <w:shd w:val="clear" w:color="auto" w:fill="auto"/>
                  <w:vAlign w:val="center"/>
                </w:tcPr>
                <w:p w14:paraId="48FE6F4F">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664" w:type="dxa"/>
                  <w:vMerge w:val="continue"/>
                  <w:tcBorders>
                    <w:tl2br w:val="nil"/>
                    <w:tr2bl w:val="nil"/>
                  </w:tcBorders>
                  <w:vAlign w:val="center"/>
                </w:tcPr>
                <w:p w14:paraId="4559390C">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r>
            <w:tr w14:paraId="0CE045B0">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0" w:hRule="atLeast"/>
                <w:jc w:val="center"/>
              </w:trPr>
              <w:tc>
                <w:tcPr>
                  <w:tcW w:w="450" w:type="dxa"/>
                  <w:tcBorders>
                    <w:tl2br w:val="nil"/>
                    <w:tr2bl w:val="nil"/>
                  </w:tcBorders>
                  <w:vAlign w:val="center"/>
                </w:tcPr>
                <w:p w14:paraId="2C0C2E29">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3</w:t>
                  </w:r>
                </w:p>
              </w:tc>
              <w:tc>
                <w:tcPr>
                  <w:tcW w:w="1232" w:type="dxa"/>
                  <w:tcBorders>
                    <w:tl2br w:val="nil"/>
                    <w:tr2bl w:val="nil"/>
                  </w:tcBorders>
                  <w:vAlign w:val="center"/>
                </w:tcPr>
                <w:p w14:paraId="71498C13">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电感耦合等离子体发射光谱仪</w:t>
                  </w:r>
                  <w:r>
                    <w:rPr>
                      <w:rFonts w:hint="eastAsia" w:ascii="Times New Roman" w:hAnsi="Times New Roman" w:eastAsia="宋体" w:cs="Times New Roman"/>
                      <w:b w:val="0"/>
                      <w:bCs w:val="0"/>
                      <w:color w:val="auto"/>
                      <w:szCs w:val="21"/>
                      <w:highlight w:val="none"/>
                      <w:lang w:val="en-US" w:eastAsia="zh-CN"/>
                    </w:rPr>
                    <w:t>-2</w:t>
                  </w:r>
                </w:p>
              </w:tc>
              <w:tc>
                <w:tcPr>
                  <w:tcW w:w="651" w:type="dxa"/>
                  <w:tcBorders>
                    <w:tl2br w:val="nil"/>
                    <w:tr2bl w:val="nil"/>
                  </w:tcBorders>
                  <w:vAlign w:val="center"/>
                </w:tcPr>
                <w:p w14:paraId="7D646659">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60</w:t>
                  </w:r>
                </w:p>
              </w:tc>
              <w:tc>
                <w:tcPr>
                  <w:tcW w:w="936" w:type="dxa"/>
                  <w:vMerge w:val="continue"/>
                  <w:tcBorders>
                    <w:tl2br w:val="nil"/>
                    <w:tr2bl w:val="nil"/>
                  </w:tcBorders>
                  <w:vAlign w:val="center"/>
                </w:tcPr>
                <w:p w14:paraId="6052A91B">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c>
                <w:tcPr>
                  <w:tcW w:w="698" w:type="dxa"/>
                  <w:tcBorders>
                    <w:tl2br w:val="nil"/>
                    <w:tr2bl w:val="nil"/>
                  </w:tcBorders>
                  <w:shd w:val="clear" w:color="auto" w:fill="FFFFFF"/>
                  <w:vAlign w:val="center"/>
                </w:tcPr>
                <w:p w14:paraId="592156E2">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12</w:t>
                  </w:r>
                </w:p>
              </w:tc>
              <w:tc>
                <w:tcPr>
                  <w:tcW w:w="643" w:type="dxa"/>
                  <w:tcBorders>
                    <w:tl2br w:val="nil"/>
                    <w:tr2bl w:val="nil"/>
                  </w:tcBorders>
                  <w:shd w:val="clear" w:color="auto" w:fill="FFFFFF"/>
                  <w:vAlign w:val="center"/>
                </w:tcPr>
                <w:p w14:paraId="0D9C8C6D">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2.8</w:t>
                  </w:r>
                </w:p>
              </w:tc>
              <w:tc>
                <w:tcPr>
                  <w:tcW w:w="546" w:type="dxa"/>
                  <w:tcBorders>
                    <w:tl2br w:val="nil"/>
                    <w:tr2bl w:val="nil"/>
                  </w:tcBorders>
                  <w:shd w:val="clear" w:color="auto" w:fill="FFFFFF"/>
                  <w:vAlign w:val="center"/>
                </w:tcPr>
                <w:p w14:paraId="0631B528">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10.2</w:t>
                  </w:r>
                </w:p>
              </w:tc>
              <w:tc>
                <w:tcPr>
                  <w:tcW w:w="971" w:type="dxa"/>
                  <w:tcBorders>
                    <w:tl2br w:val="nil"/>
                    <w:tr2bl w:val="nil"/>
                  </w:tcBorders>
                  <w:shd w:val="clear" w:color="auto" w:fill="auto"/>
                  <w:vAlign w:val="center"/>
                </w:tcPr>
                <w:p w14:paraId="5E3C9AE4">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40</w:t>
                  </w:r>
                </w:p>
              </w:tc>
              <w:tc>
                <w:tcPr>
                  <w:tcW w:w="886" w:type="dxa"/>
                  <w:tcBorders>
                    <w:tl2br w:val="nil"/>
                    <w:tr2bl w:val="nil"/>
                  </w:tcBorders>
                  <w:shd w:val="clear" w:color="auto" w:fill="auto"/>
                  <w:vAlign w:val="center"/>
                </w:tcPr>
                <w:p w14:paraId="6E076175">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664" w:type="dxa"/>
                  <w:vMerge w:val="continue"/>
                  <w:tcBorders>
                    <w:tl2br w:val="nil"/>
                    <w:tr2bl w:val="nil"/>
                  </w:tcBorders>
                  <w:vAlign w:val="center"/>
                </w:tcPr>
                <w:p w14:paraId="78F46CA7">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r>
            <w:tr w14:paraId="332AABAD">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0" w:hRule="atLeast"/>
                <w:jc w:val="center"/>
              </w:trPr>
              <w:tc>
                <w:tcPr>
                  <w:tcW w:w="450" w:type="dxa"/>
                  <w:tcBorders>
                    <w:tl2br w:val="nil"/>
                    <w:tr2bl w:val="nil"/>
                  </w:tcBorders>
                  <w:vAlign w:val="center"/>
                </w:tcPr>
                <w:p w14:paraId="6B436C1B">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w:t>
                  </w:r>
                </w:p>
              </w:tc>
              <w:tc>
                <w:tcPr>
                  <w:tcW w:w="1232" w:type="dxa"/>
                  <w:tcBorders>
                    <w:tl2br w:val="nil"/>
                    <w:tr2bl w:val="nil"/>
                  </w:tcBorders>
                  <w:vAlign w:val="center"/>
                </w:tcPr>
                <w:p w14:paraId="2E359C8C">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电感耦合等离子体发射光谱仪</w:t>
                  </w:r>
                  <w:r>
                    <w:rPr>
                      <w:rFonts w:hint="eastAsia" w:ascii="Times New Roman" w:hAnsi="Times New Roman" w:eastAsia="宋体" w:cs="Times New Roman"/>
                      <w:b w:val="0"/>
                      <w:bCs w:val="0"/>
                      <w:color w:val="auto"/>
                      <w:szCs w:val="21"/>
                      <w:highlight w:val="none"/>
                      <w:lang w:val="en-US" w:eastAsia="zh-CN"/>
                    </w:rPr>
                    <w:t>-3</w:t>
                  </w:r>
                </w:p>
              </w:tc>
              <w:tc>
                <w:tcPr>
                  <w:tcW w:w="651" w:type="dxa"/>
                  <w:tcBorders>
                    <w:tl2br w:val="nil"/>
                    <w:tr2bl w:val="nil"/>
                  </w:tcBorders>
                  <w:vAlign w:val="center"/>
                </w:tcPr>
                <w:p w14:paraId="5969269C">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60</w:t>
                  </w:r>
                </w:p>
              </w:tc>
              <w:tc>
                <w:tcPr>
                  <w:tcW w:w="936" w:type="dxa"/>
                  <w:vMerge w:val="continue"/>
                  <w:tcBorders>
                    <w:tl2br w:val="nil"/>
                    <w:tr2bl w:val="nil"/>
                  </w:tcBorders>
                  <w:vAlign w:val="center"/>
                </w:tcPr>
                <w:p w14:paraId="11C7D6A9">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c>
                <w:tcPr>
                  <w:tcW w:w="698" w:type="dxa"/>
                  <w:tcBorders>
                    <w:tl2br w:val="nil"/>
                    <w:tr2bl w:val="nil"/>
                  </w:tcBorders>
                  <w:shd w:val="clear" w:color="auto" w:fill="FFFFFF"/>
                  <w:vAlign w:val="center"/>
                </w:tcPr>
                <w:p w14:paraId="5079C1FB">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-8.2</w:t>
                  </w:r>
                </w:p>
              </w:tc>
              <w:tc>
                <w:tcPr>
                  <w:tcW w:w="643" w:type="dxa"/>
                  <w:tcBorders>
                    <w:tl2br w:val="nil"/>
                    <w:tr2bl w:val="nil"/>
                  </w:tcBorders>
                  <w:shd w:val="clear" w:color="auto" w:fill="FFFFFF"/>
                  <w:vAlign w:val="center"/>
                </w:tcPr>
                <w:p w14:paraId="4A097438">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-4.7</w:t>
                  </w:r>
                </w:p>
              </w:tc>
              <w:tc>
                <w:tcPr>
                  <w:tcW w:w="546" w:type="dxa"/>
                  <w:tcBorders>
                    <w:tl2br w:val="nil"/>
                    <w:tr2bl w:val="nil"/>
                  </w:tcBorders>
                  <w:shd w:val="clear" w:color="auto" w:fill="FFFFFF"/>
                  <w:vAlign w:val="center"/>
                </w:tcPr>
                <w:p w14:paraId="03C9AAA1">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10.2</w:t>
                  </w:r>
                </w:p>
              </w:tc>
              <w:tc>
                <w:tcPr>
                  <w:tcW w:w="971" w:type="dxa"/>
                  <w:tcBorders>
                    <w:tl2br w:val="nil"/>
                    <w:tr2bl w:val="nil"/>
                  </w:tcBorders>
                  <w:shd w:val="clear" w:color="auto" w:fill="auto"/>
                  <w:vAlign w:val="center"/>
                </w:tcPr>
                <w:p w14:paraId="52E551C7">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40</w:t>
                  </w:r>
                </w:p>
              </w:tc>
              <w:tc>
                <w:tcPr>
                  <w:tcW w:w="886" w:type="dxa"/>
                  <w:tcBorders>
                    <w:tl2br w:val="nil"/>
                    <w:tr2bl w:val="nil"/>
                  </w:tcBorders>
                  <w:shd w:val="clear" w:color="auto" w:fill="auto"/>
                  <w:vAlign w:val="center"/>
                </w:tcPr>
                <w:p w14:paraId="26AFD5E7">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664" w:type="dxa"/>
                  <w:vMerge w:val="continue"/>
                  <w:tcBorders>
                    <w:tl2br w:val="nil"/>
                    <w:tr2bl w:val="nil"/>
                  </w:tcBorders>
                  <w:vAlign w:val="center"/>
                </w:tcPr>
                <w:p w14:paraId="3F1EC079">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r>
            <w:tr w14:paraId="5233C1CF">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0" w:hRule="atLeast"/>
                <w:jc w:val="center"/>
              </w:trPr>
              <w:tc>
                <w:tcPr>
                  <w:tcW w:w="450" w:type="dxa"/>
                  <w:tcBorders>
                    <w:tl2br w:val="nil"/>
                    <w:tr2bl w:val="nil"/>
                  </w:tcBorders>
                  <w:vAlign w:val="center"/>
                </w:tcPr>
                <w:p w14:paraId="55D7AFEF">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5</w:t>
                  </w:r>
                </w:p>
              </w:tc>
              <w:tc>
                <w:tcPr>
                  <w:tcW w:w="1232" w:type="dxa"/>
                  <w:tcBorders>
                    <w:tl2br w:val="nil"/>
                    <w:tr2bl w:val="nil"/>
                  </w:tcBorders>
                  <w:vAlign w:val="center"/>
                </w:tcPr>
                <w:p w14:paraId="1FE084AA">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通风橱-1</w:t>
                  </w:r>
                </w:p>
              </w:tc>
              <w:tc>
                <w:tcPr>
                  <w:tcW w:w="651" w:type="dxa"/>
                  <w:tcBorders>
                    <w:tl2br w:val="nil"/>
                    <w:tr2bl w:val="nil"/>
                  </w:tcBorders>
                  <w:vAlign w:val="center"/>
                </w:tcPr>
                <w:p w14:paraId="4E264218">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65</w:t>
                  </w:r>
                </w:p>
              </w:tc>
              <w:tc>
                <w:tcPr>
                  <w:tcW w:w="936" w:type="dxa"/>
                  <w:vMerge w:val="continue"/>
                  <w:tcBorders>
                    <w:tl2br w:val="nil"/>
                    <w:tr2bl w:val="nil"/>
                  </w:tcBorders>
                  <w:vAlign w:val="center"/>
                </w:tcPr>
                <w:p w14:paraId="127F10EC">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c>
                <w:tcPr>
                  <w:tcW w:w="698" w:type="dxa"/>
                  <w:tcBorders>
                    <w:tl2br w:val="nil"/>
                    <w:tr2bl w:val="nil"/>
                  </w:tcBorders>
                  <w:shd w:val="clear" w:color="auto" w:fill="FFFFFF"/>
                  <w:vAlign w:val="center"/>
                </w:tcPr>
                <w:p w14:paraId="1043745B">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-0.8</w:t>
                  </w:r>
                </w:p>
              </w:tc>
              <w:tc>
                <w:tcPr>
                  <w:tcW w:w="643" w:type="dxa"/>
                  <w:tcBorders>
                    <w:tl2br w:val="nil"/>
                    <w:tr2bl w:val="nil"/>
                  </w:tcBorders>
                  <w:shd w:val="clear" w:color="auto" w:fill="FFFFFF"/>
                  <w:vAlign w:val="center"/>
                </w:tcPr>
                <w:p w14:paraId="667002DE">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-4.9</w:t>
                  </w:r>
                </w:p>
              </w:tc>
              <w:tc>
                <w:tcPr>
                  <w:tcW w:w="546" w:type="dxa"/>
                  <w:tcBorders>
                    <w:tl2br w:val="nil"/>
                    <w:tr2bl w:val="nil"/>
                  </w:tcBorders>
                  <w:shd w:val="clear" w:color="auto" w:fill="FFFFFF"/>
                  <w:vAlign w:val="center"/>
                </w:tcPr>
                <w:p w14:paraId="120474E6">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13.5</w:t>
                  </w:r>
                </w:p>
              </w:tc>
              <w:tc>
                <w:tcPr>
                  <w:tcW w:w="971" w:type="dxa"/>
                  <w:tcBorders>
                    <w:tl2br w:val="nil"/>
                    <w:tr2bl w:val="nil"/>
                  </w:tcBorders>
                  <w:shd w:val="clear" w:color="auto" w:fill="auto"/>
                  <w:vAlign w:val="center"/>
                </w:tcPr>
                <w:p w14:paraId="53663276">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45</w:t>
                  </w:r>
                </w:p>
              </w:tc>
              <w:tc>
                <w:tcPr>
                  <w:tcW w:w="886" w:type="dxa"/>
                  <w:tcBorders>
                    <w:tl2br w:val="nil"/>
                    <w:tr2bl w:val="nil"/>
                  </w:tcBorders>
                  <w:shd w:val="clear" w:color="auto" w:fill="auto"/>
                  <w:vAlign w:val="center"/>
                </w:tcPr>
                <w:p w14:paraId="768A1BF1">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664" w:type="dxa"/>
                  <w:vMerge w:val="continue"/>
                  <w:tcBorders>
                    <w:tl2br w:val="nil"/>
                    <w:tr2bl w:val="nil"/>
                  </w:tcBorders>
                  <w:vAlign w:val="center"/>
                </w:tcPr>
                <w:p w14:paraId="4E73822F">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r>
            <w:tr w14:paraId="0B9549FC">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0" w:hRule="atLeast"/>
                <w:jc w:val="center"/>
              </w:trPr>
              <w:tc>
                <w:tcPr>
                  <w:tcW w:w="450" w:type="dxa"/>
                  <w:tcBorders>
                    <w:tl2br w:val="nil"/>
                    <w:tr2bl w:val="nil"/>
                  </w:tcBorders>
                  <w:vAlign w:val="center"/>
                </w:tcPr>
                <w:p w14:paraId="17E30C1A">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6</w:t>
                  </w:r>
                </w:p>
              </w:tc>
              <w:tc>
                <w:tcPr>
                  <w:tcW w:w="1232" w:type="dxa"/>
                  <w:tcBorders>
                    <w:tl2br w:val="nil"/>
                    <w:tr2bl w:val="nil"/>
                  </w:tcBorders>
                  <w:vAlign w:val="center"/>
                </w:tcPr>
                <w:p w14:paraId="65180AD9">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通风橱-2</w:t>
                  </w:r>
                </w:p>
              </w:tc>
              <w:tc>
                <w:tcPr>
                  <w:tcW w:w="651" w:type="dxa"/>
                  <w:tcBorders>
                    <w:tl2br w:val="nil"/>
                    <w:tr2bl w:val="nil"/>
                  </w:tcBorders>
                  <w:vAlign w:val="center"/>
                </w:tcPr>
                <w:p w14:paraId="0BF2C8DB">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65</w:t>
                  </w:r>
                </w:p>
              </w:tc>
              <w:tc>
                <w:tcPr>
                  <w:tcW w:w="936" w:type="dxa"/>
                  <w:vMerge w:val="continue"/>
                  <w:tcBorders>
                    <w:tl2br w:val="nil"/>
                    <w:tr2bl w:val="nil"/>
                  </w:tcBorders>
                  <w:vAlign w:val="center"/>
                </w:tcPr>
                <w:p w14:paraId="0CAA13E9">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c>
                <w:tcPr>
                  <w:tcW w:w="698" w:type="dxa"/>
                  <w:tcBorders>
                    <w:tl2br w:val="nil"/>
                    <w:tr2bl w:val="nil"/>
                  </w:tcBorders>
                  <w:shd w:val="clear" w:color="auto" w:fill="FFFFFF"/>
                  <w:vAlign w:val="center"/>
                </w:tcPr>
                <w:p w14:paraId="3D02AF36">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-4.7</w:t>
                  </w:r>
                </w:p>
              </w:tc>
              <w:tc>
                <w:tcPr>
                  <w:tcW w:w="643" w:type="dxa"/>
                  <w:tcBorders>
                    <w:tl2br w:val="nil"/>
                    <w:tr2bl w:val="nil"/>
                  </w:tcBorders>
                  <w:shd w:val="clear" w:color="auto" w:fill="FFFFFF"/>
                  <w:vAlign w:val="center"/>
                </w:tcPr>
                <w:p w14:paraId="11025EC8">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-4.9</w:t>
                  </w:r>
                </w:p>
              </w:tc>
              <w:tc>
                <w:tcPr>
                  <w:tcW w:w="546" w:type="dxa"/>
                  <w:tcBorders>
                    <w:tl2br w:val="nil"/>
                    <w:tr2bl w:val="nil"/>
                  </w:tcBorders>
                  <w:shd w:val="clear" w:color="auto" w:fill="FFFFFF"/>
                  <w:vAlign w:val="center"/>
                </w:tcPr>
                <w:p w14:paraId="6979B818">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13.7</w:t>
                  </w:r>
                </w:p>
              </w:tc>
              <w:tc>
                <w:tcPr>
                  <w:tcW w:w="971" w:type="dxa"/>
                  <w:tcBorders>
                    <w:tl2br w:val="nil"/>
                    <w:tr2bl w:val="nil"/>
                  </w:tcBorders>
                  <w:shd w:val="clear" w:color="auto" w:fill="auto"/>
                  <w:vAlign w:val="center"/>
                </w:tcPr>
                <w:p w14:paraId="57017150">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45</w:t>
                  </w:r>
                </w:p>
              </w:tc>
              <w:tc>
                <w:tcPr>
                  <w:tcW w:w="886" w:type="dxa"/>
                  <w:tcBorders>
                    <w:tl2br w:val="nil"/>
                    <w:tr2bl w:val="nil"/>
                  </w:tcBorders>
                  <w:shd w:val="clear" w:color="auto" w:fill="auto"/>
                  <w:vAlign w:val="center"/>
                </w:tcPr>
                <w:p w14:paraId="00D72BAA">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664" w:type="dxa"/>
                  <w:vMerge w:val="continue"/>
                  <w:tcBorders>
                    <w:tl2br w:val="nil"/>
                    <w:tr2bl w:val="nil"/>
                  </w:tcBorders>
                  <w:vAlign w:val="center"/>
                </w:tcPr>
                <w:p w14:paraId="3C45FB91">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r>
            <w:tr w14:paraId="0B883C22">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0" w:hRule="atLeast"/>
                <w:jc w:val="center"/>
              </w:trPr>
              <w:tc>
                <w:tcPr>
                  <w:tcW w:w="450" w:type="dxa"/>
                  <w:tcBorders>
                    <w:tl2br w:val="nil"/>
                    <w:tr2bl w:val="nil"/>
                  </w:tcBorders>
                  <w:vAlign w:val="center"/>
                </w:tcPr>
                <w:p w14:paraId="788611B9">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7</w:t>
                  </w:r>
                </w:p>
              </w:tc>
              <w:tc>
                <w:tcPr>
                  <w:tcW w:w="1232" w:type="dxa"/>
                  <w:tcBorders>
                    <w:tl2br w:val="nil"/>
                    <w:tr2bl w:val="nil"/>
                  </w:tcBorders>
                  <w:vAlign w:val="center"/>
                </w:tcPr>
                <w:p w14:paraId="3C6EC4B1">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通风橱-3</w:t>
                  </w:r>
                </w:p>
              </w:tc>
              <w:tc>
                <w:tcPr>
                  <w:tcW w:w="651" w:type="dxa"/>
                  <w:tcBorders>
                    <w:tl2br w:val="nil"/>
                    <w:tr2bl w:val="nil"/>
                  </w:tcBorders>
                  <w:vAlign w:val="center"/>
                </w:tcPr>
                <w:p w14:paraId="3A33A348">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65</w:t>
                  </w:r>
                </w:p>
              </w:tc>
              <w:tc>
                <w:tcPr>
                  <w:tcW w:w="936" w:type="dxa"/>
                  <w:vMerge w:val="continue"/>
                  <w:tcBorders>
                    <w:tl2br w:val="nil"/>
                    <w:tr2bl w:val="nil"/>
                  </w:tcBorders>
                  <w:vAlign w:val="center"/>
                </w:tcPr>
                <w:p w14:paraId="326C772E">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c>
                <w:tcPr>
                  <w:tcW w:w="698" w:type="dxa"/>
                  <w:tcBorders>
                    <w:tl2br w:val="nil"/>
                    <w:tr2bl w:val="nil"/>
                  </w:tcBorders>
                  <w:shd w:val="clear" w:color="auto" w:fill="FFFFFF"/>
                  <w:vAlign w:val="center"/>
                </w:tcPr>
                <w:p w14:paraId="542257D4">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1.9</w:t>
                  </w:r>
                </w:p>
              </w:tc>
              <w:tc>
                <w:tcPr>
                  <w:tcW w:w="643" w:type="dxa"/>
                  <w:tcBorders>
                    <w:tl2br w:val="nil"/>
                    <w:tr2bl w:val="nil"/>
                  </w:tcBorders>
                  <w:shd w:val="clear" w:color="auto" w:fill="FFFFFF"/>
                  <w:vAlign w:val="center"/>
                </w:tcPr>
                <w:p w14:paraId="36E97473">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5.4</w:t>
                  </w:r>
                </w:p>
              </w:tc>
              <w:tc>
                <w:tcPr>
                  <w:tcW w:w="546" w:type="dxa"/>
                  <w:tcBorders>
                    <w:tl2br w:val="nil"/>
                    <w:tr2bl w:val="nil"/>
                  </w:tcBorders>
                  <w:shd w:val="clear" w:color="auto" w:fill="FFFFFF"/>
                  <w:vAlign w:val="center"/>
                </w:tcPr>
                <w:p w14:paraId="61052CE9">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13.7</w:t>
                  </w:r>
                </w:p>
              </w:tc>
              <w:tc>
                <w:tcPr>
                  <w:tcW w:w="971" w:type="dxa"/>
                  <w:tcBorders>
                    <w:tl2br w:val="nil"/>
                    <w:tr2bl w:val="nil"/>
                  </w:tcBorders>
                  <w:shd w:val="clear" w:color="auto" w:fill="auto"/>
                  <w:vAlign w:val="center"/>
                </w:tcPr>
                <w:p w14:paraId="3A54F3BC">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45</w:t>
                  </w:r>
                </w:p>
              </w:tc>
              <w:tc>
                <w:tcPr>
                  <w:tcW w:w="886" w:type="dxa"/>
                  <w:tcBorders>
                    <w:tl2br w:val="nil"/>
                    <w:tr2bl w:val="nil"/>
                  </w:tcBorders>
                  <w:shd w:val="clear" w:color="auto" w:fill="auto"/>
                  <w:vAlign w:val="center"/>
                </w:tcPr>
                <w:p w14:paraId="4C0D1C85">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664" w:type="dxa"/>
                  <w:vMerge w:val="continue"/>
                  <w:tcBorders>
                    <w:tl2br w:val="nil"/>
                    <w:tr2bl w:val="nil"/>
                  </w:tcBorders>
                  <w:vAlign w:val="center"/>
                </w:tcPr>
                <w:p w14:paraId="37719F14">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r>
            <w:tr w14:paraId="7FD8550A">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0" w:hRule="atLeast"/>
                <w:jc w:val="center"/>
              </w:trPr>
              <w:tc>
                <w:tcPr>
                  <w:tcW w:w="450" w:type="dxa"/>
                  <w:tcBorders>
                    <w:tl2br w:val="nil"/>
                    <w:tr2bl w:val="nil"/>
                  </w:tcBorders>
                  <w:vAlign w:val="center"/>
                </w:tcPr>
                <w:p w14:paraId="01BF3227">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8</w:t>
                  </w:r>
                </w:p>
              </w:tc>
              <w:tc>
                <w:tcPr>
                  <w:tcW w:w="1232" w:type="dxa"/>
                  <w:tcBorders>
                    <w:tl2br w:val="nil"/>
                    <w:tr2bl w:val="nil"/>
                  </w:tcBorders>
                  <w:vAlign w:val="center"/>
                </w:tcPr>
                <w:p w14:paraId="7FFA0777">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通风橱-4</w:t>
                  </w:r>
                </w:p>
              </w:tc>
              <w:tc>
                <w:tcPr>
                  <w:tcW w:w="651" w:type="dxa"/>
                  <w:tcBorders>
                    <w:tl2br w:val="nil"/>
                    <w:tr2bl w:val="nil"/>
                  </w:tcBorders>
                  <w:vAlign w:val="center"/>
                </w:tcPr>
                <w:p w14:paraId="4E168B01">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65</w:t>
                  </w:r>
                </w:p>
              </w:tc>
              <w:tc>
                <w:tcPr>
                  <w:tcW w:w="936" w:type="dxa"/>
                  <w:vMerge w:val="continue"/>
                  <w:tcBorders>
                    <w:tl2br w:val="nil"/>
                    <w:tr2bl w:val="nil"/>
                  </w:tcBorders>
                  <w:vAlign w:val="center"/>
                </w:tcPr>
                <w:p w14:paraId="7BE3E12B">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c>
                <w:tcPr>
                  <w:tcW w:w="698" w:type="dxa"/>
                  <w:tcBorders>
                    <w:tl2br w:val="nil"/>
                    <w:tr2bl w:val="nil"/>
                  </w:tcBorders>
                  <w:shd w:val="clear" w:color="auto" w:fill="FFFFFF"/>
                  <w:vAlign w:val="center"/>
                </w:tcPr>
                <w:p w14:paraId="1D9D6B7B">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-1.2</w:t>
                  </w:r>
                </w:p>
              </w:tc>
              <w:tc>
                <w:tcPr>
                  <w:tcW w:w="643" w:type="dxa"/>
                  <w:tcBorders>
                    <w:tl2br w:val="nil"/>
                    <w:tr2bl w:val="nil"/>
                  </w:tcBorders>
                  <w:shd w:val="clear" w:color="auto" w:fill="FFFFFF"/>
                  <w:vAlign w:val="center"/>
                </w:tcPr>
                <w:p w14:paraId="57488AF9">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5.6</w:t>
                  </w:r>
                </w:p>
              </w:tc>
              <w:tc>
                <w:tcPr>
                  <w:tcW w:w="546" w:type="dxa"/>
                  <w:tcBorders>
                    <w:tl2br w:val="nil"/>
                    <w:tr2bl w:val="nil"/>
                  </w:tcBorders>
                  <w:shd w:val="clear" w:color="auto" w:fill="FFFFFF"/>
                  <w:vAlign w:val="center"/>
                </w:tcPr>
                <w:p w14:paraId="1A2F1928">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13.7</w:t>
                  </w:r>
                </w:p>
              </w:tc>
              <w:tc>
                <w:tcPr>
                  <w:tcW w:w="971" w:type="dxa"/>
                  <w:tcBorders>
                    <w:tl2br w:val="nil"/>
                    <w:tr2bl w:val="nil"/>
                  </w:tcBorders>
                  <w:shd w:val="clear" w:color="auto" w:fill="auto"/>
                  <w:vAlign w:val="center"/>
                </w:tcPr>
                <w:p w14:paraId="7539F4A6">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45</w:t>
                  </w:r>
                </w:p>
              </w:tc>
              <w:tc>
                <w:tcPr>
                  <w:tcW w:w="886" w:type="dxa"/>
                  <w:tcBorders>
                    <w:tl2br w:val="nil"/>
                    <w:tr2bl w:val="nil"/>
                  </w:tcBorders>
                  <w:shd w:val="clear" w:color="auto" w:fill="auto"/>
                  <w:vAlign w:val="center"/>
                </w:tcPr>
                <w:p w14:paraId="52AD79A1">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664" w:type="dxa"/>
                  <w:vMerge w:val="continue"/>
                  <w:tcBorders>
                    <w:tl2br w:val="nil"/>
                    <w:tr2bl w:val="nil"/>
                  </w:tcBorders>
                  <w:vAlign w:val="center"/>
                </w:tcPr>
                <w:p w14:paraId="6CB8EC81">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r>
            <w:tr w14:paraId="41174360">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0" w:hRule="atLeast"/>
                <w:jc w:val="center"/>
              </w:trPr>
              <w:tc>
                <w:tcPr>
                  <w:tcW w:w="450" w:type="dxa"/>
                  <w:tcBorders>
                    <w:tl2br w:val="nil"/>
                    <w:tr2bl w:val="nil"/>
                  </w:tcBorders>
                  <w:vAlign w:val="center"/>
                </w:tcPr>
                <w:p w14:paraId="4F92215C">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9</w:t>
                  </w:r>
                </w:p>
              </w:tc>
              <w:tc>
                <w:tcPr>
                  <w:tcW w:w="1232" w:type="dxa"/>
                  <w:tcBorders>
                    <w:tl2br w:val="nil"/>
                    <w:tr2bl w:val="nil"/>
                  </w:tcBorders>
                  <w:vAlign w:val="center"/>
                </w:tcPr>
                <w:p w14:paraId="6A1D918F">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通风橱-5</w:t>
                  </w:r>
                </w:p>
              </w:tc>
              <w:tc>
                <w:tcPr>
                  <w:tcW w:w="651" w:type="dxa"/>
                  <w:tcBorders>
                    <w:tl2br w:val="nil"/>
                    <w:tr2bl w:val="nil"/>
                  </w:tcBorders>
                  <w:vAlign w:val="center"/>
                </w:tcPr>
                <w:p w14:paraId="3F60934B">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65</w:t>
                  </w:r>
                </w:p>
              </w:tc>
              <w:tc>
                <w:tcPr>
                  <w:tcW w:w="936" w:type="dxa"/>
                  <w:vMerge w:val="continue"/>
                  <w:tcBorders>
                    <w:tl2br w:val="nil"/>
                    <w:tr2bl w:val="nil"/>
                  </w:tcBorders>
                  <w:vAlign w:val="center"/>
                </w:tcPr>
                <w:p w14:paraId="2FA50380">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c>
                <w:tcPr>
                  <w:tcW w:w="698" w:type="dxa"/>
                  <w:tcBorders>
                    <w:tl2br w:val="nil"/>
                    <w:tr2bl w:val="nil"/>
                  </w:tcBorders>
                  <w:shd w:val="clear" w:color="auto" w:fill="FFFFFF"/>
                  <w:vAlign w:val="center"/>
                </w:tcPr>
                <w:p w14:paraId="49747DCD">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-6.2</w:t>
                  </w:r>
                </w:p>
              </w:tc>
              <w:tc>
                <w:tcPr>
                  <w:tcW w:w="643" w:type="dxa"/>
                  <w:tcBorders>
                    <w:tl2br w:val="nil"/>
                    <w:tr2bl w:val="nil"/>
                  </w:tcBorders>
                  <w:shd w:val="clear" w:color="auto" w:fill="FFFFFF"/>
                  <w:vAlign w:val="center"/>
                </w:tcPr>
                <w:p w14:paraId="30833E79">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5.7</w:t>
                  </w:r>
                </w:p>
              </w:tc>
              <w:tc>
                <w:tcPr>
                  <w:tcW w:w="546" w:type="dxa"/>
                  <w:tcBorders>
                    <w:tl2br w:val="nil"/>
                    <w:tr2bl w:val="nil"/>
                  </w:tcBorders>
                  <w:shd w:val="clear" w:color="auto" w:fill="FFFFFF"/>
                  <w:vAlign w:val="center"/>
                </w:tcPr>
                <w:p w14:paraId="3085D01F">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13.7</w:t>
                  </w:r>
                </w:p>
              </w:tc>
              <w:tc>
                <w:tcPr>
                  <w:tcW w:w="971" w:type="dxa"/>
                  <w:tcBorders>
                    <w:tl2br w:val="nil"/>
                    <w:tr2bl w:val="nil"/>
                  </w:tcBorders>
                  <w:shd w:val="clear" w:color="auto" w:fill="auto"/>
                  <w:vAlign w:val="center"/>
                </w:tcPr>
                <w:p w14:paraId="55B85C91">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45</w:t>
                  </w:r>
                </w:p>
              </w:tc>
              <w:tc>
                <w:tcPr>
                  <w:tcW w:w="886" w:type="dxa"/>
                  <w:tcBorders>
                    <w:tl2br w:val="nil"/>
                    <w:tr2bl w:val="nil"/>
                  </w:tcBorders>
                  <w:shd w:val="clear" w:color="auto" w:fill="auto"/>
                  <w:vAlign w:val="center"/>
                </w:tcPr>
                <w:p w14:paraId="75AC70AC">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664" w:type="dxa"/>
                  <w:vMerge w:val="continue"/>
                  <w:tcBorders>
                    <w:tl2br w:val="nil"/>
                    <w:tr2bl w:val="nil"/>
                  </w:tcBorders>
                  <w:vAlign w:val="center"/>
                </w:tcPr>
                <w:p w14:paraId="70144020">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r>
            <w:tr w14:paraId="494CE79C">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0" w:hRule="atLeast"/>
                <w:jc w:val="center"/>
              </w:trPr>
              <w:tc>
                <w:tcPr>
                  <w:tcW w:w="450" w:type="dxa"/>
                  <w:tcBorders>
                    <w:tl2br w:val="nil"/>
                    <w:tr2bl w:val="nil"/>
                  </w:tcBorders>
                  <w:vAlign w:val="center"/>
                </w:tcPr>
                <w:p w14:paraId="691FBE25">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10</w:t>
                  </w:r>
                </w:p>
              </w:tc>
              <w:tc>
                <w:tcPr>
                  <w:tcW w:w="1232" w:type="dxa"/>
                  <w:tcBorders>
                    <w:tl2br w:val="nil"/>
                    <w:tr2bl w:val="nil"/>
                  </w:tcBorders>
                  <w:vAlign w:val="center"/>
                </w:tcPr>
                <w:p w14:paraId="72925F61">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通风橱-6</w:t>
                  </w:r>
                </w:p>
              </w:tc>
              <w:tc>
                <w:tcPr>
                  <w:tcW w:w="651" w:type="dxa"/>
                  <w:tcBorders>
                    <w:tl2br w:val="nil"/>
                    <w:tr2bl w:val="nil"/>
                  </w:tcBorders>
                  <w:vAlign w:val="center"/>
                </w:tcPr>
                <w:p w14:paraId="4B7A3BBC">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65</w:t>
                  </w:r>
                </w:p>
              </w:tc>
              <w:tc>
                <w:tcPr>
                  <w:tcW w:w="936" w:type="dxa"/>
                  <w:vMerge w:val="continue"/>
                  <w:tcBorders>
                    <w:tl2br w:val="nil"/>
                    <w:tr2bl w:val="nil"/>
                  </w:tcBorders>
                  <w:vAlign w:val="center"/>
                </w:tcPr>
                <w:p w14:paraId="4E0C7564">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c>
                <w:tcPr>
                  <w:tcW w:w="698" w:type="dxa"/>
                  <w:tcBorders>
                    <w:tl2br w:val="nil"/>
                    <w:tr2bl w:val="nil"/>
                  </w:tcBorders>
                  <w:shd w:val="clear" w:color="auto" w:fill="FFFFFF"/>
                  <w:vAlign w:val="center"/>
                </w:tcPr>
                <w:p w14:paraId="1FDC3D1D">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-9.3</w:t>
                  </w:r>
                </w:p>
              </w:tc>
              <w:tc>
                <w:tcPr>
                  <w:tcW w:w="643" w:type="dxa"/>
                  <w:tcBorders>
                    <w:tl2br w:val="nil"/>
                    <w:tr2bl w:val="nil"/>
                  </w:tcBorders>
                  <w:shd w:val="clear" w:color="auto" w:fill="FFFFFF"/>
                  <w:vAlign w:val="center"/>
                </w:tcPr>
                <w:p w14:paraId="566B8812">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5.8</w:t>
                  </w:r>
                </w:p>
              </w:tc>
              <w:tc>
                <w:tcPr>
                  <w:tcW w:w="546" w:type="dxa"/>
                  <w:tcBorders>
                    <w:tl2br w:val="nil"/>
                    <w:tr2bl w:val="nil"/>
                  </w:tcBorders>
                  <w:shd w:val="clear" w:color="auto" w:fill="FFFFFF"/>
                  <w:vAlign w:val="center"/>
                </w:tcPr>
                <w:p w14:paraId="7EF42CBE">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13.7</w:t>
                  </w:r>
                </w:p>
              </w:tc>
              <w:tc>
                <w:tcPr>
                  <w:tcW w:w="971" w:type="dxa"/>
                  <w:tcBorders>
                    <w:tl2br w:val="nil"/>
                    <w:tr2bl w:val="nil"/>
                  </w:tcBorders>
                  <w:shd w:val="clear" w:color="auto" w:fill="auto"/>
                  <w:vAlign w:val="center"/>
                </w:tcPr>
                <w:p w14:paraId="3DBE6C82">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45</w:t>
                  </w:r>
                </w:p>
              </w:tc>
              <w:tc>
                <w:tcPr>
                  <w:tcW w:w="886" w:type="dxa"/>
                  <w:tcBorders>
                    <w:tl2br w:val="nil"/>
                    <w:tr2bl w:val="nil"/>
                  </w:tcBorders>
                  <w:shd w:val="clear" w:color="auto" w:fill="auto"/>
                  <w:vAlign w:val="center"/>
                </w:tcPr>
                <w:p w14:paraId="27432978">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664" w:type="dxa"/>
                  <w:vMerge w:val="continue"/>
                  <w:tcBorders>
                    <w:tl2br w:val="nil"/>
                    <w:tr2bl w:val="nil"/>
                  </w:tcBorders>
                  <w:vAlign w:val="center"/>
                </w:tcPr>
                <w:p w14:paraId="6BDFD999">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r>
            <w:tr w14:paraId="05A06A66">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0" w:hRule="atLeast"/>
                <w:jc w:val="center"/>
              </w:trPr>
              <w:tc>
                <w:tcPr>
                  <w:tcW w:w="450" w:type="dxa"/>
                  <w:tcBorders>
                    <w:tl2br w:val="nil"/>
                    <w:tr2bl w:val="nil"/>
                  </w:tcBorders>
                  <w:vAlign w:val="center"/>
                </w:tcPr>
                <w:p w14:paraId="765F84B1">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11</w:t>
                  </w:r>
                </w:p>
              </w:tc>
              <w:tc>
                <w:tcPr>
                  <w:tcW w:w="1232" w:type="dxa"/>
                  <w:tcBorders>
                    <w:tl2br w:val="nil"/>
                    <w:tr2bl w:val="nil"/>
                  </w:tcBorders>
                  <w:vAlign w:val="center"/>
                </w:tcPr>
                <w:p w14:paraId="35CABD67">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通风橱-7</w:t>
                  </w:r>
                </w:p>
              </w:tc>
              <w:tc>
                <w:tcPr>
                  <w:tcW w:w="651" w:type="dxa"/>
                  <w:tcBorders>
                    <w:tl2br w:val="nil"/>
                    <w:tr2bl w:val="nil"/>
                  </w:tcBorders>
                  <w:vAlign w:val="center"/>
                </w:tcPr>
                <w:p w14:paraId="137A572D">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65</w:t>
                  </w:r>
                </w:p>
              </w:tc>
              <w:tc>
                <w:tcPr>
                  <w:tcW w:w="936" w:type="dxa"/>
                  <w:vMerge w:val="continue"/>
                  <w:tcBorders>
                    <w:tl2br w:val="nil"/>
                    <w:tr2bl w:val="nil"/>
                  </w:tcBorders>
                  <w:vAlign w:val="center"/>
                </w:tcPr>
                <w:p w14:paraId="7657F29C">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c>
                <w:tcPr>
                  <w:tcW w:w="698" w:type="dxa"/>
                  <w:tcBorders>
                    <w:tl2br w:val="nil"/>
                    <w:tr2bl w:val="nil"/>
                  </w:tcBorders>
                  <w:shd w:val="clear" w:color="auto" w:fill="FFFFFF"/>
                  <w:vAlign w:val="center"/>
                </w:tcPr>
                <w:p w14:paraId="12AD6C71">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11.9</w:t>
                  </w:r>
                </w:p>
              </w:tc>
              <w:tc>
                <w:tcPr>
                  <w:tcW w:w="643" w:type="dxa"/>
                  <w:tcBorders>
                    <w:tl2br w:val="nil"/>
                    <w:tr2bl w:val="nil"/>
                  </w:tcBorders>
                  <w:shd w:val="clear" w:color="auto" w:fill="FFFFFF"/>
                  <w:vAlign w:val="center"/>
                </w:tcPr>
                <w:p w14:paraId="6088262C">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-6.1</w:t>
                  </w:r>
                </w:p>
              </w:tc>
              <w:tc>
                <w:tcPr>
                  <w:tcW w:w="546" w:type="dxa"/>
                  <w:tcBorders>
                    <w:tl2br w:val="nil"/>
                    <w:tr2bl w:val="nil"/>
                  </w:tcBorders>
                  <w:shd w:val="clear" w:color="auto" w:fill="FFFFFF"/>
                  <w:vAlign w:val="center"/>
                </w:tcPr>
                <w:p w14:paraId="1F627916">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10.2</w:t>
                  </w:r>
                </w:p>
              </w:tc>
              <w:tc>
                <w:tcPr>
                  <w:tcW w:w="971" w:type="dxa"/>
                  <w:tcBorders>
                    <w:tl2br w:val="nil"/>
                    <w:tr2bl w:val="nil"/>
                  </w:tcBorders>
                  <w:shd w:val="clear" w:color="auto" w:fill="auto"/>
                  <w:vAlign w:val="center"/>
                </w:tcPr>
                <w:p w14:paraId="0C7D20D6">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45</w:t>
                  </w:r>
                </w:p>
              </w:tc>
              <w:tc>
                <w:tcPr>
                  <w:tcW w:w="886" w:type="dxa"/>
                  <w:tcBorders>
                    <w:tl2br w:val="nil"/>
                    <w:tr2bl w:val="nil"/>
                  </w:tcBorders>
                  <w:shd w:val="clear" w:color="auto" w:fill="auto"/>
                  <w:vAlign w:val="center"/>
                </w:tcPr>
                <w:p w14:paraId="789549AA">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664" w:type="dxa"/>
                  <w:vMerge w:val="continue"/>
                  <w:tcBorders>
                    <w:tl2br w:val="nil"/>
                    <w:tr2bl w:val="nil"/>
                  </w:tcBorders>
                  <w:vAlign w:val="center"/>
                </w:tcPr>
                <w:p w14:paraId="219571FC">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r>
            <w:tr w14:paraId="7E563853">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0" w:hRule="atLeast"/>
                <w:jc w:val="center"/>
              </w:trPr>
              <w:tc>
                <w:tcPr>
                  <w:tcW w:w="450" w:type="dxa"/>
                  <w:tcBorders>
                    <w:tl2br w:val="nil"/>
                    <w:tr2bl w:val="nil"/>
                  </w:tcBorders>
                  <w:vAlign w:val="center"/>
                </w:tcPr>
                <w:p w14:paraId="09F8C782">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12</w:t>
                  </w:r>
                </w:p>
              </w:tc>
              <w:tc>
                <w:tcPr>
                  <w:tcW w:w="1232" w:type="dxa"/>
                  <w:tcBorders>
                    <w:tl2br w:val="nil"/>
                    <w:tr2bl w:val="nil"/>
                  </w:tcBorders>
                  <w:vAlign w:val="center"/>
                </w:tcPr>
                <w:p w14:paraId="4244340E">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通风橱-8</w:t>
                  </w:r>
                </w:p>
              </w:tc>
              <w:tc>
                <w:tcPr>
                  <w:tcW w:w="651" w:type="dxa"/>
                  <w:tcBorders>
                    <w:tl2br w:val="nil"/>
                    <w:tr2bl w:val="nil"/>
                  </w:tcBorders>
                  <w:vAlign w:val="center"/>
                </w:tcPr>
                <w:p w14:paraId="1FB51475">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65</w:t>
                  </w:r>
                </w:p>
              </w:tc>
              <w:tc>
                <w:tcPr>
                  <w:tcW w:w="936" w:type="dxa"/>
                  <w:vMerge w:val="continue"/>
                  <w:tcBorders>
                    <w:tl2br w:val="nil"/>
                    <w:tr2bl w:val="nil"/>
                  </w:tcBorders>
                  <w:vAlign w:val="center"/>
                </w:tcPr>
                <w:p w14:paraId="59A8F850">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c>
                <w:tcPr>
                  <w:tcW w:w="698" w:type="dxa"/>
                  <w:tcBorders>
                    <w:tl2br w:val="nil"/>
                    <w:tr2bl w:val="nil"/>
                  </w:tcBorders>
                  <w:shd w:val="clear" w:color="auto" w:fill="FFFFFF"/>
                  <w:vAlign w:val="center"/>
                </w:tcPr>
                <w:p w14:paraId="475CAAC1">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-11.6</w:t>
                  </w:r>
                </w:p>
              </w:tc>
              <w:tc>
                <w:tcPr>
                  <w:tcW w:w="643" w:type="dxa"/>
                  <w:tcBorders>
                    <w:tl2br w:val="nil"/>
                    <w:tr2bl w:val="nil"/>
                  </w:tcBorders>
                  <w:shd w:val="clear" w:color="auto" w:fill="FFFFFF"/>
                  <w:vAlign w:val="center"/>
                </w:tcPr>
                <w:p w14:paraId="3B0B98C7">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-5.9</w:t>
                  </w:r>
                </w:p>
              </w:tc>
              <w:tc>
                <w:tcPr>
                  <w:tcW w:w="546" w:type="dxa"/>
                  <w:tcBorders>
                    <w:tl2br w:val="nil"/>
                    <w:tr2bl w:val="nil"/>
                  </w:tcBorders>
                  <w:shd w:val="clear" w:color="auto" w:fill="FFFFFF"/>
                  <w:vAlign w:val="center"/>
                </w:tcPr>
                <w:p w14:paraId="6232CA9F">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10.2</w:t>
                  </w:r>
                </w:p>
              </w:tc>
              <w:tc>
                <w:tcPr>
                  <w:tcW w:w="971" w:type="dxa"/>
                  <w:tcBorders>
                    <w:tl2br w:val="nil"/>
                    <w:tr2bl w:val="nil"/>
                  </w:tcBorders>
                  <w:shd w:val="clear" w:color="auto" w:fill="auto"/>
                  <w:vAlign w:val="center"/>
                </w:tcPr>
                <w:p w14:paraId="308A0ED4">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45</w:t>
                  </w:r>
                </w:p>
              </w:tc>
              <w:tc>
                <w:tcPr>
                  <w:tcW w:w="886" w:type="dxa"/>
                  <w:tcBorders>
                    <w:tl2br w:val="nil"/>
                    <w:tr2bl w:val="nil"/>
                  </w:tcBorders>
                  <w:shd w:val="clear" w:color="auto" w:fill="auto"/>
                  <w:vAlign w:val="center"/>
                </w:tcPr>
                <w:p w14:paraId="65C73273">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664" w:type="dxa"/>
                  <w:vMerge w:val="continue"/>
                  <w:tcBorders>
                    <w:tl2br w:val="nil"/>
                    <w:tr2bl w:val="nil"/>
                  </w:tcBorders>
                  <w:vAlign w:val="center"/>
                </w:tcPr>
                <w:p w14:paraId="0C0C5E8A">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r>
            <w:tr w14:paraId="27889A49">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0" w:hRule="atLeast"/>
                <w:jc w:val="center"/>
              </w:trPr>
              <w:tc>
                <w:tcPr>
                  <w:tcW w:w="7677" w:type="dxa"/>
                  <w:gridSpan w:val="10"/>
                  <w:tcBorders>
                    <w:tl2br w:val="nil"/>
                    <w:tr2bl w:val="nil"/>
                  </w:tcBorders>
                  <w:vAlign w:val="center"/>
                </w:tcPr>
                <w:p w14:paraId="154435B8">
                  <w:pPr>
                    <w:kinsoku w:val="0"/>
                    <w:overflowPunct w:val="0"/>
                    <w:autoSpaceDE w:val="0"/>
                    <w:autoSpaceDN w:val="0"/>
                    <w:adjustRightInd w:val="0"/>
                    <w:snapToGrid w:val="0"/>
                    <w:jc w:val="left"/>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color w:val="auto"/>
                      <w:sz w:val="21"/>
                      <w:szCs w:val="21"/>
                      <w:lang w:val="en-US" w:eastAsia="zh-CN"/>
                    </w:rPr>
                    <w:t>表中坐标以厂界中心（</w:t>
                  </w:r>
                  <w:bookmarkStart w:id="1" w:name="PO_7"/>
                  <w:r>
                    <w:rPr>
                      <w:rFonts w:hint="default" w:ascii="Times New Roman" w:hAnsi="Times New Roman" w:cs="Times New Roman" w:eastAsiaTheme="minorEastAsia"/>
                      <w:b w:val="0"/>
                      <w:bCs/>
                      <w:sz w:val="21"/>
                      <w:szCs w:val="21"/>
                      <w:lang w:val="en-US" w:eastAsia="zh-CN"/>
                    </w:rPr>
                    <w:t>116.552467</w:t>
                  </w:r>
                  <w:r>
                    <w:rPr>
                      <w:rFonts w:hint="eastAsia" w:ascii="Times New Roman" w:hAnsi="Times New Roman" w:cs="Times New Roman" w:eastAsiaTheme="minorEastAsia"/>
                      <w:b w:val="0"/>
                      <w:bCs/>
                      <w:sz w:val="21"/>
                      <w:szCs w:val="21"/>
                      <w:lang w:val="en-US" w:eastAsia="zh-CN"/>
                    </w:rPr>
                    <w:t>，</w:t>
                  </w:r>
                  <w:r>
                    <w:rPr>
                      <w:rFonts w:hint="default" w:ascii="Times New Roman" w:hAnsi="Times New Roman" w:cs="Times New Roman" w:eastAsiaTheme="minorEastAsia"/>
                      <w:b w:val="0"/>
                      <w:bCs/>
                      <w:sz w:val="21"/>
                      <w:szCs w:val="21"/>
                      <w:lang w:val="en-US" w:eastAsia="zh-CN"/>
                    </w:rPr>
                    <w:t>39.730022</w:t>
                  </w:r>
                  <w:bookmarkEnd w:id="1"/>
                  <w:r>
                    <w:rPr>
                      <w:rFonts w:hint="default" w:ascii="Times New Roman" w:hAnsi="Times New Roman" w:eastAsia="宋体" w:cs="Times New Roman"/>
                      <w:b w:val="0"/>
                      <w:bCs/>
                      <w:color w:val="auto"/>
                      <w:sz w:val="21"/>
                      <w:szCs w:val="21"/>
                      <w:lang w:val="en-US" w:eastAsia="zh-CN"/>
                    </w:rPr>
                    <w:t>）为坐标原点，正东向为X轴正方向，正北向为Y轴正方向。</w:t>
                  </w:r>
                </w:p>
              </w:tc>
            </w:tr>
          </w:tbl>
          <w:p w14:paraId="35ABE134">
            <w:pPr>
              <w:adjustRightInd w:val="0"/>
              <w:spacing w:line="360" w:lineRule="auto"/>
              <w:ind w:firstLine="480" w:firstLineChars="200"/>
              <w:rPr>
                <w:rFonts w:hint="default" w:ascii="Times New Roman" w:hAnsi="Times New Roman" w:eastAsia="宋体" w:cs="Times New Roman"/>
                <w:snapToGrid w:val="0"/>
                <w:color w:val="auto"/>
                <w:kern w:val="0"/>
                <w:sz w:val="24"/>
                <w:highlight w:val="none"/>
                <w:lang w:val="en-US" w:eastAsia="zh-CN"/>
              </w:rPr>
            </w:pPr>
            <w:r>
              <w:rPr>
                <w:rFonts w:hint="default" w:ascii="Times New Roman" w:hAnsi="Times New Roman" w:eastAsia="宋体" w:cs="Times New Roman"/>
                <w:snapToGrid w:val="0"/>
                <w:color w:val="auto"/>
                <w:kern w:val="0"/>
                <w:sz w:val="24"/>
                <w:highlight w:val="none"/>
                <w:lang w:eastAsia="zh-CN"/>
              </w:rPr>
              <w:t>（</w:t>
            </w:r>
            <w:r>
              <w:rPr>
                <w:rFonts w:hint="default" w:ascii="Times New Roman" w:hAnsi="Times New Roman" w:eastAsia="宋体" w:cs="Times New Roman"/>
                <w:snapToGrid w:val="0"/>
                <w:color w:val="auto"/>
                <w:kern w:val="0"/>
                <w:sz w:val="24"/>
                <w:highlight w:val="none"/>
                <w:lang w:val="en-US" w:eastAsia="zh-CN"/>
              </w:rPr>
              <w:t>2</w:t>
            </w:r>
            <w:r>
              <w:rPr>
                <w:rFonts w:hint="default" w:ascii="Times New Roman" w:hAnsi="Times New Roman" w:eastAsia="宋体" w:cs="Times New Roman"/>
                <w:snapToGrid w:val="0"/>
                <w:color w:val="auto"/>
                <w:kern w:val="0"/>
                <w:sz w:val="24"/>
                <w:highlight w:val="none"/>
                <w:lang w:eastAsia="zh-CN"/>
              </w:rPr>
              <w:t>）</w:t>
            </w:r>
            <w:r>
              <w:rPr>
                <w:rFonts w:hint="default" w:ascii="Times New Roman" w:hAnsi="Times New Roman" w:eastAsia="宋体" w:cs="Times New Roman"/>
                <w:snapToGrid w:val="0"/>
                <w:color w:val="auto"/>
                <w:kern w:val="0"/>
                <w:sz w:val="24"/>
                <w:highlight w:val="none"/>
                <w:lang w:val="en-US" w:eastAsia="zh-CN"/>
              </w:rPr>
              <w:t>噪声影响分析</w:t>
            </w:r>
          </w:p>
          <w:p w14:paraId="6243DB5B">
            <w:pPr>
              <w:adjustRightInd w:val="0"/>
              <w:spacing w:line="360" w:lineRule="auto"/>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根据《环境影响评价技术导则 声环境》（HJ 2.4—2021）推荐的方法，把上述声源当作点声源处理，等效点声源位置在声源本身的中心，对项目噪声环境影响进行预测：</w:t>
            </w:r>
          </w:p>
          <w:p w14:paraId="50C116CB">
            <w:pPr>
              <w:numPr>
                <w:ilvl w:val="0"/>
                <w:numId w:val="44"/>
              </w:numPr>
              <w:adjustRightInd w:val="0"/>
              <w:spacing w:line="360" w:lineRule="auto"/>
              <w:ind w:left="0" w:leftChars="0"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点声源几何发散在预测点（厂界处）产生的A声级的计算：</w:t>
            </w:r>
          </w:p>
          <w:p w14:paraId="00D67B2F">
            <w:pPr>
              <w:adjustRightInd w:val="0"/>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27" o:spt="75" type="#_x0000_t75" style="height:18.15pt;width:163.4pt;" o:ole="t" filled="f" coordsize="21600,21600">
                  <v:path/>
                  <v:fill on="f" focussize="0,0"/>
                  <v:stroke/>
                  <v:imagedata r:id="rId19" o:title=""/>
                  <o:lock v:ext="edit" aspectratio="t"/>
                  <w10:wrap type="none"/>
                  <w10:anchorlock/>
                </v:shape>
                <o:OLEObject Type="Embed" ProgID="Equation.3" ShapeID="_x0000_i1027" DrawAspect="Content" ObjectID="_1468075727" r:id="rId18">
                  <o:LockedField>false</o:LockedField>
                </o:OLEObject>
              </w:object>
            </w:r>
          </w:p>
          <w:p w14:paraId="43A140DC">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w:t>
            </w:r>
          </w:p>
          <w:p w14:paraId="1A695CE9">
            <w:pPr>
              <w:adjustRightInd w:val="0"/>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w:t>
            </w:r>
            <w:r>
              <w:rPr>
                <w:rFonts w:hint="default" w:ascii="Times New Roman" w:hAnsi="Times New Roman" w:eastAsia="宋体" w:cs="Times New Roman"/>
                <w:color w:val="auto"/>
                <w:sz w:val="24"/>
                <w:highlight w:val="none"/>
              </w:rPr>
              <w:t>(r)—距声源r处（厂界处）的A声级，dB(A)；</w:t>
            </w:r>
          </w:p>
          <w:p w14:paraId="582FE280">
            <w:pPr>
              <w:adjustRightInd w:val="0"/>
              <w:spacing w:line="360" w:lineRule="auto"/>
              <w:ind w:firstLine="1200" w:firstLineChars="500"/>
              <w:outlineLvl w:val="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)—参考位置r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处（声源）的A声级，dB(A)；</w:t>
            </w:r>
          </w:p>
          <w:p w14:paraId="15728138">
            <w:pPr>
              <w:adjustRightInd w:val="0"/>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vertAlign w:val="subscript"/>
              </w:rPr>
              <w:t>bar</w:t>
            </w:r>
            <w:r>
              <w:rPr>
                <w:rFonts w:hint="default" w:ascii="Times New Roman" w:hAnsi="Times New Roman" w:eastAsia="宋体" w:cs="Times New Roman"/>
                <w:color w:val="auto"/>
                <w:sz w:val="24"/>
                <w:highlight w:val="none"/>
              </w:rPr>
              <w:t>—声屏障引起的倍频带衰减（建筑隔声），dB；</w:t>
            </w:r>
          </w:p>
          <w:p w14:paraId="196E5292">
            <w:pPr>
              <w:numPr>
                <w:ilvl w:val="0"/>
                <w:numId w:val="44"/>
              </w:numPr>
              <w:adjustRightInd w:val="0"/>
              <w:spacing w:line="360" w:lineRule="auto"/>
              <w:ind w:left="0" w:leftChars="0"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噪声叠加公式</w:t>
            </w:r>
          </w:p>
          <w:p w14:paraId="295E8BE0">
            <w:pPr>
              <w:adjustRightIn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对于多点源存在时，某个评价点的噪声贡献，可用下式计算：</w:t>
            </w:r>
          </w:p>
          <w:p w14:paraId="2A122995">
            <w:pPr>
              <w:adjustRightInd w:val="0"/>
              <w:spacing w:line="360" w:lineRule="auto"/>
              <w:ind w:firstLine="2520" w:firstLineChars="105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Lp=10Lg（10</w:t>
            </w:r>
            <w:r>
              <w:rPr>
                <w:rFonts w:hint="default" w:ascii="Times New Roman" w:hAnsi="Times New Roman" w:eastAsia="宋体" w:cs="Times New Roman"/>
                <w:bCs/>
                <w:color w:val="auto"/>
                <w:sz w:val="24"/>
                <w:highlight w:val="none"/>
                <w:vertAlign w:val="superscript"/>
              </w:rPr>
              <w:t>Lp1/10</w:t>
            </w:r>
            <w:r>
              <w:rPr>
                <w:rFonts w:hint="default" w:ascii="Times New Roman" w:hAnsi="Times New Roman" w:eastAsia="宋体" w:cs="Times New Roman"/>
                <w:bCs/>
                <w:color w:val="auto"/>
                <w:sz w:val="24"/>
                <w:highlight w:val="none"/>
              </w:rPr>
              <w:t>+10</w:t>
            </w:r>
            <w:r>
              <w:rPr>
                <w:rFonts w:hint="default" w:ascii="Times New Roman" w:hAnsi="Times New Roman" w:eastAsia="宋体" w:cs="Times New Roman"/>
                <w:bCs/>
                <w:color w:val="auto"/>
                <w:sz w:val="24"/>
                <w:highlight w:val="none"/>
                <w:vertAlign w:val="superscript"/>
              </w:rPr>
              <w:t>Lp2/10</w:t>
            </w:r>
            <w:r>
              <w:rPr>
                <w:rFonts w:hint="default" w:ascii="Times New Roman" w:hAnsi="Times New Roman" w:eastAsia="宋体" w:cs="Times New Roman"/>
                <w:bCs/>
                <w:color w:val="auto"/>
                <w:sz w:val="24"/>
                <w:highlight w:val="none"/>
              </w:rPr>
              <w:t>+…）</w:t>
            </w:r>
          </w:p>
          <w:p w14:paraId="2CE70F62">
            <w:pPr>
              <w:adjustRightInd w:val="0"/>
              <w:ind w:firstLine="480" w:firstLineChars="200"/>
              <w:outlineLvl w:val="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式中：L——总等效声级；</w:t>
            </w:r>
          </w:p>
          <w:p w14:paraId="47D7EE04">
            <w:pPr>
              <w:adjustRightInd w:val="0"/>
              <w:spacing w:line="360" w:lineRule="auto"/>
              <w:ind w:firstLine="1200" w:firstLineChars="5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L1，L2…，Ln——分别为n个噪声的等效声级。</w:t>
            </w:r>
          </w:p>
          <w:p w14:paraId="0618ABA6">
            <w:pPr>
              <w:numPr>
                <w:ilvl w:val="0"/>
                <w:numId w:val="44"/>
              </w:numPr>
              <w:adjustRightInd w:val="0"/>
              <w:spacing w:line="360" w:lineRule="auto"/>
              <w:ind w:left="0" w:leftChars="0"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室内声源可采用等效室外声源声功率级法进行计算。设靠近门口处（或窗户）室内、室外的声压级分别为 L</w:t>
            </w:r>
            <w:r>
              <w:rPr>
                <w:rFonts w:hint="default" w:ascii="Times New Roman" w:hAnsi="Times New Roman" w:eastAsia="宋体" w:cs="Times New Roman"/>
                <w:bCs/>
                <w:i/>
                <w:iCs/>
                <w:snapToGrid w:val="0"/>
                <w:color w:val="auto"/>
                <w:kern w:val="0"/>
                <w:sz w:val="24"/>
                <w:highlight w:val="none"/>
                <w:vertAlign w:val="subscript"/>
              </w:rPr>
              <w:t>p1</w:t>
            </w:r>
            <w:r>
              <w:rPr>
                <w:rFonts w:hint="default" w:ascii="Times New Roman" w:hAnsi="Times New Roman" w:eastAsia="宋体" w:cs="Times New Roman"/>
                <w:bCs/>
                <w:snapToGrid w:val="0"/>
                <w:color w:val="auto"/>
                <w:kern w:val="0"/>
                <w:sz w:val="24"/>
                <w:highlight w:val="none"/>
              </w:rPr>
              <w:t>和 L</w:t>
            </w:r>
            <w:r>
              <w:rPr>
                <w:rFonts w:hint="default" w:ascii="Times New Roman" w:hAnsi="Times New Roman" w:eastAsia="宋体" w:cs="Times New Roman"/>
                <w:bCs/>
                <w:i/>
                <w:iCs/>
                <w:snapToGrid w:val="0"/>
                <w:color w:val="auto"/>
                <w:kern w:val="0"/>
                <w:sz w:val="24"/>
                <w:highlight w:val="none"/>
                <w:vertAlign w:val="subscript"/>
              </w:rPr>
              <w:t>p2</w:t>
            </w:r>
            <w:r>
              <w:rPr>
                <w:rFonts w:hint="default" w:ascii="Times New Roman" w:hAnsi="Times New Roman" w:eastAsia="宋体" w:cs="Times New Roman"/>
                <w:bCs/>
                <w:snapToGrid w:val="0"/>
                <w:color w:val="auto"/>
                <w:kern w:val="0"/>
                <w:sz w:val="24"/>
                <w:highlight w:val="none"/>
              </w:rPr>
              <w:t>。若声源所在室内声场为近似扩散声场，则室外的声压级可按下式近似求出：</w:t>
            </w:r>
          </w:p>
          <w:p w14:paraId="35977EC8">
            <w:pPr>
              <w:adjustRightInd w:val="0"/>
              <w:spacing w:line="360" w:lineRule="auto"/>
              <w:ind w:firstLine="480" w:firstLineChars="200"/>
              <w:jc w:val="center"/>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L</w:t>
            </w:r>
            <w:r>
              <w:rPr>
                <w:rFonts w:hint="default" w:ascii="Times New Roman" w:hAnsi="Times New Roman" w:eastAsia="宋体" w:cs="Times New Roman"/>
                <w:bCs/>
                <w:i/>
                <w:iCs/>
                <w:snapToGrid w:val="0"/>
                <w:color w:val="auto"/>
                <w:kern w:val="0"/>
                <w:sz w:val="24"/>
                <w:highlight w:val="none"/>
                <w:vertAlign w:val="subscript"/>
              </w:rPr>
              <w:t>p2</w:t>
            </w:r>
            <w:r>
              <w:rPr>
                <w:rFonts w:hint="default" w:ascii="Times New Roman" w:hAnsi="Times New Roman" w:eastAsia="宋体" w:cs="Times New Roman"/>
                <w:bCs/>
                <w:snapToGrid w:val="0"/>
                <w:color w:val="auto"/>
                <w:kern w:val="0"/>
                <w:sz w:val="24"/>
                <w:highlight w:val="none"/>
              </w:rPr>
              <w:t>=L</w:t>
            </w:r>
            <w:r>
              <w:rPr>
                <w:rFonts w:hint="default" w:ascii="Times New Roman" w:hAnsi="Times New Roman" w:eastAsia="宋体" w:cs="Times New Roman"/>
                <w:bCs/>
                <w:i/>
                <w:iCs/>
                <w:snapToGrid w:val="0"/>
                <w:color w:val="auto"/>
                <w:kern w:val="0"/>
                <w:sz w:val="24"/>
                <w:highlight w:val="none"/>
                <w:vertAlign w:val="subscript"/>
              </w:rPr>
              <w:t>p1</w:t>
            </w:r>
            <w:r>
              <w:rPr>
                <w:rFonts w:hint="default" w:ascii="Times New Roman" w:hAnsi="Times New Roman" w:eastAsia="宋体" w:cs="Times New Roman"/>
                <w:bCs/>
                <w:snapToGrid w:val="0"/>
                <w:color w:val="auto"/>
                <w:kern w:val="0"/>
                <w:sz w:val="24"/>
                <w:highlight w:val="none"/>
              </w:rPr>
              <w:t>-(TL+6)</w:t>
            </w:r>
          </w:p>
          <w:p w14:paraId="0B8AE84E">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式中：TL——围护结构的隔声量，dB(A)，根据《民用建筑隔声设计规范》（GB50118-2010）表 8.2.1，办公室与普通房间之间的隔墙、楼板隔声标准最低为 45dB。本项目保守考虑，工业厂房建筑隔声按照 20dB 计。</w:t>
            </w:r>
          </w:p>
          <w:p w14:paraId="7EF9E164">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计算某一室内声源靠近围护结构处产生的倍频带声压级：</w:t>
            </w:r>
          </w:p>
          <w:p w14:paraId="54B98A65">
            <w:pPr>
              <w:adjustRightInd w:val="0"/>
              <w:spacing w:line="360" w:lineRule="auto"/>
              <w:ind w:firstLine="42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color w:val="auto"/>
                <w:highlight w:val="none"/>
              </w:rPr>
              <w:drawing>
                <wp:anchor distT="0" distB="0" distL="114300" distR="114300" simplePos="0" relativeHeight="251665408" behindDoc="0" locked="0" layoutInCell="1" allowOverlap="1">
                  <wp:simplePos x="0" y="0"/>
                  <wp:positionH relativeFrom="column">
                    <wp:posOffset>1477645</wp:posOffset>
                  </wp:positionH>
                  <wp:positionV relativeFrom="paragraph">
                    <wp:posOffset>10160</wp:posOffset>
                  </wp:positionV>
                  <wp:extent cx="1887220" cy="457200"/>
                  <wp:effectExtent l="0" t="0" r="2540" b="0"/>
                  <wp:wrapTopAndBottom/>
                  <wp:docPr id="1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3"/>
                          <pic:cNvPicPr>
                            <a:picLocks noChangeAspect="1"/>
                          </pic:cNvPicPr>
                        </pic:nvPicPr>
                        <pic:blipFill>
                          <a:blip r:embed="rId20"/>
                          <a:stretch>
                            <a:fillRect/>
                          </a:stretch>
                        </pic:blipFill>
                        <pic:spPr>
                          <a:xfrm>
                            <a:off x="0" y="0"/>
                            <a:ext cx="1887220" cy="457200"/>
                          </a:xfrm>
                          <a:prstGeom prst="rect">
                            <a:avLst/>
                          </a:prstGeom>
                          <a:noFill/>
                          <a:ln>
                            <a:noFill/>
                          </a:ln>
                        </pic:spPr>
                      </pic:pic>
                    </a:graphicData>
                  </a:graphic>
                </wp:anchor>
              </w:drawing>
            </w:r>
            <w:r>
              <w:rPr>
                <w:rFonts w:hint="default" w:ascii="Times New Roman" w:hAnsi="Times New Roman" w:eastAsia="宋体" w:cs="Times New Roman"/>
                <w:bCs/>
                <w:snapToGrid w:val="0"/>
                <w:color w:val="auto"/>
                <w:kern w:val="0"/>
                <w:sz w:val="24"/>
                <w:highlight w:val="none"/>
              </w:rPr>
              <w:t>式中：L</w:t>
            </w:r>
            <w:r>
              <w:rPr>
                <w:rFonts w:hint="default" w:ascii="Times New Roman" w:hAnsi="Times New Roman" w:eastAsia="宋体" w:cs="Times New Roman"/>
                <w:bCs/>
                <w:i/>
                <w:iCs/>
                <w:snapToGrid w:val="0"/>
                <w:color w:val="auto"/>
                <w:kern w:val="0"/>
                <w:sz w:val="24"/>
                <w:highlight w:val="none"/>
                <w:vertAlign w:val="subscript"/>
              </w:rPr>
              <w:t>p1</w:t>
            </w:r>
            <w:r>
              <w:rPr>
                <w:rFonts w:hint="default" w:ascii="Times New Roman" w:hAnsi="Times New Roman" w:eastAsia="宋体" w:cs="Times New Roman"/>
                <w:bCs/>
                <w:snapToGrid w:val="0"/>
                <w:color w:val="auto"/>
                <w:kern w:val="0"/>
                <w:sz w:val="24"/>
                <w:highlight w:val="none"/>
              </w:rPr>
              <w:t>——靠近开口处（或窗户）室内某倍频带的声压级或 A 声级，dB；</w:t>
            </w:r>
          </w:p>
          <w:p w14:paraId="058DCBE5">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L</w:t>
            </w:r>
            <w:r>
              <w:rPr>
                <w:rFonts w:hint="default" w:ascii="Times New Roman" w:hAnsi="Times New Roman" w:eastAsia="宋体" w:cs="Times New Roman"/>
                <w:bCs/>
                <w:i/>
                <w:iCs/>
                <w:snapToGrid w:val="0"/>
                <w:color w:val="auto"/>
                <w:kern w:val="0"/>
                <w:sz w:val="24"/>
                <w:highlight w:val="none"/>
                <w:vertAlign w:val="subscript"/>
              </w:rPr>
              <w:t>W</w:t>
            </w:r>
            <w:r>
              <w:rPr>
                <w:rFonts w:hint="default" w:ascii="Times New Roman" w:hAnsi="Times New Roman" w:eastAsia="宋体" w:cs="Times New Roman"/>
                <w:bCs/>
                <w:snapToGrid w:val="0"/>
                <w:color w:val="auto"/>
                <w:kern w:val="0"/>
                <w:sz w:val="24"/>
                <w:highlight w:val="none"/>
              </w:rPr>
              <w:t>——点声源声功率级（A 计权或倍频带），dB；</w:t>
            </w:r>
          </w:p>
          <w:p w14:paraId="4F53B466">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Q——指向性因数；通常对无指向性声源，当声源放在房间中心时，Q=1；</w:t>
            </w:r>
          </w:p>
          <w:p w14:paraId="765D1830">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当放在一面墙的中心时，Q=2；当放在两面墙夹角处时，Q=4；当放在三面墙夹角处时，Q=8；</w:t>
            </w:r>
          </w:p>
          <w:p w14:paraId="3EE67ECA">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R——房间常数；R=S/(1-α)，S 为房间内表面面积，m</w:t>
            </w:r>
            <w:r>
              <w:rPr>
                <w:rFonts w:hint="default" w:ascii="Times New Roman" w:hAnsi="Times New Roman" w:eastAsia="宋体" w:cs="Times New Roman"/>
                <w:bCs/>
                <w:snapToGrid w:val="0"/>
                <w:color w:val="auto"/>
                <w:kern w:val="0"/>
                <w:sz w:val="24"/>
                <w:highlight w:val="none"/>
                <w:vertAlign w:val="superscript"/>
              </w:rPr>
              <w:t>2</w:t>
            </w:r>
            <w:r>
              <w:rPr>
                <w:rFonts w:hint="default" w:ascii="Times New Roman" w:hAnsi="Times New Roman" w:eastAsia="宋体" w:cs="Times New Roman"/>
                <w:bCs/>
                <w:snapToGrid w:val="0"/>
                <w:color w:val="auto"/>
                <w:kern w:val="0"/>
                <w:sz w:val="24"/>
                <w:highlight w:val="none"/>
              </w:rPr>
              <w:t>；α为平均吸声系数；</w:t>
            </w:r>
          </w:p>
          <w:p w14:paraId="37658CB4">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r——声源到靠近围护结构某点处的距离，m。</w:t>
            </w:r>
          </w:p>
          <w:p w14:paraId="558AF215">
            <w:pPr>
              <w:numPr>
                <w:ilvl w:val="0"/>
                <w:numId w:val="44"/>
              </w:numPr>
              <w:adjustRightInd w:val="0"/>
              <w:spacing w:line="360" w:lineRule="auto"/>
              <w:ind w:left="0" w:leftChars="0"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建设项目声源在预测点产生的等效声级贡献值计算公式：</w:t>
            </w:r>
          </w:p>
          <w:p w14:paraId="7925B7D1">
            <w:pPr>
              <w:adjustRightInd w:val="0"/>
              <w:spacing w:line="360" w:lineRule="auto"/>
              <w:ind w:firstLine="420" w:firstLineChars="200"/>
              <w:jc w:val="center"/>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color w:val="auto"/>
                <w:highlight w:val="none"/>
              </w:rPr>
              <w:drawing>
                <wp:inline distT="0" distB="0" distL="114300" distR="114300">
                  <wp:extent cx="2581275" cy="600075"/>
                  <wp:effectExtent l="0" t="0" r="9525" b="9525"/>
                  <wp:docPr id="1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
                          <pic:cNvPicPr>
                            <a:picLocks noChangeAspect="1"/>
                          </pic:cNvPicPr>
                        </pic:nvPicPr>
                        <pic:blipFill>
                          <a:blip r:embed="rId21"/>
                          <a:stretch>
                            <a:fillRect/>
                          </a:stretch>
                        </pic:blipFill>
                        <pic:spPr>
                          <a:xfrm>
                            <a:off x="0" y="0"/>
                            <a:ext cx="2581275" cy="600075"/>
                          </a:xfrm>
                          <a:prstGeom prst="rect">
                            <a:avLst/>
                          </a:prstGeom>
                          <a:noFill/>
                          <a:ln>
                            <a:noFill/>
                          </a:ln>
                        </pic:spPr>
                      </pic:pic>
                    </a:graphicData>
                  </a:graphic>
                </wp:inline>
              </w:drawing>
            </w:r>
          </w:p>
          <w:p w14:paraId="55A7E794">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式中：L</w:t>
            </w:r>
            <w:r>
              <w:rPr>
                <w:rFonts w:hint="default" w:ascii="Times New Roman" w:hAnsi="Times New Roman" w:eastAsia="宋体" w:cs="Times New Roman"/>
                <w:bCs/>
                <w:i/>
                <w:iCs/>
                <w:snapToGrid w:val="0"/>
                <w:color w:val="auto"/>
                <w:kern w:val="0"/>
                <w:sz w:val="24"/>
                <w:highlight w:val="none"/>
                <w:vertAlign w:val="subscript"/>
              </w:rPr>
              <w:t>eqg</w:t>
            </w:r>
            <w:r>
              <w:rPr>
                <w:rFonts w:hint="default" w:ascii="Times New Roman" w:hAnsi="Times New Roman" w:eastAsia="宋体" w:cs="Times New Roman"/>
                <w:bCs/>
                <w:snapToGrid w:val="0"/>
                <w:color w:val="auto"/>
                <w:kern w:val="0"/>
                <w:sz w:val="24"/>
                <w:highlight w:val="none"/>
              </w:rPr>
              <w:t>—建设项目声源在预测点的等效声级贡献值，dB(A)；</w:t>
            </w:r>
          </w:p>
          <w:p w14:paraId="707AD75D">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L</w:t>
            </w:r>
            <w:r>
              <w:rPr>
                <w:rFonts w:hint="default" w:ascii="Times New Roman" w:hAnsi="Times New Roman" w:eastAsia="宋体" w:cs="Times New Roman"/>
                <w:bCs/>
                <w:i/>
                <w:iCs/>
                <w:snapToGrid w:val="0"/>
                <w:color w:val="auto"/>
                <w:kern w:val="0"/>
                <w:sz w:val="24"/>
                <w:highlight w:val="none"/>
                <w:vertAlign w:val="subscript"/>
              </w:rPr>
              <w:t>Ai</w:t>
            </w:r>
            <w:r>
              <w:rPr>
                <w:rFonts w:hint="default" w:ascii="Times New Roman" w:hAnsi="Times New Roman" w:eastAsia="宋体" w:cs="Times New Roman"/>
                <w:bCs/>
                <w:snapToGrid w:val="0"/>
                <w:color w:val="auto"/>
                <w:kern w:val="0"/>
                <w:sz w:val="24"/>
                <w:highlight w:val="none"/>
              </w:rPr>
              <w:t>—i 声源在预测点产生的 A 声级，dB(A)；</w:t>
            </w:r>
          </w:p>
          <w:p w14:paraId="20DE033F">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T—预测计算的时间段，s；</w:t>
            </w:r>
          </w:p>
          <w:p w14:paraId="0F90EA02">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t</w:t>
            </w:r>
            <w:r>
              <w:rPr>
                <w:rFonts w:hint="default" w:ascii="Times New Roman" w:hAnsi="Times New Roman" w:eastAsia="宋体" w:cs="Times New Roman"/>
                <w:bCs/>
                <w:i/>
                <w:iCs/>
                <w:snapToGrid w:val="0"/>
                <w:color w:val="auto"/>
                <w:kern w:val="0"/>
                <w:sz w:val="24"/>
                <w:highlight w:val="none"/>
                <w:vertAlign w:val="subscript"/>
              </w:rPr>
              <w:t>i</w:t>
            </w:r>
            <w:r>
              <w:rPr>
                <w:rFonts w:hint="default" w:ascii="Times New Roman" w:hAnsi="Times New Roman" w:eastAsia="宋体" w:cs="Times New Roman"/>
                <w:bCs/>
                <w:snapToGrid w:val="0"/>
                <w:color w:val="auto"/>
                <w:kern w:val="0"/>
                <w:sz w:val="24"/>
                <w:highlight w:val="none"/>
              </w:rPr>
              <w:t>—i 声源在T 时段内的运行时间，s。</w:t>
            </w:r>
          </w:p>
          <w:p w14:paraId="33CD920A">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本项目噪声预测值详见下表。</w:t>
            </w:r>
          </w:p>
          <w:p w14:paraId="2A62F14F">
            <w:pPr>
              <w:numPr>
                <w:ilvl w:val="0"/>
                <w:numId w:val="40"/>
              </w:numPr>
              <w:adjustRightInd w:val="0"/>
              <w:spacing w:line="360" w:lineRule="auto"/>
              <w:ind w:left="425" w:leftChars="0" w:hanging="425" w:firstLineChars="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 xml:space="preserve"> 建设项目厂界噪声预测结果一览表   单位：dB(A)</w:t>
            </w:r>
          </w:p>
          <w:tbl>
            <w:tblPr>
              <w:tblStyle w:val="23"/>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1426"/>
              <w:gridCol w:w="1596"/>
              <w:gridCol w:w="1743"/>
              <w:gridCol w:w="1417"/>
            </w:tblGrid>
            <w:tr w14:paraId="7075F1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1235" w:type="dxa"/>
                  <w:tcBorders>
                    <w:tl2br w:val="nil"/>
                    <w:tr2bl w:val="nil"/>
                  </w:tcBorders>
                  <w:vAlign w:val="center"/>
                </w:tcPr>
                <w:p w14:paraId="74D011E6">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预测方位</w:t>
                  </w:r>
                </w:p>
              </w:tc>
              <w:tc>
                <w:tcPr>
                  <w:tcW w:w="1426" w:type="dxa"/>
                  <w:tcBorders>
                    <w:tl2br w:val="nil"/>
                    <w:tr2bl w:val="nil"/>
                  </w:tcBorders>
                  <w:vAlign w:val="center"/>
                </w:tcPr>
                <w:p w14:paraId="052E84BE">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时段</w:t>
                  </w:r>
                </w:p>
              </w:tc>
              <w:tc>
                <w:tcPr>
                  <w:tcW w:w="1596" w:type="dxa"/>
                  <w:tcBorders>
                    <w:tl2br w:val="nil"/>
                    <w:tr2bl w:val="nil"/>
                  </w:tcBorders>
                  <w:vAlign w:val="center"/>
                </w:tcPr>
                <w:p w14:paraId="6D4C0CB4">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贡献值dB(A)</w:t>
                  </w:r>
                </w:p>
              </w:tc>
              <w:tc>
                <w:tcPr>
                  <w:tcW w:w="1743" w:type="dxa"/>
                  <w:tcBorders>
                    <w:tl2br w:val="nil"/>
                    <w:tr2bl w:val="nil"/>
                  </w:tcBorders>
                  <w:vAlign w:val="center"/>
                </w:tcPr>
                <w:p w14:paraId="62EA0190">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标准限值dB(A)</w:t>
                  </w:r>
                </w:p>
              </w:tc>
              <w:tc>
                <w:tcPr>
                  <w:tcW w:w="1417" w:type="dxa"/>
                  <w:tcBorders>
                    <w:tl2br w:val="nil"/>
                    <w:tr2bl w:val="nil"/>
                  </w:tcBorders>
                  <w:vAlign w:val="center"/>
                </w:tcPr>
                <w:p w14:paraId="60C7F9F8">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达标情况</w:t>
                  </w:r>
                </w:p>
              </w:tc>
            </w:tr>
            <w:tr w14:paraId="6F41F0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2" w:hRule="exact"/>
                <w:jc w:val="center"/>
              </w:trPr>
              <w:tc>
                <w:tcPr>
                  <w:tcW w:w="1235" w:type="dxa"/>
                  <w:tcBorders>
                    <w:tl2br w:val="nil"/>
                    <w:tr2bl w:val="nil"/>
                  </w:tcBorders>
                  <w:shd w:val="clear" w:color="auto" w:fill="FFFFFF"/>
                  <w:vAlign w:val="center"/>
                </w:tcPr>
                <w:p w14:paraId="3157730F">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东侧</w:t>
                  </w:r>
                </w:p>
              </w:tc>
              <w:tc>
                <w:tcPr>
                  <w:tcW w:w="1426" w:type="dxa"/>
                  <w:tcBorders>
                    <w:tl2br w:val="nil"/>
                    <w:tr2bl w:val="nil"/>
                  </w:tcBorders>
                  <w:shd w:val="clear" w:color="auto" w:fill="FFFFFF"/>
                  <w:vAlign w:val="center"/>
                </w:tcPr>
                <w:p w14:paraId="10FF4205">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昼间</w:t>
                  </w:r>
                </w:p>
              </w:tc>
              <w:tc>
                <w:tcPr>
                  <w:tcW w:w="1596" w:type="dxa"/>
                  <w:tcBorders>
                    <w:tl2br w:val="nil"/>
                    <w:tr2bl w:val="nil"/>
                  </w:tcBorders>
                  <w:shd w:val="clear" w:color="auto" w:fill="FFFFFF"/>
                  <w:vAlign w:val="center"/>
                </w:tcPr>
                <w:p w14:paraId="6B2989B3">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49.6</w:t>
                  </w:r>
                </w:p>
              </w:tc>
              <w:tc>
                <w:tcPr>
                  <w:tcW w:w="1743" w:type="dxa"/>
                  <w:tcBorders>
                    <w:tl2br w:val="nil"/>
                    <w:tr2bl w:val="nil"/>
                  </w:tcBorders>
                  <w:shd w:val="clear" w:color="auto" w:fill="FFFFFF"/>
                  <w:vAlign w:val="center"/>
                </w:tcPr>
                <w:p w14:paraId="3B808726">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65</w:t>
                  </w:r>
                </w:p>
              </w:tc>
              <w:tc>
                <w:tcPr>
                  <w:tcW w:w="1417" w:type="dxa"/>
                  <w:tcBorders>
                    <w:tl2br w:val="nil"/>
                    <w:tr2bl w:val="nil"/>
                  </w:tcBorders>
                  <w:shd w:val="clear" w:color="auto" w:fill="FFFFFF"/>
                  <w:vAlign w:val="center"/>
                </w:tcPr>
                <w:p w14:paraId="729AA505">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达标</w:t>
                  </w:r>
                </w:p>
              </w:tc>
            </w:tr>
            <w:tr w14:paraId="36B14F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2" w:hRule="exact"/>
                <w:jc w:val="center"/>
              </w:trPr>
              <w:tc>
                <w:tcPr>
                  <w:tcW w:w="1235" w:type="dxa"/>
                  <w:tcBorders>
                    <w:tl2br w:val="nil"/>
                    <w:tr2bl w:val="nil"/>
                  </w:tcBorders>
                  <w:shd w:val="clear" w:color="auto" w:fill="FFFFFF"/>
                  <w:vAlign w:val="center"/>
                </w:tcPr>
                <w:p w14:paraId="7D54358A">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南侧</w:t>
                  </w:r>
                </w:p>
              </w:tc>
              <w:tc>
                <w:tcPr>
                  <w:tcW w:w="1426" w:type="dxa"/>
                  <w:tcBorders>
                    <w:tl2br w:val="nil"/>
                    <w:tr2bl w:val="nil"/>
                  </w:tcBorders>
                  <w:shd w:val="clear" w:color="auto" w:fill="FFFFFF"/>
                  <w:vAlign w:val="center"/>
                </w:tcPr>
                <w:p w14:paraId="33C88728">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昼间</w:t>
                  </w:r>
                </w:p>
              </w:tc>
              <w:tc>
                <w:tcPr>
                  <w:tcW w:w="1596" w:type="dxa"/>
                  <w:tcBorders>
                    <w:tl2br w:val="nil"/>
                    <w:tr2bl w:val="nil"/>
                  </w:tcBorders>
                  <w:shd w:val="clear" w:color="auto" w:fill="FFFFFF"/>
                  <w:vAlign w:val="center"/>
                </w:tcPr>
                <w:p w14:paraId="2CB90084">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53.7</w:t>
                  </w:r>
                </w:p>
              </w:tc>
              <w:tc>
                <w:tcPr>
                  <w:tcW w:w="1743" w:type="dxa"/>
                  <w:tcBorders>
                    <w:tl2br w:val="nil"/>
                    <w:tr2bl w:val="nil"/>
                  </w:tcBorders>
                  <w:shd w:val="clear" w:color="auto" w:fill="FFFFFF"/>
                  <w:vAlign w:val="center"/>
                </w:tcPr>
                <w:p w14:paraId="1E3EF8BB">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65</w:t>
                  </w:r>
                </w:p>
              </w:tc>
              <w:tc>
                <w:tcPr>
                  <w:tcW w:w="1417" w:type="dxa"/>
                  <w:tcBorders>
                    <w:tl2br w:val="nil"/>
                    <w:tr2bl w:val="nil"/>
                  </w:tcBorders>
                  <w:shd w:val="clear" w:color="auto" w:fill="FFFFFF"/>
                  <w:vAlign w:val="center"/>
                </w:tcPr>
                <w:p w14:paraId="0D72FEA3">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达标</w:t>
                  </w:r>
                </w:p>
              </w:tc>
            </w:tr>
            <w:tr w14:paraId="166339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2" w:hRule="exact"/>
                <w:jc w:val="center"/>
              </w:trPr>
              <w:tc>
                <w:tcPr>
                  <w:tcW w:w="1235" w:type="dxa"/>
                  <w:tcBorders>
                    <w:tl2br w:val="nil"/>
                    <w:tr2bl w:val="nil"/>
                  </w:tcBorders>
                  <w:shd w:val="clear" w:color="auto" w:fill="FFFFFF"/>
                  <w:vAlign w:val="center"/>
                </w:tcPr>
                <w:p w14:paraId="7E3A2969">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西侧</w:t>
                  </w:r>
                </w:p>
              </w:tc>
              <w:tc>
                <w:tcPr>
                  <w:tcW w:w="1426" w:type="dxa"/>
                  <w:tcBorders>
                    <w:tl2br w:val="nil"/>
                    <w:tr2bl w:val="nil"/>
                  </w:tcBorders>
                  <w:shd w:val="clear" w:color="auto" w:fill="FFFFFF"/>
                  <w:vAlign w:val="center"/>
                </w:tcPr>
                <w:p w14:paraId="2EBBE0A4">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昼间</w:t>
                  </w:r>
                </w:p>
              </w:tc>
              <w:tc>
                <w:tcPr>
                  <w:tcW w:w="1596" w:type="dxa"/>
                  <w:tcBorders>
                    <w:tl2br w:val="nil"/>
                    <w:tr2bl w:val="nil"/>
                  </w:tcBorders>
                  <w:shd w:val="clear" w:color="auto" w:fill="FFFFFF"/>
                  <w:vAlign w:val="center"/>
                </w:tcPr>
                <w:p w14:paraId="261D0622">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58.4</w:t>
                  </w:r>
                </w:p>
              </w:tc>
              <w:tc>
                <w:tcPr>
                  <w:tcW w:w="1743" w:type="dxa"/>
                  <w:tcBorders>
                    <w:tl2br w:val="nil"/>
                    <w:tr2bl w:val="nil"/>
                  </w:tcBorders>
                  <w:shd w:val="clear" w:color="auto" w:fill="FFFFFF"/>
                  <w:vAlign w:val="center"/>
                </w:tcPr>
                <w:p w14:paraId="7BBBAA6E">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65</w:t>
                  </w:r>
                </w:p>
              </w:tc>
              <w:tc>
                <w:tcPr>
                  <w:tcW w:w="1417" w:type="dxa"/>
                  <w:tcBorders>
                    <w:tl2br w:val="nil"/>
                    <w:tr2bl w:val="nil"/>
                  </w:tcBorders>
                  <w:shd w:val="clear" w:color="auto" w:fill="FFFFFF"/>
                  <w:vAlign w:val="center"/>
                </w:tcPr>
                <w:p w14:paraId="5517B04E">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达标</w:t>
                  </w:r>
                </w:p>
              </w:tc>
            </w:tr>
            <w:tr w14:paraId="59C536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2" w:hRule="exact"/>
                <w:jc w:val="center"/>
              </w:trPr>
              <w:tc>
                <w:tcPr>
                  <w:tcW w:w="1235" w:type="dxa"/>
                  <w:tcBorders>
                    <w:tl2br w:val="nil"/>
                    <w:tr2bl w:val="nil"/>
                  </w:tcBorders>
                  <w:shd w:val="clear" w:color="auto" w:fill="FFFFFF"/>
                  <w:vAlign w:val="center"/>
                </w:tcPr>
                <w:p w14:paraId="56A5CB3A">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北侧</w:t>
                  </w:r>
                </w:p>
              </w:tc>
              <w:tc>
                <w:tcPr>
                  <w:tcW w:w="1426" w:type="dxa"/>
                  <w:tcBorders>
                    <w:tl2br w:val="nil"/>
                    <w:tr2bl w:val="nil"/>
                  </w:tcBorders>
                  <w:shd w:val="clear" w:color="auto" w:fill="FFFFFF"/>
                  <w:vAlign w:val="center"/>
                </w:tcPr>
                <w:p w14:paraId="28CB2A9C">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昼间</w:t>
                  </w:r>
                </w:p>
              </w:tc>
              <w:tc>
                <w:tcPr>
                  <w:tcW w:w="1596" w:type="dxa"/>
                  <w:tcBorders>
                    <w:tl2br w:val="nil"/>
                    <w:tr2bl w:val="nil"/>
                  </w:tcBorders>
                  <w:shd w:val="clear" w:color="auto" w:fill="FFFFFF"/>
                  <w:vAlign w:val="center"/>
                </w:tcPr>
                <w:p w14:paraId="68D7CDCB">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52.2</w:t>
                  </w:r>
                </w:p>
              </w:tc>
              <w:tc>
                <w:tcPr>
                  <w:tcW w:w="1743" w:type="dxa"/>
                  <w:tcBorders>
                    <w:tl2br w:val="nil"/>
                    <w:tr2bl w:val="nil"/>
                  </w:tcBorders>
                  <w:shd w:val="clear" w:color="auto" w:fill="FFFFFF"/>
                  <w:vAlign w:val="center"/>
                </w:tcPr>
                <w:p w14:paraId="7499B610">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65</w:t>
                  </w:r>
                </w:p>
              </w:tc>
              <w:tc>
                <w:tcPr>
                  <w:tcW w:w="1417" w:type="dxa"/>
                  <w:tcBorders>
                    <w:tl2br w:val="nil"/>
                    <w:tr2bl w:val="nil"/>
                  </w:tcBorders>
                  <w:shd w:val="clear" w:color="auto" w:fill="FFFFFF"/>
                  <w:vAlign w:val="center"/>
                </w:tcPr>
                <w:p w14:paraId="4A486620">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达标</w:t>
                  </w:r>
                </w:p>
              </w:tc>
            </w:tr>
          </w:tbl>
          <w:p w14:paraId="132F0E28">
            <w:pPr>
              <w:adjustRightInd w:val="0"/>
              <w:spacing w:before="120" w:beforeLines="50"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32"/>
                <w:highlight w:val="none"/>
              </w:rPr>
              <w:t>由上分析可以看出，本项目噪声源经隔声、设备基础减振等措施后，厂界</w:t>
            </w:r>
            <w:r>
              <w:rPr>
                <w:rFonts w:hint="eastAsia" w:cs="Times New Roman"/>
                <w:color w:val="auto"/>
                <w:sz w:val="24"/>
                <w:szCs w:val="32"/>
                <w:highlight w:val="none"/>
                <w:lang w:val="en-US" w:eastAsia="zh-CN"/>
              </w:rPr>
              <w:t>贡献值</w:t>
            </w:r>
            <w:r>
              <w:rPr>
                <w:rFonts w:hint="default" w:ascii="Times New Roman" w:hAnsi="Times New Roman" w:eastAsia="宋体" w:cs="Times New Roman"/>
                <w:color w:val="auto"/>
                <w:sz w:val="24"/>
                <w:szCs w:val="32"/>
                <w:highlight w:val="none"/>
              </w:rPr>
              <w:t>符合《工业企业厂界环境噪声排放标准》（GB12348－2008）中3类标准的限值的要求</w:t>
            </w:r>
            <w:r>
              <w:rPr>
                <w:rFonts w:hint="default" w:ascii="Times New Roman" w:hAnsi="Times New Roman" w:eastAsia="宋体" w:cs="Times New Roman"/>
                <w:color w:val="auto"/>
                <w:sz w:val="24"/>
                <w:highlight w:val="none"/>
              </w:rPr>
              <w:t>。</w:t>
            </w:r>
          </w:p>
          <w:p w14:paraId="67BDD1D4">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噪声监测计划</w:t>
            </w:r>
          </w:p>
          <w:p w14:paraId="36989B06">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本项目噪声监测计划详见下表。</w:t>
            </w:r>
          </w:p>
          <w:p w14:paraId="6EFE4AE9">
            <w:pPr>
              <w:numPr>
                <w:ilvl w:val="0"/>
                <w:numId w:val="40"/>
              </w:numPr>
              <w:adjustRightInd w:val="0"/>
              <w:spacing w:line="360" w:lineRule="auto"/>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项目噪声监测计划</w:t>
            </w:r>
          </w:p>
          <w:tbl>
            <w:tblPr>
              <w:tblStyle w:val="23"/>
              <w:tblW w:w="7573" w:type="dxa"/>
              <w:tblInd w:w="5"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307"/>
              <w:gridCol w:w="2200"/>
              <w:gridCol w:w="1428"/>
              <w:gridCol w:w="1537"/>
            </w:tblGrid>
            <w:tr w14:paraId="5166141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402" w:hRule="atLeast"/>
              </w:trPr>
              <w:tc>
                <w:tcPr>
                  <w:tcW w:w="726" w:type="pct"/>
                  <w:tcBorders>
                    <w:tl2br w:val="nil"/>
                    <w:tr2bl w:val="nil"/>
                  </w:tcBorders>
                  <w:vAlign w:val="center"/>
                </w:tcPr>
                <w:p w14:paraId="727F2BB9">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时段</w:t>
                  </w:r>
                </w:p>
              </w:tc>
              <w:tc>
                <w:tcPr>
                  <w:tcW w:w="862" w:type="pct"/>
                  <w:tcBorders>
                    <w:tl2br w:val="nil"/>
                    <w:tr2bl w:val="nil"/>
                  </w:tcBorders>
                  <w:vAlign w:val="center"/>
                </w:tcPr>
                <w:p w14:paraId="357627AF">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监测内容</w:t>
                  </w:r>
                </w:p>
              </w:tc>
              <w:tc>
                <w:tcPr>
                  <w:tcW w:w="1452" w:type="pct"/>
                  <w:tcBorders>
                    <w:tl2br w:val="nil"/>
                    <w:tr2bl w:val="nil"/>
                  </w:tcBorders>
                  <w:vAlign w:val="center"/>
                </w:tcPr>
                <w:p w14:paraId="5711824D">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监测指标</w:t>
                  </w:r>
                </w:p>
              </w:tc>
              <w:tc>
                <w:tcPr>
                  <w:tcW w:w="942" w:type="pct"/>
                  <w:tcBorders>
                    <w:tl2br w:val="nil"/>
                    <w:tr2bl w:val="nil"/>
                  </w:tcBorders>
                  <w:vAlign w:val="center"/>
                </w:tcPr>
                <w:p w14:paraId="3FC3B824">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监测点位</w:t>
                  </w:r>
                </w:p>
              </w:tc>
              <w:tc>
                <w:tcPr>
                  <w:tcW w:w="1014" w:type="pct"/>
                  <w:tcBorders>
                    <w:tl2br w:val="nil"/>
                    <w:tr2bl w:val="nil"/>
                  </w:tcBorders>
                  <w:vAlign w:val="center"/>
                </w:tcPr>
                <w:p w14:paraId="593FA6D4">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监测频次</w:t>
                  </w:r>
                </w:p>
              </w:tc>
            </w:tr>
            <w:tr w14:paraId="5839239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26" w:type="pct"/>
                  <w:tcBorders>
                    <w:tl2br w:val="nil"/>
                    <w:tr2bl w:val="nil"/>
                  </w:tcBorders>
                  <w:vAlign w:val="center"/>
                </w:tcPr>
                <w:p w14:paraId="020972A1">
                  <w:pPr>
                    <w:widowControl/>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运营期</w:t>
                  </w:r>
                </w:p>
                <w:p w14:paraId="2320A077">
                  <w:pPr>
                    <w:widowControl/>
                    <w:jc w:val="center"/>
                    <w:rPr>
                      <w:rFonts w:hint="eastAsia"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eastAsia="zh-CN"/>
                    </w:rPr>
                    <w:t>（</w:t>
                  </w:r>
                  <w:r>
                    <w:rPr>
                      <w:rFonts w:hint="eastAsia" w:cs="Times New Roman"/>
                      <w:bCs/>
                      <w:color w:val="auto"/>
                      <w:szCs w:val="21"/>
                      <w:highlight w:val="none"/>
                      <w:lang w:val="en-US" w:eastAsia="zh-CN"/>
                    </w:rPr>
                    <w:t>昼间</w:t>
                  </w:r>
                  <w:r>
                    <w:rPr>
                      <w:rFonts w:hint="eastAsia" w:cs="Times New Roman"/>
                      <w:bCs/>
                      <w:color w:val="auto"/>
                      <w:szCs w:val="21"/>
                      <w:highlight w:val="none"/>
                      <w:lang w:eastAsia="zh-CN"/>
                    </w:rPr>
                    <w:t>）</w:t>
                  </w:r>
                </w:p>
              </w:tc>
              <w:tc>
                <w:tcPr>
                  <w:tcW w:w="862" w:type="pct"/>
                  <w:tcBorders>
                    <w:tl2br w:val="nil"/>
                    <w:tr2bl w:val="nil"/>
                  </w:tcBorders>
                  <w:vAlign w:val="center"/>
                </w:tcPr>
                <w:p w14:paraId="4AB7D5F9">
                  <w:pPr>
                    <w:adjustRightIn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噪声</w:t>
                  </w:r>
                </w:p>
              </w:tc>
              <w:tc>
                <w:tcPr>
                  <w:tcW w:w="1452" w:type="pct"/>
                  <w:tcBorders>
                    <w:tl2br w:val="nil"/>
                    <w:tr2bl w:val="nil"/>
                  </w:tcBorders>
                  <w:vAlign w:val="center"/>
                </w:tcPr>
                <w:p w14:paraId="07D5E5CE">
                  <w:pPr>
                    <w:adjustRightIn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等效连续A声级</w:t>
                  </w:r>
                </w:p>
              </w:tc>
              <w:tc>
                <w:tcPr>
                  <w:tcW w:w="942" w:type="pct"/>
                  <w:tcBorders>
                    <w:tl2br w:val="nil"/>
                    <w:tr2bl w:val="nil"/>
                  </w:tcBorders>
                  <w:vAlign w:val="center"/>
                </w:tcPr>
                <w:p w14:paraId="23E8717B">
                  <w:pPr>
                    <w:adjustRightIn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厂界外1m处</w:t>
                  </w:r>
                </w:p>
              </w:tc>
              <w:tc>
                <w:tcPr>
                  <w:tcW w:w="1014" w:type="pct"/>
                  <w:tcBorders>
                    <w:tl2br w:val="nil"/>
                    <w:tr2bl w:val="nil"/>
                  </w:tcBorders>
                  <w:vAlign w:val="center"/>
                </w:tcPr>
                <w:p w14:paraId="3EA4E497">
                  <w:pPr>
                    <w:adjustRightIn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每季度1次</w:t>
                  </w:r>
                </w:p>
              </w:tc>
            </w:tr>
          </w:tbl>
          <w:p w14:paraId="1599F3EE">
            <w:pPr>
              <w:adjustRightInd w:val="0"/>
              <w:snapToGrid w:val="0"/>
              <w:rPr>
                <w:rFonts w:hint="default" w:ascii="Times New Roman" w:hAnsi="Times New Roman" w:eastAsia="宋体" w:cs="Times New Roman"/>
                <w:bCs/>
                <w:color w:val="auto"/>
                <w:spacing w:val="-10"/>
                <w:szCs w:val="21"/>
                <w:highlight w:val="none"/>
              </w:rPr>
            </w:pPr>
            <w:r>
              <w:rPr>
                <w:rFonts w:hint="default" w:ascii="Times New Roman" w:hAnsi="Times New Roman" w:eastAsia="宋体" w:cs="Times New Roman"/>
                <w:bCs/>
                <w:color w:val="auto"/>
                <w:spacing w:val="-10"/>
                <w:szCs w:val="21"/>
                <w:highlight w:val="none"/>
              </w:rPr>
              <w:t>（注：</w:t>
            </w:r>
            <w:r>
              <w:rPr>
                <w:rFonts w:hint="default" w:ascii="Times New Roman" w:hAnsi="Times New Roman" w:eastAsia="宋体" w:cs="Times New Roman"/>
                <w:bCs/>
                <w:color w:val="auto"/>
                <w:szCs w:val="21"/>
                <w:highlight w:val="none"/>
              </w:rPr>
              <w:t>噪声监测计划参照《</w:t>
            </w:r>
            <w:r>
              <w:rPr>
                <w:rFonts w:hint="default" w:ascii="Times New Roman" w:hAnsi="Times New Roman" w:eastAsia="宋体" w:cs="Times New Roman"/>
                <w:bCs/>
                <w:color w:val="auto"/>
                <w:szCs w:val="21"/>
                <w:highlight w:val="none"/>
                <w:lang w:val="ru-RU"/>
              </w:rPr>
              <w:t>排污单位自行监测技术指南 总则</w:t>
            </w:r>
            <w:r>
              <w:rPr>
                <w:rFonts w:hint="default" w:ascii="Times New Roman" w:hAnsi="Times New Roman" w:eastAsia="宋体" w:cs="Times New Roman"/>
                <w:bCs/>
                <w:color w:val="auto"/>
                <w:szCs w:val="21"/>
                <w:highlight w:val="none"/>
              </w:rPr>
              <w:t>》（HJ819-2017）</w:t>
            </w:r>
            <w:r>
              <w:rPr>
                <w:rFonts w:hint="default" w:ascii="Times New Roman" w:hAnsi="Times New Roman" w:eastAsia="宋体" w:cs="Times New Roman"/>
                <w:bCs/>
                <w:color w:val="auto"/>
                <w:spacing w:val="-10"/>
                <w:szCs w:val="21"/>
                <w:highlight w:val="none"/>
              </w:rPr>
              <w:t>）</w:t>
            </w:r>
          </w:p>
          <w:p w14:paraId="1D0BF2E6">
            <w:pPr>
              <w:adjustRightInd w:val="0"/>
              <w:snapToGrid w:val="0"/>
              <w:rPr>
                <w:rFonts w:hint="default" w:ascii="Times New Roman" w:hAnsi="Times New Roman" w:eastAsia="宋体" w:cs="Times New Roman"/>
                <w:bCs/>
                <w:color w:val="auto"/>
                <w:spacing w:val="-10"/>
                <w:szCs w:val="21"/>
                <w:highlight w:val="none"/>
              </w:rPr>
            </w:pPr>
          </w:p>
          <w:p w14:paraId="57BB748F">
            <w:pPr>
              <w:numPr>
                <w:ilvl w:val="0"/>
                <w:numId w:val="38"/>
              </w:numPr>
              <w:adjustRightInd w:val="0"/>
              <w:snapToGrid w:val="0"/>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固体废物</w:t>
            </w:r>
            <w:r>
              <w:rPr>
                <w:rFonts w:hint="default" w:ascii="Times New Roman" w:hAnsi="Times New Roman" w:eastAsia="宋体" w:cs="Times New Roman"/>
                <w:b/>
                <w:color w:val="auto"/>
                <w:sz w:val="24"/>
                <w:highlight w:val="none"/>
                <w:lang w:val="en-US" w:eastAsia="zh-CN"/>
              </w:rPr>
              <w:t>环境</w:t>
            </w:r>
            <w:r>
              <w:rPr>
                <w:rFonts w:hint="default" w:ascii="Times New Roman" w:hAnsi="Times New Roman" w:eastAsia="宋体" w:cs="Times New Roman"/>
                <w:b/>
                <w:color w:val="auto"/>
                <w:sz w:val="24"/>
                <w:highlight w:val="none"/>
              </w:rPr>
              <w:t>影响分析</w:t>
            </w:r>
          </w:p>
          <w:p w14:paraId="00470828">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 xml:space="preserve">（1）固体废物源强 </w:t>
            </w:r>
          </w:p>
          <w:p w14:paraId="01B9FDAF">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本项目固体废物包括生活垃圾、一般固体废物及危险废物。</w:t>
            </w:r>
          </w:p>
          <w:p w14:paraId="3012E3B7">
            <w:pPr>
              <w:numPr>
                <w:ilvl w:val="0"/>
                <w:numId w:val="45"/>
              </w:numPr>
              <w:adjustRightInd w:val="0"/>
              <w:snapToGrid w:val="0"/>
              <w:spacing w:line="360" w:lineRule="auto"/>
              <w:ind w:left="0" w:leftChars="0" w:firstLine="480" w:firstLineChars="200"/>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rPr>
              <w:t>生活垃圾</w:t>
            </w:r>
          </w:p>
          <w:p w14:paraId="60E2BC00">
            <w:pPr>
              <w:spacing w:line="360" w:lineRule="auto"/>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本</w:t>
            </w:r>
            <w:r>
              <w:rPr>
                <w:rFonts w:hint="default" w:ascii="Times New Roman" w:hAnsi="Times New Roman" w:eastAsia="宋体" w:cs="Times New Roman"/>
                <w:color w:val="auto"/>
                <w:sz w:val="24"/>
                <w:highlight w:val="none"/>
              </w:rPr>
              <w:t>项目</w:t>
            </w:r>
            <w:r>
              <w:rPr>
                <w:rFonts w:hint="eastAsia" w:cs="Times New Roman"/>
                <w:color w:val="auto"/>
                <w:sz w:val="24"/>
                <w:highlight w:val="none"/>
                <w:lang w:val="en-US" w:eastAsia="zh-CN"/>
              </w:rPr>
              <w:t>新增员工30</w:t>
            </w:r>
            <w:r>
              <w:rPr>
                <w:rFonts w:hint="default" w:ascii="Times New Roman" w:hAnsi="Times New Roman" w:eastAsia="宋体" w:cs="Times New Roman"/>
                <w:color w:val="auto"/>
                <w:sz w:val="24"/>
                <w:highlight w:val="none"/>
              </w:rPr>
              <w:t>人，生活垃圾产生量按0.5kg/人•d计，拟建项目年工作</w:t>
            </w:r>
            <w:r>
              <w:rPr>
                <w:rFonts w:hint="eastAsia" w:cs="Times New Roman"/>
                <w:color w:val="auto"/>
                <w:sz w:val="24"/>
                <w:highlight w:val="none"/>
                <w:lang w:val="en-US" w:eastAsia="zh-CN"/>
              </w:rPr>
              <w:t xml:space="preserve">250 </w:t>
            </w:r>
            <w:r>
              <w:rPr>
                <w:rFonts w:hint="default" w:ascii="Times New Roman" w:hAnsi="Times New Roman" w:eastAsia="宋体" w:cs="Times New Roman"/>
                <w:color w:val="auto"/>
                <w:sz w:val="24"/>
                <w:highlight w:val="none"/>
              </w:rPr>
              <w:t>d/a，则生活垃圾产生量为</w:t>
            </w:r>
            <w:r>
              <w:rPr>
                <w:rFonts w:hint="eastAsia" w:cs="Times New Roman"/>
                <w:color w:val="auto"/>
                <w:sz w:val="24"/>
                <w:highlight w:val="none"/>
                <w:lang w:val="en-US" w:eastAsia="zh-CN"/>
              </w:rPr>
              <w:t>3.75</w:t>
            </w:r>
            <w:r>
              <w:rPr>
                <w:rFonts w:hint="default" w:ascii="Times New Roman" w:hAnsi="Times New Roman" w:eastAsia="宋体" w:cs="Times New Roman"/>
                <w:color w:val="auto"/>
                <w:sz w:val="24"/>
                <w:highlight w:val="none"/>
              </w:rPr>
              <w:t>t/a。生活垃圾分类收集后，由当地环卫部门定期清运。</w:t>
            </w:r>
          </w:p>
          <w:p w14:paraId="482A1616">
            <w:pPr>
              <w:numPr>
                <w:ilvl w:val="0"/>
                <w:numId w:val="45"/>
              </w:numPr>
              <w:adjustRightInd w:val="0"/>
              <w:snapToGrid w:val="0"/>
              <w:spacing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一般工业固体废物</w:t>
            </w:r>
          </w:p>
          <w:p w14:paraId="7BAA84AE">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本项目一般固体废物</w:t>
            </w:r>
            <w:r>
              <w:rPr>
                <w:rFonts w:hint="eastAsia" w:cs="Times New Roman"/>
                <w:color w:val="auto"/>
                <w:sz w:val="24"/>
                <w:highlight w:val="none"/>
                <w:lang w:val="en-US" w:eastAsia="zh-CN"/>
              </w:rPr>
              <w:t>为</w:t>
            </w:r>
            <w:r>
              <w:rPr>
                <w:rFonts w:hint="default" w:ascii="Times New Roman" w:hAnsi="Times New Roman" w:eastAsia="宋体" w:cs="Times New Roman"/>
                <w:color w:val="auto"/>
                <w:sz w:val="24"/>
                <w:highlight w:val="none"/>
                <w:lang w:val="en-US" w:eastAsia="zh-CN"/>
              </w:rPr>
              <w:t>未沾染化学试剂的废包装物</w:t>
            </w:r>
            <w:r>
              <w:rPr>
                <w:rFonts w:hint="eastAsia" w:cs="Times New Roman"/>
                <w:color w:val="auto"/>
                <w:sz w:val="24"/>
                <w:highlight w:val="none"/>
                <w:lang w:val="en-US" w:eastAsia="zh-CN"/>
              </w:rPr>
              <w:t>、纯水制备废滤芯</w:t>
            </w:r>
            <w:r>
              <w:rPr>
                <w:rFonts w:hint="default" w:ascii="Times New Roman" w:hAnsi="Times New Roman" w:eastAsia="宋体" w:cs="Times New Roman"/>
                <w:color w:val="auto"/>
                <w:sz w:val="24"/>
                <w:highlight w:val="none"/>
                <w:lang w:val="en-US" w:eastAsia="zh-CN"/>
              </w:rPr>
              <w:t>。</w:t>
            </w:r>
          </w:p>
          <w:p w14:paraId="476CC022">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未沾染化学试剂的废包装物预计产生量约</w:t>
            </w:r>
            <w:r>
              <w:rPr>
                <w:rFonts w:hint="eastAsia" w:cs="Times New Roman"/>
                <w:color w:val="auto"/>
                <w:sz w:val="24"/>
                <w:highlight w:val="none"/>
                <w:lang w:val="en-US" w:eastAsia="zh-CN"/>
              </w:rPr>
              <w:t xml:space="preserve">1.5 </w:t>
            </w:r>
            <w:r>
              <w:rPr>
                <w:rFonts w:hint="default" w:ascii="Times New Roman" w:hAnsi="Times New Roman" w:eastAsia="宋体" w:cs="Times New Roman"/>
                <w:color w:val="auto"/>
                <w:sz w:val="24"/>
                <w:highlight w:val="none"/>
                <w:lang w:val="en-US" w:eastAsia="zh-CN"/>
              </w:rPr>
              <w:t>t/a，由专门固体废物处置单位进行回收。</w:t>
            </w:r>
          </w:p>
          <w:p w14:paraId="0A580B0A">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纯水设备废滤芯产生量约 0.0</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t/a，由厂家回收。</w:t>
            </w:r>
          </w:p>
          <w:p w14:paraId="2045A875">
            <w:pPr>
              <w:numPr>
                <w:ilvl w:val="0"/>
                <w:numId w:val="45"/>
              </w:numPr>
              <w:adjustRightInd w:val="0"/>
              <w:snapToGrid w:val="0"/>
              <w:spacing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危险废物</w:t>
            </w:r>
          </w:p>
          <w:p w14:paraId="0BD0A2C7">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项目产生的危险废物主要为实验过程中产生的</w:t>
            </w:r>
            <w:r>
              <w:rPr>
                <w:rFonts w:hint="eastAsia" w:cs="Times New Roman"/>
                <w:color w:val="auto"/>
                <w:sz w:val="24"/>
                <w:highlight w:val="none"/>
                <w:lang w:val="en-US" w:eastAsia="zh-CN"/>
              </w:rPr>
              <w:t>废试剂瓶</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废试剂、</w:t>
            </w:r>
            <w:r>
              <w:rPr>
                <w:rFonts w:hint="default" w:ascii="Times New Roman" w:hAnsi="Times New Roman" w:eastAsia="宋体" w:cs="Times New Roman"/>
                <w:color w:val="auto"/>
                <w:sz w:val="24"/>
                <w:highlight w:val="none"/>
                <w:lang w:val="en-US" w:eastAsia="zh-CN"/>
              </w:rPr>
              <w:t>废一次性耗材（一次性吸头、一次性乳胶手套、一次性塑料注射器、一次性进样管</w:t>
            </w:r>
            <w:r>
              <w:rPr>
                <w:rFonts w:hint="eastAsia" w:ascii="Times New Roman" w:hAnsi="Times New Roman" w:eastAsia="宋体" w:cs="Times New Roman"/>
                <w:color w:val="auto"/>
                <w:sz w:val="24"/>
                <w:highlight w:val="none"/>
                <w:lang w:val="en-US" w:eastAsia="zh-CN"/>
              </w:rPr>
              <w:t>、称量纸、滤膜等</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废培养基、检测废液、容器清洗废液</w:t>
            </w:r>
            <w:r>
              <w:rPr>
                <w:rFonts w:hint="eastAsia" w:cs="Times New Roman"/>
                <w:color w:val="auto"/>
                <w:sz w:val="24"/>
                <w:highlight w:val="none"/>
                <w:lang w:val="en-US" w:eastAsia="zh-CN"/>
              </w:rPr>
              <w:t>、废样品</w:t>
            </w:r>
            <w:r>
              <w:rPr>
                <w:rFonts w:hint="default" w:ascii="Times New Roman" w:hAnsi="Times New Roman" w:eastAsia="宋体" w:cs="Times New Roman"/>
                <w:color w:val="auto"/>
                <w:sz w:val="24"/>
                <w:highlight w:val="none"/>
                <w:lang w:val="en-US" w:eastAsia="zh-CN"/>
              </w:rPr>
              <w:t>。</w:t>
            </w:r>
          </w:p>
          <w:p w14:paraId="00D4FE9A">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根据企业提供的原辅材料用量</w:t>
            </w:r>
            <w:r>
              <w:rPr>
                <w:rFonts w:hint="eastAsia" w:eastAsia="宋体" w:cs="Times New Roman"/>
                <w:color w:val="auto"/>
                <w:sz w:val="24"/>
                <w:highlight w:val="none"/>
                <w:lang w:val="en-US" w:eastAsia="zh-CN"/>
              </w:rPr>
              <w:t>、水平衡分析及现有项目的运行情况</w:t>
            </w:r>
            <w:r>
              <w:rPr>
                <w:rFonts w:hint="eastAsia" w:ascii="Times New Roman" w:hAnsi="Times New Roman" w:eastAsia="宋体" w:cs="Times New Roman"/>
                <w:color w:val="auto"/>
                <w:sz w:val="24"/>
                <w:highlight w:val="none"/>
                <w:lang w:val="en-US" w:eastAsia="zh-CN"/>
              </w:rPr>
              <w:t>，</w:t>
            </w:r>
            <w:r>
              <w:rPr>
                <w:rFonts w:hint="eastAsia" w:eastAsia="宋体" w:cs="Times New Roman"/>
                <w:color w:val="auto"/>
                <w:sz w:val="24"/>
                <w:highlight w:val="none"/>
                <w:lang w:val="en-US" w:eastAsia="zh-CN"/>
              </w:rPr>
              <w:t>综合分析</w:t>
            </w:r>
            <w:r>
              <w:rPr>
                <w:rFonts w:hint="eastAsia" w:ascii="Times New Roman" w:hAnsi="Times New Roman" w:eastAsia="宋体" w:cs="Times New Roman"/>
                <w:color w:val="auto"/>
                <w:sz w:val="24"/>
                <w:highlight w:val="none"/>
                <w:lang w:val="en-US" w:eastAsia="zh-CN"/>
              </w:rPr>
              <w:t>核算本项目危险废物产生量：废试剂瓶</w:t>
            </w:r>
            <w:r>
              <w:rPr>
                <w:rFonts w:hint="eastAsia" w:cs="Times New Roman"/>
                <w:color w:val="auto"/>
                <w:sz w:val="24"/>
                <w:highlight w:val="none"/>
                <w:lang w:val="en-US" w:eastAsia="zh-CN"/>
              </w:rPr>
              <w:t>0.5</w:t>
            </w:r>
            <w:r>
              <w:rPr>
                <w:rFonts w:hint="eastAsia"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t/a、</w:t>
            </w:r>
            <w:r>
              <w:rPr>
                <w:rFonts w:hint="eastAsia" w:eastAsia="宋体" w:cs="Times New Roman"/>
                <w:color w:val="auto"/>
                <w:sz w:val="24"/>
                <w:highlight w:val="none"/>
                <w:lang w:val="en-US" w:eastAsia="zh-CN"/>
              </w:rPr>
              <w:t>废试剂0.0</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t/a</w:t>
            </w:r>
            <w:r>
              <w:rPr>
                <w:rFonts w:hint="eastAsia"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废一次性耗材（一次性吸头、一次性乳胶手套、一次性塑料注射器、一次性进样管</w:t>
            </w:r>
            <w:r>
              <w:rPr>
                <w:rFonts w:hint="eastAsia" w:ascii="Times New Roman" w:hAnsi="Times New Roman" w:eastAsia="宋体" w:cs="Times New Roman"/>
                <w:color w:val="auto"/>
                <w:sz w:val="24"/>
                <w:highlight w:val="none"/>
                <w:lang w:val="en-US" w:eastAsia="zh-CN"/>
              </w:rPr>
              <w:t>、称量纸、滤膜等</w:t>
            </w:r>
            <w:r>
              <w:rPr>
                <w:rFonts w:hint="default" w:ascii="Times New Roman" w:hAnsi="Times New Roman" w:eastAsia="宋体" w:cs="Times New Roman"/>
                <w:color w:val="auto"/>
                <w:sz w:val="24"/>
                <w:highlight w:val="none"/>
                <w:lang w:val="en-US" w:eastAsia="zh-CN"/>
              </w:rPr>
              <w:t>）</w:t>
            </w:r>
            <w:r>
              <w:rPr>
                <w:rFonts w:hint="eastAsia" w:eastAsia="宋体" w:cs="Times New Roman"/>
                <w:color w:val="auto"/>
                <w:sz w:val="24"/>
                <w:highlight w:val="none"/>
                <w:lang w:val="en-US" w:eastAsia="zh-CN"/>
              </w:rPr>
              <w:t>0.05</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eastAsia="宋体" w:cs="Times New Roman"/>
                <w:color w:val="auto"/>
                <w:sz w:val="24"/>
                <w:highlight w:val="none"/>
                <w:lang w:val="en-US" w:eastAsia="zh-CN"/>
              </w:rPr>
              <w:t>废培养基</w:t>
            </w:r>
            <w:r>
              <w:rPr>
                <w:rFonts w:hint="eastAsia" w:eastAsia="宋体" w:cs="Times New Roman"/>
                <w:color w:val="auto"/>
                <w:sz w:val="24"/>
                <w:highlight w:val="none"/>
                <w:lang w:val="en-US" w:eastAsia="zh-CN"/>
              </w:rPr>
              <w:t>0.005</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eastAsia="宋体" w:cs="Times New Roman"/>
                <w:color w:val="auto"/>
                <w:sz w:val="24"/>
                <w:highlight w:val="none"/>
                <w:lang w:val="en-US" w:eastAsia="zh-CN"/>
              </w:rPr>
              <w:t>、检测废液</w:t>
            </w:r>
            <w:r>
              <w:rPr>
                <w:rFonts w:hint="eastAsia" w:eastAsia="宋体" w:cs="Times New Roman"/>
                <w:color w:val="auto"/>
                <w:sz w:val="24"/>
                <w:highlight w:val="none"/>
                <w:lang w:val="en-US" w:eastAsia="zh-CN"/>
              </w:rPr>
              <w:t>0.</w:t>
            </w:r>
            <w:r>
              <w:rPr>
                <w:rFonts w:hint="eastAsia" w:cs="Times New Roman"/>
                <w:color w:val="auto"/>
                <w:sz w:val="24"/>
                <w:highlight w:val="none"/>
                <w:lang w:val="en-US" w:eastAsia="zh-CN"/>
              </w:rPr>
              <w:t>45</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eastAsia="宋体" w:cs="Times New Roman"/>
                <w:color w:val="auto"/>
                <w:sz w:val="24"/>
                <w:highlight w:val="none"/>
                <w:lang w:val="en-US" w:eastAsia="zh-CN"/>
              </w:rPr>
              <w:t>、容器清洗废液</w:t>
            </w:r>
            <w:r>
              <w:rPr>
                <w:rFonts w:hint="eastAsia" w:eastAsia="宋体" w:cs="Times New Roman"/>
                <w:color w:val="auto"/>
                <w:sz w:val="24"/>
                <w:highlight w:val="none"/>
                <w:lang w:val="en-US" w:eastAsia="zh-CN"/>
              </w:rPr>
              <w:t>0.</w:t>
            </w:r>
            <w:r>
              <w:rPr>
                <w:rFonts w:hint="eastAsia" w:cs="Times New Roman"/>
                <w:color w:val="auto"/>
                <w:sz w:val="24"/>
                <w:highlight w:val="none"/>
                <w:lang w:val="en-US" w:eastAsia="zh-CN"/>
              </w:rPr>
              <w:t>9</w:t>
            </w:r>
            <w:r>
              <w:rPr>
                <w:rFonts w:hint="default" w:ascii="Times New Roman" w:hAnsi="Times New Roman" w:eastAsia="宋体" w:cs="Times New Roman"/>
                <w:color w:val="auto"/>
                <w:sz w:val="24"/>
                <w:highlight w:val="none"/>
                <w:lang w:val="en-US" w:eastAsia="zh-CN"/>
              </w:rPr>
              <w:t>t/a</w:t>
            </w:r>
            <w:r>
              <w:rPr>
                <w:rFonts w:hint="eastAsia" w:cs="Times New Roman"/>
                <w:color w:val="auto"/>
                <w:sz w:val="24"/>
                <w:highlight w:val="none"/>
                <w:lang w:val="en-US" w:eastAsia="zh-CN"/>
              </w:rPr>
              <w:t>、废样品0.05</w:t>
            </w:r>
            <w:r>
              <w:rPr>
                <w:rFonts w:hint="default" w:ascii="Times New Roman" w:hAnsi="Times New Roman" w:eastAsia="宋体" w:cs="Times New Roman"/>
                <w:color w:val="auto"/>
                <w:sz w:val="24"/>
                <w:highlight w:val="none"/>
                <w:lang w:val="en-US" w:eastAsia="zh-CN"/>
              </w:rPr>
              <w:t>t/a。</w:t>
            </w:r>
          </w:p>
          <w:p w14:paraId="0E593A83">
            <w:pPr>
              <w:adjustRightInd w:val="0"/>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本项目产生的</w:t>
            </w:r>
            <w:r>
              <w:rPr>
                <w:rFonts w:hint="default" w:ascii="Times New Roman" w:hAnsi="Times New Roman" w:eastAsia="宋体" w:cs="Times New Roman"/>
                <w:color w:val="auto"/>
                <w:sz w:val="24"/>
                <w:highlight w:val="none"/>
                <w:lang w:val="en-US" w:eastAsia="zh-CN"/>
              </w:rPr>
              <w:t>固体</w:t>
            </w:r>
            <w:r>
              <w:rPr>
                <w:rFonts w:hint="default" w:ascii="Times New Roman" w:hAnsi="Times New Roman" w:eastAsia="宋体" w:cs="Times New Roman"/>
                <w:color w:val="auto"/>
                <w:sz w:val="24"/>
                <w:highlight w:val="none"/>
              </w:rPr>
              <w:t>废物见下表</w:t>
            </w:r>
            <w:r>
              <w:rPr>
                <w:rFonts w:hint="default" w:ascii="Times New Roman" w:hAnsi="Times New Roman" w:eastAsia="宋体" w:cs="Times New Roman"/>
                <w:color w:val="auto"/>
                <w:sz w:val="24"/>
                <w:highlight w:val="none"/>
                <w:lang w:eastAsia="zh-CN"/>
              </w:rPr>
              <w:t>。</w:t>
            </w:r>
          </w:p>
          <w:p w14:paraId="22B600AF">
            <w:pPr>
              <w:numPr>
                <w:ilvl w:val="0"/>
                <w:numId w:val="40"/>
              </w:numPr>
              <w:adjustRightInd w:val="0"/>
              <w:spacing w:line="360" w:lineRule="auto"/>
              <w:ind w:left="425" w:leftChars="0" w:hanging="425" w:firstLineChars="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项目</w:t>
            </w:r>
            <w:r>
              <w:rPr>
                <w:rFonts w:hint="default" w:ascii="Times New Roman" w:hAnsi="Times New Roman" w:eastAsia="宋体" w:cs="Times New Roman"/>
                <w:b/>
                <w:color w:val="auto"/>
                <w:sz w:val="24"/>
                <w:highlight w:val="none"/>
                <w:lang w:val="en-US" w:eastAsia="zh-CN"/>
              </w:rPr>
              <w:t>固体</w:t>
            </w:r>
            <w:r>
              <w:rPr>
                <w:rFonts w:hint="eastAsia" w:cs="Times New Roman"/>
                <w:b/>
                <w:color w:val="auto"/>
                <w:sz w:val="24"/>
                <w:highlight w:val="none"/>
                <w:lang w:val="en-US" w:eastAsia="zh-CN"/>
              </w:rPr>
              <w:t>废物</w:t>
            </w:r>
            <w:r>
              <w:rPr>
                <w:rFonts w:hint="default" w:ascii="Times New Roman" w:hAnsi="Times New Roman" w:eastAsia="宋体" w:cs="Times New Roman"/>
                <w:b/>
                <w:color w:val="auto"/>
                <w:sz w:val="24"/>
                <w:highlight w:val="none"/>
              </w:rPr>
              <w:t>产生情况一览表</w:t>
            </w:r>
          </w:p>
          <w:tbl>
            <w:tblPr>
              <w:tblStyle w:val="23"/>
              <w:tblW w:w="4989"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57"/>
              <w:gridCol w:w="867"/>
              <w:gridCol w:w="734"/>
              <w:gridCol w:w="1086"/>
              <w:gridCol w:w="792"/>
              <w:gridCol w:w="840"/>
              <w:gridCol w:w="888"/>
              <w:gridCol w:w="816"/>
              <w:gridCol w:w="972"/>
            </w:tblGrid>
            <w:tr w14:paraId="7991915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20" w:hRule="atLeast"/>
                <w:jc w:val="center"/>
              </w:trPr>
              <w:tc>
                <w:tcPr>
                  <w:tcW w:w="368" w:type="pct"/>
                  <w:tcBorders>
                    <w:tl2br w:val="nil"/>
                    <w:tr2bl w:val="nil"/>
                  </w:tcBorders>
                  <w:vAlign w:val="center"/>
                </w:tcPr>
                <w:p w14:paraId="535EC5CD">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序号</w:t>
                  </w:r>
                </w:p>
              </w:tc>
              <w:tc>
                <w:tcPr>
                  <w:tcW w:w="574" w:type="pct"/>
                  <w:tcBorders>
                    <w:tl2br w:val="nil"/>
                    <w:tr2bl w:val="nil"/>
                  </w:tcBorders>
                  <w:vAlign w:val="center"/>
                </w:tcPr>
                <w:p w14:paraId="29C9C4FA">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名称</w:t>
                  </w:r>
                </w:p>
              </w:tc>
              <w:tc>
                <w:tcPr>
                  <w:tcW w:w="485" w:type="pct"/>
                  <w:tcBorders>
                    <w:tl2br w:val="nil"/>
                    <w:tr2bl w:val="nil"/>
                  </w:tcBorders>
                  <w:vAlign w:val="center"/>
                </w:tcPr>
                <w:p w14:paraId="0CA5341D">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危险废物类别</w:t>
                  </w:r>
                </w:p>
              </w:tc>
              <w:tc>
                <w:tcPr>
                  <w:tcW w:w="719" w:type="pct"/>
                  <w:tcBorders>
                    <w:tl2br w:val="nil"/>
                    <w:tr2bl w:val="nil"/>
                  </w:tcBorders>
                  <w:vAlign w:val="center"/>
                </w:tcPr>
                <w:p w14:paraId="640231EB">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lang w:val="en-US" w:eastAsia="zh-CN"/>
                    </w:rPr>
                    <w:t>固体</w:t>
                  </w:r>
                  <w:r>
                    <w:rPr>
                      <w:rFonts w:hint="default" w:ascii="Times New Roman" w:hAnsi="Times New Roman" w:eastAsia="宋体" w:cs="Times New Roman"/>
                      <w:b/>
                      <w:color w:val="auto"/>
                      <w:szCs w:val="21"/>
                      <w:highlight w:val="none"/>
                    </w:rPr>
                    <w:t>废物</w:t>
                  </w:r>
                </w:p>
                <w:p w14:paraId="2F9357DB">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代码</w:t>
                  </w:r>
                </w:p>
              </w:tc>
              <w:tc>
                <w:tcPr>
                  <w:tcW w:w="524" w:type="pct"/>
                  <w:tcBorders>
                    <w:tl2br w:val="nil"/>
                    <w:tr2bl w:val="nil"/>
                  </w:tcBorders>
                  <w:vAlign w:val="center"/>
                </w:tcPr>
                <w:p w14:paraId="48DFF4C9">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形态</w:t>
                  </w:r>
                </w:p>
              </w:tc>
              <w:tc>
                <w:tcPr>
                  <w:tcW w:w="556" w:type="pct"/>
                  <w:tcBorders>
                    <w:tl2br w:val="nil"/>
                    <w:tr2bl w:val="nil"/>
                  </w:tcBorders>
                  <w:vAlign w:val="center"/>
                </w:tcPr>
                <w:p w14:paraId="4F27DB7C">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危险</w:t>
                  </w:r>
                </w:p>
                <w:p w14:paraId="624FD84C">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特性</w:t>
                  </w:r>
                </w:p>
              </w:tc>
              <w:tc>
                <w:tcPr>
                  <w:tcW w:w="587" w:type="pct"/>
                  <w:tcBorders>
                    <w:tl2br w:val="nil"/>
                    <w:tr2bl w:val="nil"/>
                  </w:tcBorders>
                  <w:vAlign w:val="center"/>
                </w:tcPr>
                <w:p w14:paraId="5523F599">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产生量</w:t>
                  </w:r>
                </w:p>
                <w:p w14:paraId="4619F67E">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（吨/年）</w:t>
                  </w:r>
                </w:p>
              </w:tc>
              <w:tc>
                <w:tcPr>
                  <w:tcW w:w="540" w:type="pct"/>
                  <w:tcBorders>
                    <w:tl2br w:val="nil"/>
                    <w:tr2bl w:val="nil"/>
                  </w:tcBorders>
                  <w:vAlign w:val="center"/>
                </w:tcPr>
                <w:p w14:paraId="3D60FF9A">
                  <w:pPr>
                    <w:spacing w:line="240" w:lineRule="auto"/>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产废</w:t>
                  </w:r>
                </w:p>
                <w:p w14:paraId="7680B3AF">
                  <w:pPr>
                    <w:spacing w:line="240" w:lineRule="auto"/>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周期</w:t>
                  </w:r>
                </w:p>
              </w:tc>
              <w:tc>
                <w:tcPr>
                  <w:tcW w:w="643" w:type="pct"/>
                  <w:tcBorders>
                    <w:tl2br w:val="nil"/>
                    <w:tr2bl w:val="nil"/>
                  </w:tcBorders>
                  <w:vAlign w:val="center"/>
                </w:tcPr>
                <w:p w14:paraId="556CFF07">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污染防治</w:t>
                  </w:r>
                </w:p>
                <w:p w14:paraId="60D0AF88">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措施</w:t>
                  </w:r>
                </w:p>
              </w:tc>
            </w:tr>
            <w:tr w14:paraId="314BE3B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5000" w:type="pct"/>
                  <w:gridSpan w:val="9"/>
                  <w:tcBorders>
                    <w:tl2br w:val="nil"/>
                    <w:tr2bl w:val="nil"/>
                  </w:tcBorders>
                  <w:vAlign w:val="center"/>
                </w:tcPr>
                <w:p w14:paraId="669341F9">
                  <w:pPr>
                    <w:spacing w:line="240" w:lineRule="auto"/>
                    <w:jc w:val="center"/>
                    <w:rPr>
                      <w:rFonts w:hint="eastAsia" w:ascii="Times New Roman" w:hAnsi="Times New Roman" w:eastAsia="宋体" w:cs="Times New Roman"/>
                      <w:b/>
                      <w:color w:val="auto"/>
                      <w:szCs w:val="21"/>
                      <w:highlight w:val="none"/>
                      <w:lang w:val="en-US" w:eastAsia="zh-CN"/>
                    </w:rPr>
                  </w:pPr>
                  <w:r>
                    <w:rPr>
                      <w:rFonts w:hint="eastAsia" w:cs="Times New Roman"/>
                      <w:b w:val="0"/>
                      <w:bCs/>
                      <w:color w:val="auto"/>
                      <w:szCs w:val="21"/>
                      <w:highlight w:val="none"/>
                      <w:lang w:val="en-US" w:eastAsia="zh-CN"/>
                    </w:rPr>
                    <w:t>危险废物</w:t>
                  </w:r>
                </w:p>
              </w:tc>
            </w:tr>
            <w:tr w14:paraId="40B4E0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68" w:type="pct"/>
                  <w:tcBorders>
                    <w:tl2br w:val="nil"/>
                    <w:tr2bl w:val="nil"/>
                  </w:tcBorders>
                  <w:vAlign w:val="center"/>
                </w:tcPr>
                <w:p w14:paraId="54859476">
                  <w:pPr>
                    <w:numPr>
                      <w:ilvl w:val="0"/>
                      <w:numId w:val="46"/>
                    </w:numPr>
                    <w:spacing w:line="240" w:lineRule="auto"/>
                    <w:ind w:left="210"/>
                    <w:jc w:val="center"/>
                    <w:rPr>
                      <w:rFonts w:hint="default" w:ascii="Times New Roman" w:hAnsi="Times New Roman" w:eastAsia="宋体" w:cs="Times New Roman"/>
                      <w:color w:val="auto"/>
                      <w:sz w:val="21"/>
                      <w:szCs w:val="21"/>
                      <w:highlight w:val="none"/>
                    </w:rPr>
                  </w:pPr>
                </w:p>
              </w:tc>
              <w:tc>
                <w:tcPr>
                  <w:tcW w:w="574" w:type="pct"/>
                  <w:tcBorders>
                    <w:tl2br w:val="nil"/>
                    <w:tr2bl w:val="nil"/>
                  </w:tcBorders>
                  <w:vAlign w:val="center"/>
                </w:tcPr>
                <w:p w14:paraId="72A3FFBA">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废试剂瓶</w:t>
                  </w:r>
                </w:p>
              </w:tc>
              <w:tc>
                <w:tcPr>
                  <w:tcW w:w="485" w:type="pct"/>
                  <w:tcBorders>
                    <w:tl2br w:val="nil"/>
                    <w:tr2bl w:val="nil"/>
                  </w:tcBorders>
                  <w:vAlign w:val="center"/>
                </w:tcPr>
                <w:p w14:paraId="0C98AB62">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w:t>
                  </w:r>
                </w:p>
              </w:tc>
              <w:tc>
                <w:tcPr>
                  <w:tcW w:w="719" w:type="pct"/>
                  <w:tcBorders>
                    <w:tl2br w:val="nil"/>
                    <w:tr2bl w:val="nil"/>
                  </w:tcBorders>
                  <w:vAlign w:val="center"/>
                </w:tcPr>
                <w:p w14:paraId="329B9D94">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900-047-49</w:t>
                  </w:r>
                </w:p>
              </w:tc>
              <w:tc>
                <w:tcPr>
                  <w:tcW w:w="524" w:type="pct"/>
                  <w:tcBorders>
                    <w:tl2br w:val="nil"/>
                    <w:tr2bl w:val="nil"/>
                  </w:tcBorders>
                  <w:vAlign w:val="center"/>
                </w:tcPr>
                <w:p w14:paraId="27872E96">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tc>
              <w:tc>
                <w:tcPr>
                  <w:tcW w:w="556" w:type="pct"/>
                  <w:tcBorders>
                    <w:tl2br w:val="nil"/>
                    <w:tr2bl w:val="nil"/>
                  </w:tcBorders>
                  <w:vAlign w:val="center"/>
                </w:tcPr>
                <w:p w14:paraId="1231E8B4">
                  <w:pPr>
                    <w:keepNext w:val="0"/>
                    <w:keepLines w:val="0"/>
                    <w:widowControl/>
                    <w:suppressLineNumbers w:val="0"/>
                    <w:spacing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val="en-US" w:eastAsia="zh-CN" w:bidi="ar"/>
                    </w:rPr>
                    <w:t>T/C/I/R</w:t>
                  </w:r>
                </w:p>
              </w:tc>
              <w:tc>
                <w:tcPr>
                  <w:tcW w:w="587" w:type="pct"/>
                  <w:tcBorders>
                    <w:tl2br w:val="nil"/>
                    <w:tr2bl w:val="nil"/>
                  </w:tcBorders>
                  <w:vAlign w:val="center"/>
                </w:tcPr>
                <w:p w14:paraId="74D96488">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540" w:type="pct"/>
                  <w:tcBorders>
                    <w:tl2br w:val="nil"/>
                    <w:tr2bl w:val="nil"/>
                  </w:tcBorders>
                  <w:vAlign w:val="center"/>
                </w:tcPr>
                <w:p w14:paraId="687AB69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每天</w:t>
                  </w:r>
                </w:p>
              </w:tc>
              <w:tc>
                <w:tcPr>
                  <w:tcW w:w="643" w:type="pct"/>
                  <w:vMerge w:val="restart"/>
                  <w:tcBorders>
                    <w:tl2br w:val="nil"/>
                    <w:tr2bl w:val="nil"/>
                  </w:tcBorders>
                  <w:vAlign w:val="center"/>
                </w:tcPr>
                <w:p w14:paraId="5BABEA8F">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统一收集后暂存于危险废物暂存间，定期交北京</w:t>
                  </w:r>
                  <w:r>
                    <w:rPr>
                      <w:rFonts w:hint="default" w:ascii="Times New Roman" w:hAnsi="Times New Roman" w:eastAsia="宋体" w:cs="Times New Roman"/>
                      <w:color w:val="auto"/>
                      <w:sz w:val="21"/>
                      <w:szCs w:val="21"/>
                      <w:highlight w:val="none"/>
                      <w:lang w:val="en-US" w:eastAsia="zh-CN"/>
                    </w:rPr>
                    <w:t>金隅红树林环保技术</w:t>
                  </w:r>
                  <w:r>
                    <w:rPr>
                      <w:rFonts w:hint="default" w:ascii="Times New Roman" w:hAnsi="Times New Roman" w:eastAsia="宋体" w:cs="Times New Roman"/>
                      <w:color w:val="auto"/>
                      <w:sz w:val="21"/>
                      <w:szCs w:val="21"/>
                      <w:highlight w:val="none"/>
                    </w:rPr>
                    <w:t>有限</w:t>
                  </w:r>
                  <w:r>
                    <w:rPr>
                      <w:rFonts w:hint="default" w:ascii="Times New Roman" w:hAnsi="Times New Roman" w:eastAsia="宋体" w:cs="Times New Roman"/>
                      <w:color w:val="auto"/>
                      <w:sz w:val="21"/>
                      <w:szCs w:val="21"/>
                      <w:highlight w:val="none"/>
                      <w:lang w:val="en-US" w:eastAsia="zh-CN"/>
                    </w:rPr>
                    <w:t>责任</w:t>
                  </w:r>
                  <w:r>
                    <w:rPr>
                      <w:rFonts w:hint="default" w:ascii="Times New Roman" w:hAnsi="Times New Roman" w:eastAsia="宋体" w:cs="Times New Roman"/>
                      <w:color w:val="auto"/>
                      <w:sz w:val="21"/>
                      <w:szCs w:val="21"/>
                      <w:highlight w:val="none"/>
                    </w:rPr>
                    <w:t>公司处置。</w:t>
                  </w:r>
                </w:p>
              </w:tc>
            </w:tr>
            <w:tr w14:paraId="667FC5C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68" w:type="pct"/>
                  <w:tcBorders>
                    <w:tl2br w:val="nil"/>
                    <w:tr2bl w:val="nil"/>
                  </w:tcBorders>
                  <w:vAlign w:val="center"/>
                </w:tcPr>
                <w:p w14:paraId="3C5438E2">
                  <w:pPr>
                    <w:numPr>
                      <w:ilvl w:val="0"/>
                      <w:numId w:val="46"/>
                    </w:numPr>
                    <w:spacing w:line="240" w:lineRule="auto"/>
                    <w:ind w:left="210"/>
                    <w:jc w:val="center"/>
                    <w:rPr>
                      <w:rFonts w:hint="default" w:ascii="Times New Roman" w:hAnsi="Times New Roman" w:eastAsia="宋体" w:cs="Times New Roman"/>
                      <w:color w:val="auto"/>
                      <w:sz w:val="21"/>
                      <w:szCs w:val="21"/>
                      <w:highlight w:val="none"/>
                    </w:rPr>
                  </w:pPr>
                </w:p>
              </w:tc>
              <w:tc>
                <w:tcPr>
                  <w:tcW w:w="574" w:type="pct"/>
                  <w:tcBorders>
                    <w:tl2br w:val="nil"/>
                    <w:tr2bl w:val="nil"/>
                  </w:tcBorders>
                  <w:vAlign w:val="center"/>
                </w:tcPr>
                <w:p w14:paraId="06FB5A54">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废试剂</w:t>
                  </w:r>
                </w:p>
              </w:tc>
              <w:tc>
                <w:tcPr>
                  <w:tcW w:w="485" w:type="pct"/>
                  <w:tcBorders>
                    <w:tl2br w:val="nil"/>
                    <w:tr2bl w:val="nil"/>
                  </w:tcBorders>
                  <w:vAlign w:val="center"/>
                </w:tcPr>
                <w:p w14:paraId="7678C84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w:t>
                  </w:r>
                </w:p>
              </w:tc>
              <w:tc>
                <w:tcPr>
                  <w:tcW w:w="719" w:type="pct"/>
                  <w:tcBorders>
                    <w:tl2br w:val="nil"/>
                    <w:tr2bl w:val="nil"/>
                  </w:tcBorders>
                  <w:vAlign w:val="center"/>
                </w:tcPr>
                <w:p w14:paraId="26400FF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900-047-49</w:t>
                  </w:r>
                </w:p>
              </w:tc>
              <w:tc>
                <w:tcPr>
                  <w:tcW w:w="524" w:type="pct"/>
                  <w:tcBorders>
                    <w:tl2br w:val="nil"/>
                    <w:tr2bl w:val="nil"/>
                  </w:tcBorders>
                  <w:vAlign w:val="center"/>
                </w:tcPr>
                <w:p w14:paraId="2B9A394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r>
                    <w:rPr>
                      <w:rFonts w:hint="eastAsia" w:cs="Times New Roman"/>
                      <w:color w:val="auto"/>
                      <w:sz w:val="21"/>
                      <w:szCs w:val="21"/>
                      <w:highlight w:val="none"/>
                      <w:lang w:val="en-US" w:eastAsia="zh-CN"/>
                    </w:rPr>
                    <w:t>/固态</w:t>
                  </w:r>
                </w:p>
              </w:tc>
              <w:tc>
                <w:tcPr>
                  <w:tcW w:w="556" w:type="pct"/>
                  <w:tcBorders>
                    <w:tl2br w:val="nil"/>
                    <w:tr2bl w:val="nil"/>
                  </w:tcBorders>
                  <w:vAlign w:val="center"/>
                </w:tcPr>
                <w:p w14:paraId="7257F35A">
                  <w:pPr>
                    <w:keepNext w:val="0"/>
                    <w:keepLines w:val="0"/>
                    <w:widowControl/>
                    <w:suppressLineNumbers w:val="0"/>
                    <w:spacing w:line="240" w:lineRule="auto"/>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T/C/I/R</w:t>
                  </w:r>
                </w:p>
              </w:tc>
              <w:tc>
                <w:tcPr>
                  <w:tcW w:w="587" w:type="pct"/>
                  <w:tcBorders>
                    <w:tl2br w:val="nil"/>
                    <w:tr2bl w:val="nil"/>
                  </w:tcBorders>
                  <w:vAlign w:val="center"/>
                </w:tcPr>
                <w:p w14:paraId="76C83ED6">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c>
                <w:tcPr>
                  <w:tcW w:w="540" w:type="pct"/>
                  <w:tcBorders>
                    <w:tl2br w:val="nil"/>
                    <w:tr2bl w:val="nil"/>
                  </w:tcBorders>
                  <w:vAlign w:val="center"/>
                </w:tcPr>
                <w:p w14:paraId="01203FE7">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每天</w:t>
                  </w:r>
                </w:p>
              </w:tc>
              <w:tc>
                <w:tcPr>
                  <w:tcW w:w="643" w:type="pct"/>
                  <w:vMerge w:val="continue"/>
                  <w:tcBorders>
                    <w:tl2br w:val="nil"/>
                    <w:tr2bl w:val="nil"/>
                  </w:tcBorders>
                  <w:vAlign w:val="center"/>
                </w:tcPr>
                <w:p w14:paraId="5A100323">
                  <w:pPr>
                    <w:widowControl/>
                    <w:spacing w:line="240" w:lineRule="auto"/>
                    <w:jc w:val="center"/>
                    <w:rPr>
                      <w:rFonts w:hint="default" w:ascii="Times New Roman" w:hAnsi="Times New Roman" w:eastAsia="宋体" w:cs="Times New Roman"/>
                      <w:color w:val="auto"/>
                      <w:sz w:val="21"/>
                      <w:szCs w:val="21"/>
                      <w:highlight w:val="none"/>
                    </w:rPr>
                  </w:pPr>
                </w:p>
              </w:tc>
            </w:tr>
            <w:tr w14:paraId="60E99D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68" w:type="pct"/>
                  <w:tcBorders>
                    <w:tl2br w:val="nil"/>
                    <w:tr2bl w:val="nil"/>
                  </w:tcBorders>
                  <w:vAlign w:val="center"/>
                </w:tcPr>
                <w:p w14:paraId="117953F4">
                  <w:pPr>
                    <w:numPr>
                      <w:ilvl w:val="0"/>
                      <w:numId w:val="46"/>
                    </w:numPr>
                    <w:spacing w:line="240" w:lineRule="auto"/>
                    <w:ind w:left="210"/>
                    <w:jc w:val="center"/>
                    <w:rPr>
                      <w:rFonts w:hint="default" w:ascii="Times New Roman" w:hAnsi="Times New Roman" w:eastAsia="宋体" w:cs="Times New Roman"/>
                      <w:color w:val="auto"/>
                      <w:sz w:val="21"/>
                      <w:szCs w:val="21"/>
                      <w:highlight w:val="none"/>
                    </w:rPr>
                  </w:pPr>
                </w:p>
              </w:tc>
              <w:tc>
                <w:tcPr>
                  <w:tcW w:w="574" w:type="pct"/>
                  <w:tcBorders>
                    <w:tl2br w:val="nil"/>
                    <w:tr2bl w:val="nil"/>
                  </w:tcBorders>
                  <w:vAlign w:val="center"/>
                </w:tcPr>
                <w:p w14:paraId="44E1504B">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废一次性耗材</w:t>
                  </w:r>
                </w:p>
              </w:tc>
              <w:tc>
                <w:tcPr>
                  <w:tcW w:w="485" w:type="pct"/>
                  <w:tcBorders>
                    <w:tl2br w:val="nil"/>
                    <w:tr2bl w:val="nil"/>
                  </w:tcBorders>
                  <w:vAlign w:val="center"/>
                </w:tcPr>
                <w:p w14:paraId="3EB5865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w:t>
                  </w:r>
                </w:p>
              </w:tc>
              <w:tc>
                <w:tcPr>
                  <w:tcW w:w="719" w:type="pct"/>
                  <w:tcBorders>
                    <w:tl2br w:val="nil"/>
                    <w:tr2bl w:val="nil"/>
                  </w:tcBorders>
                  <w:vAlign w:val="center"/>
                </w:tcPr>
                <w:p w14:paraId="4C3FC48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900-047-49</w:t>
                  </w:r>
                </w:p>
              </w:tc>
              <w:tc>
                <w:tcPr>
                  <w:tcW w:w="524" w:type="pct"/>
                  <w:tcBorders>
                    <w:tl2br w:val="nil"/>
                    <w:tr2bl w:val="nil"/>
                  </w:tcBorders>
                  <w:vAlign w:val="center"/>
                </w:tcPr>
                <w:p w14:paraId="4EDF78A5">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固</w:t>
                  </w:r>
                  <w:r>
                    <w:rPr>
                      <w:rFonts w:hint="default" w:ascii="Times New Roman" w:hAnsi="Times New Roman" w:eastAsia="宋体" w:cs="Times New Roman"/>
                      <w:color w:val="auto"/>
                      <w:sz w:val="21"/>
                      <w:szCs w:val="21"/>
                      <w:highlight w:val="none"/>
                      <w:lang w:val="en-US" w:eastAsia="zh-CN"/>
                    </w:rPr>
                    <w:t>态</w:t>
                  </w:r>
                </w:p>
              </w:tc>
              <w:tc>
                <w:tcPr>
                  <w:tcW w:w="556" w:type="pct"/>
                  <w:tcBorders>
                    <w:tl2br w:val="nil"/>
                    <w:tr2bl w:val="nil"/>
                  </w:tcBorders>
                  <w:vAlign w:val="center"/>
                </w:tcPr>
                <w:p w14:paraId="7BCE86E2">
                  <w:pPr>
                    <w:keepNext w:val="0"/>
                    <w:keepLines w:val="0"/>
                    <w:widowControl/>
                    <w:suppressLineNumbers w:val="0"/>
                    <w:spacing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val="en-US" w:eastAsia="zh-CN" w:bidi="ar"/>
                    </w:rPr>
                    <w:t>T/C/I/R</w:t>
                  </w:r>
                </w:p>
              </w:tc>
              <w:tc>
                <w:tcPr>
                  <w:tcW w:w="587" w:type="pct"/>
                  <w:tcBorders>
                    <w:tl2br w:val="nil"/>
                    <w:tr2bl w:val="nil"/>
                  </w:tcBorders>
                  <w:vAlign w:val="center"/>
                </w:tcPr>
                <w:p w14:paraId="335570EC">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0.05</w:t>
                  </w:r>
                </w:p>
              </w:tc>
              <w:tc>
                <w:tcPr>
                  <w:tcW w:w="540" w:type="pct"/>
                  <w:tcBorders>
                    <w:tl2br w:val="nil"/>
                    <w:tr2bl w:val="nil"/>
                  </w:tcBorders>
                  <w:vAlign w:val="center"/>
                </w:tcPr>
                <w:p w14:paraId="1E45FC35">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每天</w:t>
                  </w:r>
                </w:p>
              </w:tc>
              <w:tc>
                <w:tcPr>
                  <w:tcW w:w="643" w:type="pct"/>
                  <w:vMerge w:val="continue"/>
                  <w:tcBorders>
                    <w:tl2br w:val="nil"/>
                    <w:tr2bl w:val="nil"/>
                  </w:tcBorders>
                  <w:vAlign w:val="center"/>
                </w:tcPr>
                <w:p w14:paraId="650A1FA8">
                  <w:pPr>
                    <w:widowControl/>
                    <w:spacing w:line="240" w:lineRule="auto"/>
                    <w:jc w:val="center"/>
                    <w:rPr>
                      <w:rFonts w:hint="default" w:ascii="Times New Roman" w:hAnsi="Times New Roman" w:eastAsia="宋体" w:cs="Times New Roman"/>
                      <w:color w:val="auto"/>
                      <w:sz w:val="21"/>
                      <w:szCs w:val="21"/>
                      <w:highlight w:val="none"/>
                    </w:rPr>
                  </w:pPr>
                </w:p>
              </w:tc>
            </w:tr>
            <w:tr w14:paraId="2B0FCCB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68" w:type="pct"/>
                  <w:tcBorders>
                    <w:tl2br w:val="nil"/>
                    <w:tr2bl w:val="nil"/>
                  </w:tcBorders>
                  <w:vAlign w:val="center"/>
                </w:tcPr>
                <w:p w14:paraId="156A8965">
                  <w:pPr>
                    <w:numPr>
                      <w:ilvl w:val="0"/>
                      <w:numId w:val="46"/>
                    </w:numPr>
                    <w:spacing w:line="240" w:lineRule="auto"/>
                    <w:ind w:left="210"/>
                    <w:jc w:val="center"/>
                    <w:rPr>
                      <w:rFonts w:hint="default" w:ascii="Times New Roman" w:hAnsi="Times New Roman" w:eastAsia="宋体" w:cs="Times New Roman"/>
                      <w:color w:val="auto"/>
                      <w:sz w:val="21"/>
                      <w:szCs w:val="21"/>
                      <w:highlight w:val="none"/>
                    </w:rPr>
                  </w:pPr>
                </w:p>
              </w:tc>
              <w:tc>
                <w:tcPr>
                  <w:tcW w:w="574" w:type="pct"/>
                  <w:tcBorders>
                    <w:tl2br w:val="nil"/>
                    <w:tr2bl w:val="nil"/>
                  </w:tcBorders>
                  <w:vAlign w:val="center"/>
                </w:tcPr>
                <w:p w14:paraId="6CE0E84F">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废培养基</w:t>
                  </w:r>
                </w:p>
              </w:tc>
              <w:tc>
                <w:tcPr>
                  <w:tcW w:w="485" w:type="pct"/>
                  <w:tcBorders>
                    <w:tl2br w:val="nil"/>
                    <w:tr2bl w:val="nil"/>
                  </w:tcBorders>
                  <w:vAlign w:val="center"/>
                </w:tcPr>
                <w:p w14:paraId="0115BFC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w:t>
                  </w:r>
                </w:p>
              </w:tc>
              <w:tc>
                <w:tcPr>
                  <w:tcW w:w="719" w:type="pct"/>
                  <w:tcBorders>
                    <w:tl2br w:val="nil"/>
                    <w:tr2bl w:val="nil"/>
                  </w:tcBorders>
                  <w:vAlign w:val="center"/>
                </w:tcPr>
                <w:p w14:paraId="6D575AF7">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900-047-49</w:t>
                  </w:r>
                </w:p>
              </w:tc>
              <w:tc>
                <w:tcPr>
                  <w:tcW w:w="524" w:type="pct"/>
                  <w:tcBorders>
                    <w:tl2br w:val="nil"/>
                    <w:tr2bl w:val="nil"/>
                  </w:tcBorders>
                  <w:vAlign w:val="center"/>
                </w:tcPr>
                <w:p w14:paraId="530FC757">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固</w:t>
                  </w:r>
                  <w:r>
                    <w:rPr>
                      <w:rFonts w:hint="default" w:ascii="Times New Roman" w:hAnsi="Times New Roman" w:eastAsia="宋体" w:cs="Times New Roman"/>
                      <w:color w:val="auto"/>
                      <w:sz w:val="21"/>
                      <w:szCs w:val="21"/>
                      <w:highlight w:val="none"/>
                      <w:lang w:val="en-US" w:eastAsia="zh-CN"/>
                    </w:rPr>
                    <w:t>态</w:t>
                  </w:r>
                </w:p>
              </w:tc>
              <w:tc>
                <w:tcPr>
                  <w:tcW w:w="556" w:type="pct"/>
                  <w:tcBorders>
                    <w:tl2br w:val="nil"/>
                    <w:tr2bl w:val="nil"/>
                  </w:tcBorders>
                  <w:vAlign w:val="center"/>
                </w:tcPr>
                <w:p w14:paraId="1485689B">
                  <w:pPr>
                    <w:keepNext w:val="0"/>
                    <w:keepLines w:val="0"/>
                    <w:widowControl/>
                    <w:suppressLineNumbers w:val="0"/>
                    <w:spacing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val="en-US" w:eastAsia="zh-CN" w:bidi="ar"/>
                    </w:rPr>
                    <w:t>T/C/I/R</w:t>
                  </w:r>
                </w:p>
              </w:tc>
              <w:tc>
                <w:tcPr>
                  <w:tcW w:w="587" w:type="pct"/>
                  <w:tcBorders>
                    <w:tl2br w:val="nil"/>
                    <w:tr2bl w:val="nil"/>
                  </w:tcBorders>
                  <w:vAlign w:val="center"/>
                </w:tcPr>
                <w:p w14:paraId="4F72E946">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0.005</w:t>
                  </w:r>
                </w:p>
              </w:tc>
              <w:tc>
                <w:tcPr>
                  <w:tcW w:w="540" w:type="pct"/>
                  <w:tcBorders>
                    <w:tl2br w:val="nil"/>
                    <w:tr2bl w:val="nil"/>
                  </w:tcBorders>
                  <w:vAlign w:val="center"/>
                </w:tcPr>
                <w:p w14:paraId="3A916AA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每天</w:t>
                  </w:r>
                </w:p>
              </w:tc>
              <w:tc>
                <w:tcPr>
                  <w:tcW w:w="643" w:type="pct"/>
                  <w:vMerge w:val="continue"/>
                  <w:tcBorders>
                    <w:tl2br w:val="nil"/>
                    <w:tr2bl w:val="nil"/>
                  </w:tcBorders>
                  <w:vAlign w:val="center"/>
                </w:tcPr>
                <w:p w14:paraId="6896E446">
                  <w:pPr>
                    <w:widowControl/>
                    <w:spacing w:line="240" w:lineRule="auto"/>
                    <w:jc w:val="center"/>
                    <w:rPr>
                      <w:rFonts w:hint="default" w:ascii="Times New Roman" w:hAnsi="Times New Roman" w:eastAsia="宋体" w:cs="Times New Roman"/>
                      <w:color w:val="auto"/>
                      <w:sz w:val="21"/>
                      <w:szCs w:val="21"/>
                      <w:highlight w:val="none"/>
                    </w:rPr>
                  </w:pPr>
                </w:p>
              </w:tc>
            </w:tr>
            <w:tr w14:paraId="5D8249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0" w:hRule="atLeast"/>
                <w:jc w:val="center"/>
              </w:trPr>
              <w:tc>
                <w:tcPr>
                  <w:tcW w:w="368" w:type="pct"/>
                  <w:tcBorders>
                    <w:tl2br w:val="nil"/>
                    <w:tr2bl w:val="nil"/>
                  </w:tcBorders>
                  <w:vAlign w:val="center"/>
                </w:tcPr>
                <w:p w14:paraId="13BBFCD1">
                  <w:pPr>
                    <w:numPr>
                      <w:ilvl w:val="0"/>
                      <w:numId w:val="46"/>
                    </w:numPr>
                    <w:spacing w:line="240" w:lineRule="auto"/>
                    <w:ind w:left="210"/>
                    <w:jc w:val="center"/>
                    <w:rPr>
                      <w:rFonts w:hint="default" w:ascii="Times New Roman" w:hAnsi="Times New Roman" w:eastAsia="宋体" w:cs="Times New Roman"/>
                      <w:color w:val="auto"/>
                      <w:sz w:val="21"/>
                      <w:szCs w:val="21"/>
                      <w:highlight w:val="none"/>
                    </w:rPr>
                  </w:pPr>
                </w:p>
              </w:tc>
              <w:tc>
                <w:tcPr>
                  <w:tcW w:w="574" w:type="pct"/>
                  <w:tcBorders>
                    <w:tl2br w:val="nil"/>
                    <w:tr2bl w:val="nil"/>
                  </w:tcBorders>
                  <w:vAlign w:val="center"/>
                </w:tcPr>
                <w:p w14:paraId="5874AA0B">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检测废液</w:t>
                  </w:r>
                </w:p>
              </w:tc>
              <w:tc>
                <w:tcPr>
                  <w:tcW w:w="485" w:type="pct"/>
                  <w:tcBorders>
                    <w:tl2br w:val="nil"/>
                    <w:tr2bl w:val="nil"/>
                  </w:tcBorders>
                  <w:vAlign w:val="center"/>
                </w:tcPr>
                <w:p w14:paraId="0B2BCF1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w:t>
                  </w:r>
                </w:p>
              </w:tc>
              <w:tc>
                <w:tcPr>
                  <w:tcW w:w="719" w:type="pct"/>
                  <w:tcBorders>
                    <w:tl2br w:val="nil"/>
                    <w:tr2bl w:val="nil"/>
                  </w:tcBorders>
                  <w:vAlign w:val="center"/>
                </w:tcPr>
                <w:p w14:paraId="1A8C5BC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900-044-49</w:t>
                  </w:r>
                </w:p>
              </w:tc>
              <w:tc>
                <w:tcPr>
                  <w:tcW w:w="524" w:type="pct"/>
                  <w:tcBorders>
                    <w:tl2br w:val="nil"/>
                    <w:tr2bl w:val="nil"/>
                  </w:tcBorders>
                  <w:shd w:val="clear" w:color="auto" w:fill="auto"/>
                  <w:vAlign w:val="center"/>
                </w:tcPr>
                <w:p w14:paraId="654A4D27">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液</w:t>
                  </w:r>
                  <w:r>
                    <w:rPr>
                      <w:rFonts w:hint="default" w:ascii="Times New Roman" w:hAnsi="Times New Roman" w:eastAsia="宋体" w:cs="Times New Roman"/>
                      <w:color w:val="auto"/>
                      <w:sz w:val="21"/>
                      <w:szCs w:val="21"/>
                      <w:highlight w:val="none"/>
                      <w:lang w:val="en-US" w:eastAsia="zh-CN"/>
                    </w:rPr>
                    <w:t>态</w:t>
                  </w:r>
                </w:p>
              </w:tc>
              <w:tc>
                <w:tcPr>
                  <w:tcW w:w="556" w:type="pct"/>
                  <w:tcBorders>
                    <w:tl2br w:val="nil"/>
                    <w:tr2bl w:val="nil"/>
                  </w:tcBorders>
                  <w:vAlign w:val="center"/>
                </w:tcPr>
                <w:p w14:paraId="7F91D9B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T/C/I/R</w:t>
                  </w:r>
                </w:p>
              </w:tc>
              <w:tc>
                <w:tcPr>
                  <w:tcW w:w="587" w:type="pct"/>
                  <w:tcBorders>
                    <w:tl2br w:val="nil"/>
                    <w:tr2bl w:val="nil"/>
                  </w:tcBorders>
                  <w:vAlign w:val="center"/>
                </w:tcPr>
                <w:p w14:paraId="7DAD4F2D">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0.45</w:t>
                  </w:r>
                </w:p>
              </w:tc>
              <w:tc>
                <w:tcPr>
                  <w:tcW w:w="540" w:type="pct"/>
                  <w:tcBorders>
                    <w:tl2br w:val="nil"/>
                    <w:tr2bl w:val="nil"/>
                  </w:tcBorders>
                  <w:vAlign w:val="center"/>
                </w:tcPr>
                <w:p w14:paraId="61BA719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每天</w:t>
                  </w:r>
                </w:p>
              </w:tc>
              <w:tc>
                <w:tcPr>
                  <w:tcW w:w="643" w:type="pct"/>
                  <w:vMerge w:val="continue"/>
                  <w:tcBorders>
                    <w:tl2br w:val="nil"/>
                    <w:tr2bl w:val="nil"/>
                  </w:tcBorders>
                  <w:vAlign w:val="center"/>
                </w:tcPr>
                <w:p w14:paraId="1E383CE8">
                  <w:pPr>
                    <w:widowControl/>
                    <w:spacing w:line="240" w:lineRule="auto"/>
                    <w:jc w:val="center"/>
                    <w:rPr>
                      <w:rFonts w:hint="default" w:ascii="Times New Roman" w:hAnsi="Times New Roman" w:eastAsia="宋体" w:cs="Times New Roman"/>
                      <w:color w:val="auto"/>
                      <w:sz w:val="21"/>
                      <w:szCs w:val="21"/>
                      <w:highlight w:val="none"/>
                    </w:rPr>
                  </w:pPr>
                </w:p>
              </w:tc>
            </w:tr>
            <w:tr w14:paraId="1304BA7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368" w:type="pct"/>
                  <w:tcBorders>
                    <w:tl2br w:val="nil"/>
                    <w:tr2bl w:val="nil"/>
                  </w:tcBorders>
                  <w:vAlign w:val="center"/>
                </w:tcPr>
                <w:p w14:paraId="2CE104C7">
                  <w:pPr>
                    <w:numPr>
                      <w:ilvl w:val="0"/>
                      <w:numId w:val="46"/>
                    </w:numPr>
                    <w:spacing w:line="240" w:lineRule="auto"/>
                    <w:ind w:left="210"/>
                    <w:jc w:val="center"/>
                    <w:rPr>
                      <w:rFonts w:hint="default" w:ascii="Times New Roman" w:hAnsi="Times New Roman" w:eastAsia="宋体" w:cs="Times New Roman"/>
                      <w:color w:val="auto"/>
                      <w:sz w:val="21"/>
                      <w:szCs w:val="21"/>
                      <w:highlight w:val="none"/>
                    </w:rPr>
                  </w:pPr>
                </w:p>
              </w:tc>
              <w:tc>
                <w:tcPr>
                  <w:tcW w:w="574" w:type="pct"/>
                  <w:tcBorders>
                    <w:tl2br w:val="nil"/>
                    <w:tr2bl w:val="nil"/>
                  </w:tcBorders>
                  <w:vAlign w:val="center"/>
                </w:tcPr>
                <w:p w14:paraId="11A1E989">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清洗废液</w:t>
                  </w:r>
                </w:p>
              </w:tc>
              <w:tc>
                <w:tcPr>
                  <w:tcW w:w="485" w:type="pct"/>
                  <w:tcBorders>
                    <w:tl2br w:val="nil"/>
                    <w:tr2bl w:val="nil"/>
                  </w:tcBorders>
                  <w:vAlign w:val="center"/>
                </w:tcPr>
                <w:p w14:paraId="1A8A74E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w:t>
                  </w:r>
                </w:p>
              </w:tc>
              <w:tc>
                <w:tcPr>
                  <w:tcW w:w="719" w:type="pct"/>
                  <w:tcBorders>
                    <w:tl2br w:val="nil"/>
                    <w:tr2bl w:val="nil"/>
                  </w:tcBorders>
                  <w:vAlign w:val="center"/>
                </w:tcPr>
                <w:p w14:paraId="5DE5A0C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900-047-49</w:t>
                  </w:r>
                </w:p>
              </w:tc>
              <w:tc>
                <w:tcPr>
                  <w:tcW w:w="524" w:type="pct"/>
                  <w:tcBorders>
                    <w:tl2br w:val="nil"/>
                    <w:tr2bl w:val="nil"/>
                  </w:tcBorders>
                  <w:shd w:val="clear" w:color="auto" w:fill="auto"/>
                  <w:vAlign w:val="center"/>
                </w:tcPr>
                <w:p w14:paraId="42EC17C5">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tc>
              <w:tc>
                <w:tcPr>
                  <w:tcW w:w="556" w:type="pct"/>
                  <w:tcBorders>
                    <w:tl2br w:val="nil"/>
                    <w:tr2bl w:val="nil"/>
                  </w:tcBorders>
                  <w:vAlign w:val="center"/>
                </w:tcPr>
                <w:p w14:paraId="26790EB0">
                  <w:pPr>
                    <w:keepNext w:val="0"/>
                    <w:keepLines w:val="0"/>
                    <w:widowControl/>
                    <w:suppressLineNumbers w:val="0"/>
                    <w:spacing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val="en-US" w:eastAsia="zh-CN" w:bidi="ar"/>
                    </w:rPr>
                    <w:t>T/C/I/R</w:t>
                  </w:r>
                </w:p>
              </w:tc>
              <w:tc>
                <w:tcPr>
                  <w:tcW w:w="587" w:type="pct"/>
                  <w:tcBorders>
                    <w:tl2br w:val="nil"/>
                    <w:tr2bl w:val="nil"/>
                  </w:tcBorders>
                  <w:vAlign w:val="center"/>
                </w:tcPr>
                <w:p w14:paraId="221C280C">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0.9</w:t>
                  </w:r>
                </w:p>
              </w:tc>
              <w:tc>
                <w:tcPr>
                  <w:tcW w:w="540" w:type="pct"/>
                  <w:tcBorders>
                    <w:tl2br w:val="nil"/>
                    <w:tr2bl w:val="nil"/>
                  </w:tcBorders>
                  <w:vAlign w:val="center"/>
                </w:tcPr>
                <w:p w14:paraId="708E4455">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每天</w:t>
                  </w:r>
                </w:p>
              </w:tc>
              <w:tc>
                <w:tcPr>
                  <w:tcW w:w="643" w:type="pct"/>
                  <w:vMerge w:val="continue"/>
                  <w:tcBorders>
                    <w:tl2br w:val="nil"/>
                    <w:tr2bl w:val="nil"/>
                  </w:tcBorders>
                  <w:vAlign w:val="center"/>
                </w:tcPr>
                <w:p w14:paraId="31AEB7EF">
                  <w:pPr>
                    <w:widowControl/>
                    <w:spacing w:line="240" w:lineRule="auto"/>
                    <w:jc w:val="center"/>
                    <w:rPr>
                      <w:rFonts w:hint="default" w:ascii="Times New Roman" w:hAnsi="Times New Roman" w:eastAsia="宋体" w:cs="Times New Roman"/>
                      <w:color w:val="auto"/>
                      <w:sz w:val="21"/>
                      <w:szCs w:val="21"/>
                      <w:highlight w:val="none"/>
                    </w:rPr>
                  </w:pPr>
                </w:p>
              </w:tc>
            </w:tr>
            <w:tr w14:paraId="50F6D36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368" w:type="pct"/>
                  <w:tcBorders>
                    <w:tl2br w:val="nil"/>
                    <w:tr2bl w:val="nil"/>
                  </w:tcBorders>
                  <w:vAlign w:val="center"/>
                </w:tcPr>
                <w:p w14:paraId="49C5ADE8">
                  <w:pPr>
                    <w:numPr>
                      <w:ilvl w:val="0"/>
                      <w:numId w:val="46"/>
                    </w:numPr>
                    <w:spacing w:line="240" w:lineRule="auto"/>
                    <w:ind w:left="210"/>
                    <w:jc w:val="center"/>
                    <w:rPr>
                      <w:rFonts w:hint="default" w:ascii="Times New Roman" w:hAnsi="Times New Roman" w:eastAsia="宋体" w:cs="Times New Roman"/>
                      <w:color w:val="auto"/>
                      <w:sz w:val="21"/>
                      <w:szCs w:val="21"/>
                      <w:highlight w:val="none"/>
                    </w:rPr>
                  </w:pPr>
                </w:p>
              </w:tc>
              <w:tc>
                <w:tcPr>
                  <w:tcW w:w="574" w:type="pct"/>
                  <w:tcBorders>
                    <w:tl2br w:val="nil"/>
                    <w:tr2bl w:val="nil"/>
                  </w:tcBorders>
                  <w:vAlign w:val="center"/>
                </w:tcPr>
                <w:p w14:paraId="511CB5C8">
                  <w:pPr>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废样品</w:t>
                  </w:r>
                </w:p>
              </w:tc>
              <w:tc>
                <w:tcPr>
                  <w:tcW w:w="485" w:type="pct"/>
                  <w:tcBorders>
                    <w:tl2br w:val="nil"/>
                    <w:tr2bl w:val="nil"/>
                  </w:tcBorders>
                  <w:shd w:val="clear" w:color="auto" w:fill="auto"/>
                  <w:vAlign w:val="center"/>
                </w:tcPr>
                <w:p w14:paraId="2923F334">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HW49</w:t>
                  </w:r>
                </w:p>
              </w:tc>
              <w:tc>
                <w:tcPr>
                  <w:tcW w:w="719" w:type="pct"/>
                  <w:tcBorders>
                    <w:tl2br w:val="nil"/>
                    <w:tr2bl w:val="nil"/>
                  </w:tcBorders>
                  <w:shd w:val="clear" w:color="auto" w:fill="auto"/>
                  <w:vAlign w:val="center"/>
                </w:tcPr>
                <w:p w14:paraId="29AF9C2D">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900-047-49</w:t>
                  </w:r>
                </w:p>
              </w:tc>
              <w:tc>
                <w:tcPr>
                  <w:tcW w:w="524" w:type="pct"/>
                  <w:tcBorders>
                    <w:tl2br w:val="nil"/>
                    <w:tr2bl w:val="nil"/>
                  </w:tcBorders>
                  <w:shd w:val="clear" w:color="auto" w:fill="auto"/>
                  <w:vAlign w:val="center"/>
                </w:tcPr>
                <w:p w14:paraId="557E41BB">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液态</w:t>
                  </w:r>
                  <w:r>
                    <w:rPr>
                      <w:rFonts w:hint="eastAsia" w:cs="Times New Roman"/>
                      <w:color w:val="auto"/>
                      <w:sz w:val="21"/>
                      <w:szCs w:val="21"/>
                      <w:highlight w:val="none"/>
                      <w:lang w:val="en-US" w:eastAsia="zh-CN"/>
                    </w:rPr>
                    <w:t>/固态</w:t>
                  </w:r>
                </w:p>
              </w:tc>
              <w:tc>
                <w:tcPr>
                  <w:tcW w:w="556" w:type="pct"/>
                  <w:tcBorders>
                    <w:tl2br w:val="nil"/>
                    <w:tr2bl w:val="nil"/>
                  </w:tcBorders>
                  <w:shd w:val="clear" w:color="auto" w:fill="auto"/>
                  <w:vAlign w:val="center"/>
                </w:tcPr>
                <w:p w14:paraId="2DD41B05">
                  <w:pPr>
                    <w:keepNext w:val="0"/>
                    <w:keepLines w:val="0"/>
                    <w:widowControl/>
                    <w:suppressLineNumbers w:val="0"/>
                    <w:spacing w:line="240" w:lineRule="auto"/>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
                    </w:rPr>
                    <w:t>T/C/I/R</w:t>
                  </w:r>
                </w:p>
              </w:tc>
              <w:tc>
                <w:tcPr>
                  <w:tcW w:w="587" w:type="pct"/>
                  <w:tcBorders>
                    <w:tl2br w:val="nil"/>
                    <w:tr2bl w:val="nil"/>
                  </w:tcBorders>
                  <w:shd w:val="clear" w:color="auto" w:fill="auto"/>
                  <w:vAlign w:val="center"/>
                </w:tcPr>
                <w:p w14:paraId="132B2B6B">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0.05</w:t>
                  </w:r>
                </w:p>
              </w:tc>
              <w:tc>
                <w:tcPr>
                  <w:tcW w:w="540" w:type="pct"/>
                  <w:tcBorders>
                    <w:tl2br w:val="nil"/>
                    <w:tr2bl w:val="nil"/>
                  </w:tcBorders>
                  <w:shd w:val="clear" w:color="auto" w:fill="auto"/>
                  <w:vAlign w:val="center"/>
                </w:tcPr>
                <w:p w14:paraId="75B0A56C">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每天</w:t>
                  </w:r>
                </w:p>
              </w:tc>
              <w:tc>
                <w:tcPr>
                  <w:tcW w:w="643" w:type="pct"/>
                  <w:vMerge w:val="continue"/>
                  <w:tcBorders>
                    <w:tl2br w:val="nil"/>
                    <w:tr2bl w:val="nil"/>
                  </w:tcBorders>
                  <w:vAlign w:val="center"/>
                </w:tcPr>
                <w:p w14:paraId="34127B06">
                  <w:pPr>
                    <w:widowControl/>
                    <w:spacing w:line="240" w:lineRule="auto"/>
                    <w:jc w:val="center"/>
                    <w:rPr>
                      <w:rFonts w:hint="default" w:ascii="Times New Roman" w:hAnsi="Times New Roman" w:eastAsia="宋体" w:cs="Times New Roman"/>
                      <w:color w:val="auto"/>
                      <w:sz w:val="21"/>
                      <w:szCs w:val="21"/>
                      <w:highlight w:val="none"/>
                    </w:rPr>
                  </w:pPr>
                </w:p>
              </w:tc>
            </w:tr>
            <w:tr w14:paraId="06D7DA4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368" w:type="pct"/>
                  <w:tcBorders>
                    <w:tl2br w:val="nil"/>
                    <w:tr2bl w:val="nil"/>
                  </w:tcBorders>
                  <w:vAlign w:val="center"/>
                </w:tcPr>
                <w:p w14:paraId="788453EB">
                  <w:pPr>
                    <w:numPr>
                      <w:ilvl w:val="0"/>
                      <w:numId w:val="46"/>
                    </w:numPr>
                    <w:spacing w:line="240" w:lineRule="auto"/>
                    <w:ind w:left="210"/>
                    <w:jc w:val="center"/>
                    <w:rPr>
                      <w:rFonts w:hint="default" w:ascii="Times New Roman" w:hAnsi="Times New Roman" w:eastAsia="宋体" w:cs="Times New Roman"/>
                      <w:color w:val="auto"/>
                      <w:sz w:val="21"/>
                      <w:szCs w:val="21"/>
                      <w:highlight w:val="none"/>
                    </w:rPr>
                  </w:pPr>
                </w:p>
              </w:tc>
              <w:tc>
                <w:tcPr>
                  <w:tcW w:w="574" w:type="pct"/>
                  <w:tcBorders>
                    <w:tl2br w:val="nil"/>
                    <w:tr2bl w:val="nil"/>
                  </w:tcBorders>
                  <w:vAlign w:val="center"/>
                </w:tcPr>
                <w:p w14:paraId="1AB8E195">
                  <w:pPr>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小计</w:t>
                  </w:r>
                </w:p>
              </w:tc>
              <w:tc>
                <w:tcPr>
                  <w:tcW w:w="485" w:type="pct"/>
                  <w:tcBorders>
                    <w:tl2br w:val="nil"/>
                    <w:tr2bl w:val="nil"/>
                  </w:tcBorders>
                  <w:shd w:val="clear" w:color="auto" w:fill="auto"/>
                  <w:vAlign w:val="center"/>
                </w:tcPr>
                <w:p w14:paraId="1AE46296">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19" w:type="pct"/>
                  <w:tcBorders>
                    <w:tl2br w:val="nil"/>
                    <w:tr2bl w:val="nil"/>
                  </w:tcBorders>
                  <w:shd w:val="clear" w:color="auto" w:fill="auto"/>
                  <w:vAlign w:val="center"/>
                </w:tcPr>
                <w:p w14:paraId="1B6FCB44">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24" w:type="pct"/>
                  <w:tcBorders>
                    <w:tl2br w:val="nil"/>
                    <w:tr2bl w:val="nil"/>
                  </w:tcBorders>
                  <w:shd w:val="clear" w:color="auto" w:fill="auto"/>
                  <w:vAlign w:val="center"/>
                </w:tcPr>
                <w:p w14:paraId="1BBCF12A">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56" w:type="pct"/>
                  <w:tcBorders>
                    <w:tl2br w:val="nil"/>
                    <w:tr2bl w:val="nil"/>
                  </w:tcBorders>
                  <w:shd w:val="clear" w:color="auto" w:fill="auto"/>
                  <w:vAlign w:val="center"/>
                </w:tcPr>
                <w:p w14:paraId="354FA4AF">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87" w:type="pct"/>
                  <w:tcBorders>
                    <w:tl2br w:val="nil"/>
                    <w:tr2bl w:val="nil"/>
                  </w:tcBorders>
                  <w:shd w:val="clear" w:color="auto" w:fill="auto"/>
                  <w:vAlign w:val="center"/>
                </w:tcPr>
                <w:p w14:paraId="4C59BBE2">
                  <w:pPr>
                    <w:spacing w:line="240" w:lineRule="auto"/>
                    <w:jc w:val="center"/>
                    <w:rPr>
                      <w:rFonts w:hint="eastAsia" w:ascii="Times New Roman" w:hAnsi="Times New Roman" w:eastAsia="宋体" w:cs="Times New Roman"/>
                      <w:color w:val="auto"/>
                      <w:sz w:val="21"/>
                      <w:szCs w:val="21"/>
                      <w:highlight w:val="none"/>
                      <w:lang w:val="en-US" w:eastAsia="zh-CN"/>
                    </w:rPr>
                  </w:pPr>
                </w:p>
              </w:tc>
              <w:tc>
                <w:tcPr>
                  <w:tcW w:w="540" w:type="pct"/>
                  <w:tcBorders>
                    <w:tl2br w:val="nil"/>
                    <w:tr2bl w:val="nil"/>
                  </w:tcBorders>
                  <w:shd w:val="clear" w:color="auto" w:fill="auto"/>
                  <w:vAlign w:val="center"/>
                </w:tcPr>
                <w:p w14:paraId="6565F77D">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43" w:type="pct"/>
                  <w:tcBorders>
                    <w:tl2br w:val="nil"/>
                    <w:tr2bl w:val="nil"/>
                  </w:tcBorders>
                  <w:vAlign w:val="center"/>
                </w:tcPr>
                <w:p w14:paraId="52C341A8">
                  <w:pPr>
                    <w:spacing w:line="240" w:lineRule="auto"/>
                    <w:jc w:val="center"/>
                    <w:rPr>
                      <w:rFonts w:hint="default" w:ascii="Times New Roman" w:hAnsi="Times New Roman" w:eastAsia="宋体" w:cs="Times New Roman"/>
                      <w:color w:val="auto"/>
                      <w:sz w:val="21"/>
                      <w:szCs w:val="21"/>
                      <w:highlight w:val="none"/>
                      <w:lang w:val="en-US" w:eastAsia="zh-CN"/>
                    </w:rPr>
                  </w:pPr>
                </w:p>
              </w:tc>
            </w:tr>
            <w:tr w14:paraId="67E4C9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9" w:hRule="atLeast"/>
                <w:jc w:val="center"/>
              </w:trPr>
              <w:tc>
                <w:tcPr>
                  <w:tcW w:w="5000" w:type="pct"/>
                  <w:gridSpan w:val="9"/>
                  <w:tcBorders>
                    <w:tl2br w:val="nil"/>
                    <w:tr2bl w:val="nil"/>
                  </w:tcBorders>
                  <w:vAlign w:val="center"/>
                </w:tcPr>
                <w:p w14:paraId="31D707D4">
                  <w:pPr>
                    <w:widowControl/>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一般固废</w:t>
                  </w:r>
                </w:p>
              </w:tc>
            </w:tr>
            <w:tr w14:paraId="4CB132A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7" w:hRule="atLeast"/>
                <w:jc w:val="center"/>
              </w:trPr>
              <w:tc>
                <w:tcPr>
                  <w:tcW w:w="368" w:type="pct"/>
                  <w:tcBorders>
                    <w:tl2br w:val="nil"/>
                    <w:tr2bl w:val="nil"/>
                  </w:tcBorders>
                  <w:vAlign w:val="center"/>
                </w:tcPr>
                <w:p w14:paraId="26AA904F">
                  <w:pPr>
                    <w:numPr>
                      <w:ilvl w:val="0"/>
                      <w:numId w:val="46"/>
                    </w:numPr>
                    <w:spacing w:line="240" w:lineRule="auto"/>
                    <w:ind w:left="210"/>
                    <w:jc w:val="center"/>
                    <w:rPr>
                      <w:rFonts w:hint="default" w:ascii="Times New Roman" w:hAnsi="Times New Roman" w:eastAsia="宋体" w:cs="Times New Roman"/>
                      <w:color w:val="auto"/>
                      <w:sz w:val="21"/>
                      <w:szCs w:val="21"/>
                      <w:highlight w:val="none"/>
                      <w:lang w:val="en-US" w:eastAsia="zh-CN"/>
                    </w:rPr>
                  </w:pPr>
                </w:p>
              </w:tc>
              <w:tc>
                <w:tcPr>
                  <w:tcW w:w="574" w:type="pct"/>
                  <w:tcBorders>
                    <w:tl2br w:val="nil"/>
                    <w:tr2bl w:val="nil"/>
                  </w:tcBorders>
                  <w:shd w:val="clear" w:color="auto" w:fill="auto"/>
                  <w:vAlign w:val="center"/>
                </w:tcPr>
                <w:p w14:paraId="3D1430AC">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未沾染化学试剂的废包装物</w:t>
                  </w:r>
                </w:p>
              </w:tc>
              <w:tc>
                <w:tcPr>
                  <w:tcW w:w="485" w:type="pct"/>
                  <w:tcBorders>
                    <w:tl2br w:val="nil"/>
                    <w:tr2bl w:val="nil"/>
                  </w:tcBorders>
                  <w:shd w:val="clear" w:color="auto" w:fill="auto"/>
                  <w:vAlign w:val="center"/>
                </w:tcPr>
                <w:p w14:paraId="1A379744">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719" w:type="pct"/>
                  <w:tcBorders>
                    <w:tl2br w:val="nil"/>
                    <w:tr2bl w:val="nil"/>
                  </w:tcBorders>
                  <w:shd w:val="clear" w:color="auto" w:fill="auto"/>
                  <w:vAlign w:val="center"/>
                </w:tcPr>
                <w:p w14:paraId="6BE18184">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900-999-99</w:t>
                  </w:r>
                </w:p>
              </w:tc>
              <w:tc>
                <w:tcPr>
                  <w:tcW w:w="524" w:type="pct"/>
                  <w:tcBorders>
                    <w:tl2br w:val="nil"/>
                    <w:tr2bl w:val="nil"/>
                  </w:tcBorders>
                  <w:shd w:val="clear" w:color="auto" w:fill="auto"/>
                  <w:vAlign w:val="center"/>
                </w:tcPr>
                <w:p w14:paraId="3A6A5D90">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556" w:type="pct"/>
                  <w:tcBorders>
                    <w:tl2br w:val="nil"/>
                    <w:tr2bl w:val="nil"/>
                  </w:tcBorders>
                  <w:shd w:val="clear" w:color="auto" w:fill="auto"/>
                  <w:vAlign w:val="center"/>
                </w:tcPr>
                <w:p w14:paraId="3E9ADE1D">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587" w:type="pct"/>
                  <w:tcBorders>
                    <w:tl2br w:val="nil"/>
                    <w:tr2bl w:val="nil"/>
                  </w:tcBorders>
                  <w:shd w:val="clear" w:color="auto" w:fill="auto"/>
                  <w:vAlign w:val="center"/>
                </w:tcPr>
                <w:p w14:paraId="6320BE61">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1.5</w:t>
                  </w:r>
                </w:p>
              </w:tc>
              <w:tc>
                <w:tcPr>
                  <w:tcW w:w="540" w:type="pct"/>
                  <w:tcBorders>
                    <w:tl2br w:val="nil"/>
                    <w:tr2bl w:val="nil"/>
                  </w:tcBorders>
                  <w:shd w:val="clear" w:color="auto" w:fill="auto"/>
                  <w:vAlign w:val="center"/>
                </w:tcPr>
                <w:p w14:paraId="2E8B5CFB">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每天</w:t>
                  </w:r>
                </w:p>
              </w:tc>
              <w:tc>
                <w:tcPr>
                  <w:tcW w:w="643" w:type="pct"/>
                  <w:tcBorders>
                    <w:tl2br w:val="nil"/>
                    <w:tr2bl w:val="nil"/>
                  </w:tcBorders>
                  <w:vAlign w:val="center"/>
                </w:tcPr>
                <w:p w14:paraId="0A222ED7">
                  <w:pPr>
                    <w:widowControl/>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物资回收部门回收</w:t>
                  </w:r>
                </w:p>
              </w:tc>
            </w:tr>
            <w:tr w14:paraId="2D1B42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7" w:hRule="atLeast"/>
                <w:jc w:val="center"/>
              </w:trPr>
              <w:tc>
                <w:tcPr>
                  <w:tcW w:w="368" w:type="pct"/>
                  <w:tcBorders>
                    <w:tl2br w:val="nil"/>
                    <w:tr2bl w:val="nil"/>
                  </w:tcBorders>
                  <w:vAlign w:val="center"/>
                </w:tcPr>
                <w:p w14:paraId="74925A60">
                  <w:pPr>
                    <w:numPr>
                      <w:ilvl w:val="0"/>
                      <w:numId w:val="46"/>
                    </w:numPr>
                    <w:spacing w:line="240" w:lineRule="auto"/>
                    <w:ind w:left="210"/>
                    <w:jc w:val="center"/>
                    <w:rPr>
                      <w:rFonts w:hint="default" w:ascii="Times New Roman" w:hAnsi="Times New Roman" w:eastAsia="宋体" w:cs="Times New Roman"/>
                      <w:color w:val="auto"/>
                      <w:sz w:val="21"/>
                      <w:szCs w:val="21"/>
                      <w:highlight w:val="none"/>
                      <w:lang w:val="en-US" w:eastAsia="zh-CN"/>
                    </w:rPr>
                  </w:pPr>
                </w:p>
              </w:tc>
              <w:tc>
                <w:tcPr>
                  <w:tcW w:w="574" w:type="pct"/>
                  <w:tcBorders>
                    <w:tl2br w:val="nil"/>
                    <w:tr2bl w:val="nil"/>
                  </w:tcBorders>
                  <w:shd w:val="clear" w:color="auto" w:fill="auto"/>
                  <w:vAlign w:val="center"/>
                </w:tcPr>
                <w:p w14:paraId="0875E370">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纯水设备废滤芯</w:t>
                  </w:r>
                </w:p>
              </w:tc>
              <w:tc>
                <w:tcPr>
                  <w:tcW w:w="485" w:type="pct"/>
                  <w:tcBorders>
                    <w:tl2br w:val="nil"/>
                    <w:tr2bl w:val="nil"/>
                  </w:tcBorders>
                  <w:shd w:val="clear" w:color="auto" w:fill="auto"/>
                  <w:vAlign w:val="center"/>
                </w:tcPr>
                <w:p w14:paraId="13CD3710">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719" w:type="pct"/>
                  <w:tcBorders>
                    <w:tl2br w:val="nil"/>
                    <w:tr2bl w:val="nil"/>
                  </w:tcBorders>
                  <w:shd w:val="clear" w:color="auto" w:fill="auto"/>
                  <w:vAlign w:val="center"/>
                </w:tcPr>
                <w:p w14:paraId="2D47B7C3">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900-999-99</w:t>
                  </w:r>
                </w:p>
              </w:tc>
              <w:tc>
                <w:tcPr>
                  <w:tcW w:w="524" w:type="pct"/>
                  <w:tcBorders>
                    <w:tl2br w:val="nil"/>
                    <w:tr2bl w:val="nil"/>
                  </w:tcBorders>
                  <w:shd w:val="clear" w:color="auto" w:fill="auto"/>
                  <w:vAlign w:val="center"/>
                </w:tcPr>
                <w:p w14:paraId="4A03F739">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556" w:type="pct"/>
                  <w:tcBorders>
                    <w:tl2br w:val="nil"/>
                    <w:tr2bl w:val="nil"/>
                  </w:tcBorders>
                  <w:shd w:val="clear" w:color="auto" w:fill="auto"/>
                  <w:vAlign w:val="center"/>
                </w:tcPr>
                <w:p w14:paraId="20CE4CA1">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587" w:type="pct"/>
                  <w:tcBorders>
                    <w:tl2br w:val="nil"/>
                    <w:tr2bl w:val="nil"/>
                  </w:tcBorders>
                  <w:shd w:val="clear" w:color="auto" w:fill="auto"/>
                  <w:vAlign w:val="center"/>
                </w:tcPr>
                <w:p w14:paraId="6E5A6053">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0.02</w:t>
                  </w:r>
                </w:p>
              </w:tc>
              <w:tc>
                <w:tcPr>
                  <w:tcW w:w="540" w:type="pct"/>
                  <w:tcBorders>
                    <w:tl2br w:val="nil"/>
                    <w:tr2bl w:val="nil"/>
                  </w:tcBorders>
                  <w:shd w:val="clear" w:color="auto" w:fill="auto"/>
                  <w:vAlign w:val="center"/>
                </w:tcPr>
                <w:p w14:paraId="28F48918">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每天</w:t>
                  </w:r>
                </w:p>
              </w:tc>
              <w:tc>
                <w:tcPr>
                  <w:tcW w:w="643" w:type="pct"/>
                  <w:tcBorders>
                    <w:tl2br w:val="nil"/>
                    <w:tr2bl w:val="nil"/>
                  </w:tcBorders>
                  <w:vAlign w:val="center"/>
                </w:tcPr>
                <w:p w14:paraId="5E0218DE">
                  <w:pPr>
                    <w:widowControl/>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厂家回收</w:t>
                  </w:r>
                </w:p>
              </w:tc>
            </w:tr>
            <w:tr w14:paraId="28EBAD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7" w:hRule="atLeast"/>
                <w:jc w:val="center"/>
              </w:trPr>
              <w:tc>
                <w:tcPr>
                  <w:tcW w:w="368" w:type="pct"/>
                  <w:tcBorders>
                    <w:tl2br w:val="nil"/>
                    <w:tr2bl w:val="nil"/>
                  </w:tcBorders>
                  <w:vAlign w:val="center"/>
                </w:tcPr>
                <w:p w14:paraId="47F9CCCE">
                  <w:pPr>
                    <w:numPr>
                      <w:ilvl w:val="0"/>
                      <w:numId w:val="46"/>
                    </w:numPr>
                    <w:spacing w:line="240" w:lineRule="auto"/>
                    <w:ind w:left="210"/>
                    <w:jc w:val="center"/>
                    <w:rPr>
                      <w:rFonts w:hint="default" w:ascii="Times New Roman" w:hAnsi="Times New Roman" w:eastAsia="宋体" w:cs="Times New Roman"/>
                      <w:color w:val="auto"/>
                      <w:sz w:val="21"/>
                      <w:szCs w:val="21"/>
                      <w:highlight w:val="none"/>
                      <w:lang w:val="en-US" w:eastAsia="zh-CN"/>
                    </w:rPr>
                  </w:pPr>
                </w:p>
              </w:tc>
              <w:tc>
                <w:tcPr>
                  <w:tcW w:w="574" w:type="pct"/>
                  <w:tcBorders>
                    <w:tl2br w:val="nil"/>
                    <w:tr2bl w:val="nil"/>
                  </w:tcBorders>
                  <w:shd w:val="clear" w:color="auto" w:fill="auto"/>
                  <w:vAlign w:val="center"/>
                </w:tcPr>
                <w:p w14:paraId="024BAA8B">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生活垃圾</w:t>
                  </w:r>
                </w:p>
              </w:tc>
              <w:tc>
                <w:tcPr>
                  <w:tcW w:w="485" w:type="pct"/>
                  <w:tcBorders>
                    <w:tl2br w:val="nil"/>
                    <w:tr2bl w:val="nil"/>
                  </w:tcBorders>
                  <w:shd w:val="clear" w:color="auto" w:fill="auto"/>
                  <w:vAlign w:val="center"/>
                </w:tcPr>
                <w:p w14:paraId="30E7956A">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719" w:type="pct"/>
                  <w:tcBorders>
                    <w:tl2br w:val="nil"/>
                    <w:tr2bl w:val="nil"/>
                  </w:tcBorders>
                  <w:shd w:val="clear" w:color="auto" w:fill="auto"/>
                  <w:vAlign w:val="center"/>
                </w:tcPr>
                <w:p w14:paraId="67EABFCD">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900-999-99</w:t>
                  </w:r>
                </w:p>
              </w:tc>
              <w:tc>
                <w:tcPr>
                  <w:tcW w:w="524" w:type="pct"/>
                  <w:tcBorders>
                    <w:tl2br w:val="nil"/>
                    <w:tr2bl w:val="nil"/>
                  </w:tcBorders>
                  <w:shd w:val="clear" w:color="auto" w:fill="auto"/>
                  <w:vAlign w:val="center"/>
                </w:tcPr>
                <w:p w14:paraId="0CD73813">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556" w:type="pct"/>
                  <w:tcBorders>
                    <w:tl2br w:val="nil"/>
                    <w:tr2bl w:val="nil"/>
                  </w:tcBorders>
                  <w:shd w:val="clear" w:color="auto" w:fill="auto"/>
                  <w:vAlign w:val="center"/>
                </w:tcPr>
                <w:p w14:paraId="39EB7AF8">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587" w:type="pct"/>
                  <w:tcBorders>
                    <w:tl2br w:val="nil"/>
                    <w:tr2bl w:val="nil"/>
                  </w:tcBorders>
                  <w:shd w:val="clear" w:color="auto" w:fill="auto"/>
                  <w:vAlign w:val="center"/>
                </w:tcPr>
                <w:p w14:paraId="65732965">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3.75</w:t>
                  </w:r>
                </w:p>
              </w:tc>
              <w:tc>
                <w:tcPr>
                  <w:tcW w:w="540" w:type="pct"/>
                  <w:tcBorders>
                    <w:tl2br w:val="nil"/>
                    <w:tr2bl w:val="nil"/>
                  </w:tcBorders>
                  <w:shd w:val="clear" w:color="auto" w:fill="auto"/>
                  <w:vAlign w:val="center"/>
                </w:tcPr>
                <w:p w14:paraId="3849B119">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每天</w:t>
                  </w:r>
                </w:p>
              </w:tc>
              <w:tc>
                <w:tcPr>
                  <w:tcW w:w="643" w:type="pct"/>
                  <w:tcBorders>
                    <w:tl2br w:val="nil"/>
                    <w:tr2bl w:val="nil"/>
                  </w:tcBorders>
                  <w:shd w:val="clear" w:color="auto" w:fill="auto"/>
                  <w:vAlign w:val="center"/>
                </w:tcPr>
                <w:p w14:paraId="0836C9C9">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环卫清运</w:t>
                  </w:r>
                </w:p>
              </w:tc>
            </w:tr>
          </w:tbl>
          <w:p w14:paraId="5F027FBC">
            <w:pPr>
              <w:adjustRightInd w:val="0"/>
              <w:spacing w:line="360" w:lineRule="auto"/>
              <w:ind w:firstLine="480" w:firstLineChars="200"/>
              <w:rPr>
                <w:rFonts w:hint="default" w:ascii="Times New Roman" w:hAnsi="Times New Roman" w:eastAsia="宋体" w:cs="Times New Roman"/>
                <w:color w:val="auto"/>
                <w:sz w:val="24"/>
                <w:highlight w:val="none"/>
                <w:vertAlign w:val="baseline"/>
                <w:lang w:val="en-US" w:eastAsia="zh-CN"/>
              </w:rPr>
            </w:pPr>
            <w:r>
              <w:rPr>
                <w:rFonts w:hint="eastAsia" w:cs="Times New Roman"/>
                <w:color w:val="auto"/>
                <w:sz w:val="24"/>
                <w:highlight w:val="none"/>
                <w:lang w:val="en-US" w:eastAsia="zh-CN"/>
              </w:rPr>
              <w:t>本</w:t>
            </w:r>
            <w:r>
              <w:rPr>
                <w:rFonts w:hint="default" w:ascii="Times New Roman" w:hAnsi="Times New Roman" w:eastAsia="宋体" w:cs="Times New Roman"/>
                <w:color w:val="auto"/>
                <w:sz w:val="24"/>
                <w:highlight w:val="none"/>
                <w:lang w:val="en-US" w:eastAsia="zh-CN"/>
              </w:rPr>
              <w:t>项目在</w:t>
            </w:r>
            <w:r>
              <w:rPr>
                <w:rFonts w:hint="eastAsia" w:cs="Times New Roman"/>
                <w:color w:val="auto"/>
                <w:sz w:val="24"/>
                <w:highlight w:val="none"/>
                <w:lang w:val="en-US" w:eastAsia="zh-CN"/>
              </w:rPr>
              <w:t>3层东侧</w:t>
            </w:r>
            <w:r>
              <w:rPr>
                <w:rFonts w:hint="default" w:ascii="Times New Roman" w:hAnsi="Times New Roman" w:eastAsia="宋体" w:cs="Times New Roman"/>
                <w:color w:val="auto"/>
                <w:sz w:val="24"/>
                <w:highlight w:val="none"/>
                <w:lang w:val="en-US" w:eastAsia="zh-CN"/>
              </w:rPr>
              <w:t>建设</w:t>
            </w:r>
            <w:r>
              <w:rPr>
                <w:rFonts w:hint="eastAsia" w:cs="Times New Roman"/>
                <w:color w:val="auto"/>
                <w:sz w:val="24"/>
                <w:highlight w:val="none"/>
                <w:lang w:val="en-US" w:eastAsia="zh-CN"/>
              </w:rPr>
              <w:t>一</w:t>
            </w:r>
            <w:r>
              <w:rPr>
                <w:rFonts w:hint="default" w:ascii="Times New Roman" w:hAnsi="Times New Roman" w:eastAsia="宋体" w:cs="Times New Roman"/>
                <w:color w:val="auto"/>
                <w:sz w:val="24"/>
                <w:highlight w:val="none"/>
                <w:lang w:val="en-US" w:eastAsia="zh-CN"/>
              </w:rPr>
              <w:t>间</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lang w:val="en-US" w:eastAsia="zh-CN"/>
              </w:rPr>
              <w:t>的</w:t>
            </w:r>
            <w:r>
              <w:rPr>
                <w:rFonts w:hint="default" w:ascii="Times New Roman" w:hAnsi="Times New Roman" w:eastAsia="宋体" w:cs="Times New Roman"/>
                <w:color w:val="auto"/>
                <w:sz w:val="24"/>
                <w:highlight w:val="none"/>
                <w:vertAlign w:val="baseline"/>
                <w:lang w:val="en-US" w:eastAsia="zh-CN"/>
              </w:rPr>
              <w:t>一般固废暂存间，</w:t>
            </w:r>
            <w:r>
              <w:rPr>
                <w:rFonts w:hint="default" w:ascii="Times New Roman" w:hAnsi="Times New Roman" w:eastAsia="宋体" w:cs="Times New Roman"/>
                <w:color w:val="auto"/>
                <w:sz w:val="24"/>
                <w:highlight w:val="none"/>
                <w:lang w:val="en-US" w:eastAsia="zh-CN"/>
              </w:rPr>
              <w:t>未沾染化学试剂的废包装物产生量约</w:t>
            </w:r>
            <w:r>
              <w:rPr>
                <w:rFonts w:hint="eastAsia" w:cs="Times New Roman"/>
                <w:color w:val="auto"/>
                <w:sz w:val="24"/>
                <w:highlight w:val="none"/>
                <w:lang w:val="en-US" w:eastAsia="zh-CN"/>
              </w:rPr>
              <w:t>1.5</w:t>
            </w:r>
            <w:r>
              <w:rPr>
                <w:rFonts w:hint="default" w:ascii="Times New Roman" w:hAnsi="Times New Roman" w:eastAsia="宋体" w:cs="Times New Roman"/>
                <w:color w:val="auto"/>
                <w:sz w:val="24"/>
                <w:highlight w:val="none"/>
                <w:lang w:val="en-US" w:eastAsia="zh-CN"/>
              </w:rPr>
              <w:t>t/a</w:t>
            </w:r>
            <w:r>
              <w:rPr>
                <w:rFonts w:hint="eastAsia" w:eastAsia="宋体" w:cs="Times New Roman"/>
                <w:color w:val="auto"/>
                <w:sz w:val="24"/>
                <w:highlight w:val="none"/>
                <w:lang w:val="en-US" w:eastAsia="zh-CN"/>
              </w:rPr>
              <w:t>、纯水制备废滤芯0.0</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t/a</w:t>
            </w:r>
            <w:r>
              <w:rPr>
                <w:rFonts w:hint="eastAsia"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vertAlign w:val="baseline"/>
                <w:lang w:val="en-US" w:eastAsia="zh-CN"/>
              </w:rPr>
              <w:t>一般固废间能满足本项目的贮存要求。</w:t>
            </w:r>
          </w:p>
          <w:p w14:paraId="314384B7">
            <w:pPr>
              <w:adjustRightIn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本项目在三层东侧</w:t>
            </w:r>
            <w:r>
              <w:rPr>
                <w:rFonts w:hint="default" w:ascii="Times New Roman" w:hAnsi="Times New Roman" w:eastAsia="宋体" w:cs="Times New Roman"/>
                <w:color w:val="auto"/>
                <w:sz w:val="24"/>
                <w:highlight w:val="none"/>
              </w:rPr>
              <w:t>按照《危险废物贮存污染控制标准》（GB18597-2023）要求</w:t>
            </w:r>
            <w:r>
              <w:rPr>
                <w:rFonts w:hint="default" w:ascii="Times New Roman" w:hAnsi="Times New Roman" w:eastAsia="宋体" w:cs="Times New Roman"/>
                <w:color w:val="auto"/>
                <w:sz w:val="24"/>
                <w:highlight w:val="none"/>
                <w:lang w:val="en-US" w:eastAsia="zh-CN"/>
              </w:rPr>
              <w:t>建设</w:t>
            </w:r>
            <w:r>
              <w:rPr>
                <w:rFonts w:hint="eastAsia" w:cs="Times New Roman"/>
                <w:color w:val="auto"/>
                <w:sz w:val="24"/>
                <w:highlight w:val="none"/>
                <w:lang w:val="en-US" w:eastAsia="zh-CN"/>
              </w:rPr>
              <w:t>1间3</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lang w:val="en-US" w:eastAsia="zh-CN"/>
              </w:rPr>
              <w:t>的</w:t>
            </w:r>
            <w:r>
              <w:rPr>
                <w:rFonts w:hint="default" w:ascii="Times New Roman" w:hAnsi="Times New Roman" w:eastAsia="宋体" w:cs="Times New Roman"/>
                <w:color w:val="auto"/>
                <w:sz w:val="24"/>
                <w:highlight w:val="none"/>
                <w:lang w:val="en-US" w:eastAsia="zh-CN"/>
              </w:rPr>
              <w:t>危险废物暂存间，危险废物暂存间</w:t>
            </w:r>
            <w:r>
              <w:rPr>
                <w:rFonts w:hint="eastAsia" w:cs="Times New Roman"/>
                <w:color w:val="auto"/>
                <w:sz w:val="24"/>
                <w:highlight w:val="none"/>
                <w:lang w:val="en-US" w:eastAsia="zh-CN"/>
              </w:rPr>
              <w:t>及其贮存</w:t>
            </w:r>
            <w:r>
              <w:rPr>
                <w:rFonts w:hint="default" w:ascii="Times New Roman" w:hAnsi="Times New Roman" w:eastAsia="宋体" w:cs="Times New Roman"/>
                <w:color w:val="auto"/>
                <w:sz w:val="24"/>
                <w:highlight w:val="none"/>
                <w:lang w:val="en-US" w:eastAsia="zh-CN"/>
              </w:rPr>
              <w:t>情况见下表。</w:t>
            </w:r>
          </w:p>
          <w:p w14:paraId="446E9471">
            <w:pPr>
              <w:numPr>
                <w:ilvl w:val="0"/>
                <w:numId w:val="40"/>
              </w:numPr>
              <w:adjustRightInd w:val="0"/>
              <w:spacing w:line="360" w:lineRule="auto"/>
              <w:ind w:left="425" w:leftChars="0" w:hanging="425" w:firstLineChars="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项目</w:t>
            </w:r>
            <w:r>
              <w:rPr>
                <w:rFonts w:hint="default" w:ascii="Times New Roman" w:hAnsi="Times New Roman" w:eastAsia="宋体" w:cs="Times New Roman"/>
                <w:b/>
                <w:color w:val="auto"/>
                <w:sz w:val="24"/>
                <w:highlight w:val="none"/>
                <w:lang w:val="en-US" w:eastAsia="zh-CN"/>
              </w:rPr>
              <w:t>危险废物暂存间</w:t>
            </w:r>
            <w:r>
              <w:rPr>
                <w:rFonts w:hint="default" w:ascii="Times New Roman" w:hAnsi="Times New Roman" w:eastAsia="宋体" w:cs="Times New Roman"/>
                <w:b/>
                <w:color w:val="auto"/>
                <w:sz w:val="24"/>
                <w:highlight w:val="none"/>
              </w:rPr>
              <w:t>情况一览表</w:t>
            </w:r>
          </w:p>
          <w:tbl>
            <w:tblPr>
              <w:tblStyle w:val="24"/>
              <w:tblW w:w="7459"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3"/>
              <w:gridCol w:w="1484"/>
              <w:gridCol w:w="1244"/>
              <w:gridCol w:w="1076"/>
              <w:gridCol w:w="732"/>
              <w:gridCol w:w="768"/>
              <w:gridCol w:w="768"/>
              <w:gridCol w:w="924"/>
            </w:tblGrid>
            <w:tr w14:paraId="2F2E56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463" w:type="dxa"/>
                  <w:tcBorders>
                    <w:tl2br w:val="nil"/>
                    <w:tr2bl w:val="nil"/>
                  </w:tcBorders>
                  <w:vAlign w:val="center"/>
                </w:tcPr>
                <w:p w14:paraId="5D839C6B">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1484" w:type="dxa"/>
                  <w:tcBorders>
                    <w:tl2br w:val="nil"/>
                    <w:tr2bl w:val="nil"/>
                  </w:tcBorders>
                  <w:vAlign w:val="center"/>
                </w:tcPr>
                <w:p w14:paraId="3E7ED30A">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危险废物名称</w:t>
                  </w:r>
                </w:p>
              </w:tc>
              <w:tc>
                <w:tcPr>
                  <w:tcW w:w="1244" w:type="dxa"/>
                  <w:tcBorders>
                    <w:tl2br w:val="nil"/>
                    <w:tr2bl w:val="nil"/>
                  </w:tcBorders>
                  <w:vAlign w:val="center"/>
                </w:tcPr>
                <w:p w14:paraId="2C123496">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危险废物代码</w:t>
                  </w:r>
                </w:p>
              </w:tc>
              <w:tc>
                <w:tcPr>
                  <w:tcW w:w="1076" w:type="dxa"/>
                  <w:tcBorders>
                    <w:tl2br w:val="nil"/>
                    <w:tr2bl w:val="nil"/>
                  </w:tcBorders>
                  <w:vAlign w:val="center"/>
                </w:tcPr>
                <w:p w14:paraId="27993DBB">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贮存方式</w:t>
                  </w:r>
                </w:p>
              </w:tc>
              <w:tc>
                <w:tcPr>
                  <w:tcW w:w="732" w:type="dxa"/>
                  <w:tcBorders>
                    <w:tl2br w:val="nil"/>
                    <w:tr2bl w:val="nil"/>
                  </w:tcBorders>
                  <w:vAlign w:val="center"/>
                </w:tcPr>
                <w:p w14:paraId="4589BC40">
                  <w:pPr>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年产生量</w:t>
                  </w:r>
                </w:p>
              </w:tc>
              <w:tc>
                <w:tcPr>
                  <w:tcW w:w="768" w:type="dxa"/>
                  <w:tcBorders>
                    <w:tl2br w:val="nil"/>
                    <w:tr2bl w:val="nil"/>
                  </w:tcBorders>
                  <w:vAlign w:val="center"/>
                </w:tcPr>
                <w:p w14:paraId="079598C1">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面积</w:t>
                  </w:r>
                </w:p>
                <w:p w14:paraId="1DE59271">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vertAlign w:val="superscript"/>
                      <w:lang w:val="en-US" w:eastAsia="zh-CN"/>
                    </w:rPr>
                    <w:t>2</w:t>
                  </w:r>
                </w:p>
              </w:tc>
              <w:tc>
                <w:tcPr>
                  <w:tcW w:w="768" w:type="dxa"/>
                  <w:tcBorders>
                    <w:tl2br w:val="nil"/>
                    <w:tr2bl w:val="nil"/>
                  </w:tcBorders>
                  <w:vAlign w:val="center"/>
                </w:tcPr>
                <w:p w14:paraId="3CA36F29">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贮存能力</w:t>
                  </w:r>
                </w:p>
              </w:tc>
              <w:tc>
                <w:tcPr>
                  <w:tcW w:w="924" w:type="dxa"/>
                  <w:tcBorders>
                    <w:tl2br w:val="nil"/>
                    <w:tr2bl w:val="nil"/>
                  </w:tcBorders>
                  <w:vAlign w:val="center"/>
                </w:tcPr>
                <w:p w14:paraId="43BCAC61">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贮存周期</w:t>
                  </w:r>
                </w:p>
              </w:tc>
            </w:tr>
            <w:tr w14:paraId="6D87B8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3" w:type="dxa"/>
                  <w:tcBorders>
                    <w:tl2br w:val="nil"/>
                    <w:tr2bl w:val="nil"/>
                  </w:tcBorders>
                  <w:vAlign w:val="center"/>
                </w:tcPr>
                <w:p w14:paraId="6C594E3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484" w:type="dxa"/>
                  <w:tcBorders>
                    <w:tl2br w:val="nil"/>
                    <w:tr2bl w:val="nil"/>
                  </w:tcBorders>
                  <w:shd w:val="clear" w:color="auto" w:fill="auto"/>
                  <w:vAlign w:val="center"/>
                </w:tcPr>
                <w:p w14:paraId="53E1D0A1">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废试剂瓶</w:t>
                  </w:r>
                </w:p>
              </w:tc>
              <w:tc>
                <w:tcPr>
                  <w:tcW w:w="1244" w:type="dxa"/>
                  <w:tcBorders>
                    <w:tl2br w:val="nil"/>
                    <w:tr2bl w:val="nil"/>
                  </w:tcBorders>
                  <w:shd w:val="clear" w:color="auto" w:fill="auto"/>
                  <w:vAlign w:val="center"/>
                </w:tcPr>
                <w:p w14:paraId="763C811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900-044-49</w:t>
                  </w:r>
                </w:p>
              </w:tc>
              <w:tc>
                <w:tcPr>
                  <w:tcW w:w="1076" w:type="dxa"/>
                  <w:tcBorders>
                    <w:tl2br w:val="nil"/>
                    <w:tr2bl w:val="nil"/>
                  </w:tcBorders>
                  <w:vAlign w:val="center"/>
                </w:tcPr>
                <w:p w14:paraId="5C641B4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袋装</w:t>
                  </w:r>
                </w:p>
              </w:tc>
              <w:tc>
                <w:tcPr>
                  <w:tcW w:w="732" w:type="dxa"/>
                  <w:vMerge w:val="restart"/>
                  <w:tcBorders>
                    <w:tl2br w:val="nil"/>
                    <w:tr2bl w:val="nil"/>
                  </w:tcBorders>
                  <w:vAlign w:val="center"/>
                </w:tcPr>
                <w:p w14:paraId="0B47570B">
                  <w:pPr>
                    <w:jc w:val="center"/>
                    <w:rPr>
                      <w:rFonts w:hint="default" w:cs="Times New Roman"/>
                      <w:color w:val="auto"/>
                      <w:sz w:val="21"/>
                      <w:szCs w:val="21"/>
                      <w:highlight w:val="none"/>
                      <w:lang w:val="en-US" w:eastAsia="zh-CN"/>
                    </w:rPr>
                  </w:pPr>
                  <w:r>
                    <w:rPr>
                      <w:rFonts w:hint="eastAsia" w:cs="Times New Roman"/>
                      <w:color w:val="auto"/>
                      <w:sz w:val="21"/>
                      <w:szCs w:val="21"/>
                      <w:highlight w:val="none"/>
                      <w:vertAlign w:val="baseline"/>
                      <w:lang w:val="en-US" w:eastAsia="zh-CN"/>
                    </w:rPr>
                    <w:t>1.975</w:t>
                  </w:r>
                  <w:r>
                    <w:rPr>
                      <w:rFonts w:hint="eastAsia" w:cs="Times New Roman"/>
                      <w:color w:val="auto"/>
                      <w:sz w:val="21"/>
                      <w:szCs w:val="21"/>
                      <w:highlight w:val="none"/>
                      <w:lang w:val="en-US" w:eastAsia="zh-CN"/>
                    </w:rPr>
                    <w:t>吨</w:t>
                  </w:r>
                </w:p>
              </w:tc>
              <w:tc>
                <w:tcPr>
                  <w:tcW w:w="768" w:type="dxa"/>
                  <w:vMerge w:val="restart"/>
                  <w:tcBorders>
                    <w:tl2br w:val="nil"/>
                    <w:tr2bl w:val="nil"/>
                  </w:tcBorders>
                  <w:vAlign w:val="center"/>
                </w:tcPr>
                <w:p w14:paraId="11BAB6E1">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768" w:type="dxa"/>
                  <w:vMerge w:val="restart"/>
                  <w:tcBorders>
                    <w:tl2br w:val="nil"/>
                    <w:tr2bl w:val="nil"/>
                  </w:tcBorders>
                  <w:vAlign w:val="center"/>
                </w:tcPr>
                <w:p w14:paraId="4028105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2吨</w:t>
                  </w:r>
                </w:p>
              </w:tc>
              <w:tc>
                <w:tcPr>
                  <w:tcW w:w="924" w:type="dxa"/>
                  <w:vMerge w:val="restart"/>
                  <w:tcBorders>
                    <w:tl2br w:val="nil"/>
                    <w:tr2bl w:val="nil"/>
                  </w:tcBorders>
                  <w:vAlign w:val="center"/>
                </w:tcPr>
                <w:p w14:paraId="233ABAC6">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个月</w:t>
                  </w:r>
                </w:p>
              </w:tc>
            </w:tr>
            <w:tr w14:paraId="5987D9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3" w:type="dxa"/>
                  <w:tcBorders>
                    <w:tl2br w:val="nil"/>
                    <w:tr2bl w:val="nil"/>
                  </w:tcBorders>
                  <w:vAlign w:val="center"/>
                </w:tcPr>
                <w:p w14:paraId="32B32C7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484" w:type="dxa"/>
                  <w:tcBorders>
                    <w:tl2br w:val="nil"/>
                    <w:tr2bl w:val="nil"/>
                  </w:tcBorders>
                  <w:shd w:val="clear" w:color="auto" w:fill="auto"/>
                  <w:vAlign w:val="center"/>
                </w:tcPr>
                <w:p w14:paraId="4E116741">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废试剂</w:t>
                  </w:r>
                </w:p>
              </w:tc>
              <w:tc>
                <w:tcPr>
                  <w:tcW w:w="1244" w:type="dxa"/>
                  <w:tcBorders>
                    <w:tl2br w:val="nil"/>
                    <w:tr2bl w:val="nil"/>
                  </w:tcBorders>
                  <w:shd w:val="clear" w:color="auto" w:fill="auto"/>
                  <w:vAlign w:val="center"/>
                </w:tcPr>
                <w:p w14:paraId="022F884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900-047-49</w:t>
                  </w:r>
                </w:p>
              </w:tc>
              <w:tc>
                <w:tcPr>
                  <w:tcW w:w="1076" w:type="dxa"/>
                  <w:tcBorders>
                    <w:tl2br w:val="nil"/>
                    <w:tr2bl w:val="nil"/>
                  </w:tcBorders>
                  <w:vAlign w:val="center"/>
                </w:tcPr>
                <w:p w14:paraId="50FC90D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桶装</w:t>
                  </w:r>
                  <w:r>
                    <w:rPr>
                      <w:rFonts w:hint="eastAsia" w:cs="Times New Roman"/>
                      <w:color w:val="auto"/>
                      <w:sz w:val="21"/>
                      <w:szCs w:val="21"/>
                      <w:highlight w:val="none"/>
                      <w:lang w:val="en-US" w:eastAsia="zh-CN"/>
                    </w:rPr>
                    <w:t>/桶装</w:t>
                  </w:r>
                </w:p>
              </w:tc>
              <w:tc>
                <w:tcPr>
                  <w:tcW w:w="732" w:type="dxa"/>
                  <w:vMerge w:val="continue"/>
                  <w:tcBorders>
                    <w:tl2br w:val="nil"/>
                    <w:tr2bl w:val="nil"/>
                  </w:tcBorders>
                  <w:vAlign w:val="center"/>
                </w:tcPr>
                <w:p w14:paraId="20A47BFB">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7572F13E">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6EDF7A86">
                  <w:pPr>
                    <w:jc w:val="center"/>
                    <w:rPr>
                      <w:rFonts w:hint="default" w:ascii="Times New Roman" w:hAnsi="Times New Roman" w:eastAsia="宋体" w:cs="Times New Roman"/>
                      <w:color w:val="auto"/>
                      <w:sz w:val="21"/>
                      <w:szCs w:val="21"/>
                      <w:highlight w:val="none"/>
                      <w:lang w:val="en-US" w:eastAsia="zh-CN"/>
                    </w:rPr>
                  </w:pPr>
                </w:p>
              </w:tc>
              <w:tc>
                <w:tcPr>
                  <w:tcW w:w="924" w:type="dxa"/>
                  <w:vMerge w:val="continue"/>
                  <w:tcBorders>
                    <w:tl2br w:val="nil"/>
                    <w:tr2bl w:val="nil"/>
                  </w:tcBorders>
                  <w:vAlign w:val="center"/>
                </w:tcPr>
                <w:p w14:paraId="0FA44BBB">
                  <w:pPr>
                    <w:jc w:val="center"/>
                    <w:rPr>
                      <w:rFonts w:hint="default" w:ascii="Times New Roman" w:hAnsi="Times New Roman" w:eastAsia="宋体" w:cs="Times New Roman"/>
                      <w:color w:val="auto"/>
                      <w:sz w:val="21"/>
                      <w:szCs w:val="21"/>
                      <w:highlight w:val="none"/>
                      <w:lang w:val="en-US" w:eastAsia="zh-CN"/>
                    </w:rPr>
                  </w:pPr>
                </w:p>
              </w:tc>
            </w:tr>
            <w:tr w14:paraId="4D8D75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3" w:type="dxa"/>
                  <w:tcBorders>
                    <w:tl2br w:val="nil"/>
                    <w:tr2bl w:val="nil"/>
                  </w:tcBorders>
                  <w:vAlign w:val="center"/>
                </w:tcPr>
                <w:p w14:paraId="307677A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484" w:type="dxa"/>
                  <w:tcBorders>
                    <w:tl2br w:val="nil"/>
                    <w:tr2bl w:val="nil"/>
                  </w:tcBorders>
                  <w:shd w:val="clear" w:color="auto" w:fill="auto"/>
                  <w:vAlign w:val="center"/>
                </w:tcPr>
                <w:p w14:paraId="660F2E5C">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废一次性耗材</w:t>
                  </w:r>
                </w:p>
              </w:tc>
              <w:tc>
                <w:tcPr>
                  <w:tcW w:w="1244" w:type="dxa"/>
                  <w:tcBorders>
                    <w:tl2br w:val="nil"/>
                    <w:tr2bl w:val="nil"/>
                  </w:tcBorders>
                  <w:shd w:val="clear" w:color="auto" w:fill="auto"/>
                  <w:vAlign w:val="center"/>
                </w:tcPr>
                <w:p w14:paraId="753D3AE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900-041-49</w:t>
                  </w:r>
                </w:p>
              </w:tc>
              <w:tc>
                <w:tcPr>
                  <w:tcW w:w="1076" w:type="dxa"/>
                  <w:tcBorders>
                    <w:tl2br w:val="nil"/>
                    <w:tr2bl w:val="nil"/>
                  </w:tcBorders>
                  <w:vAlign w:val="center"/>
                </w:tcPr>
                <w:p w14:paraId="0AA00EC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袋装</w:t>
                  </w:r>
                </w:p>
              </w:tc>
              <w:tc>
                <w:tcPr>
                  <w:tcW w:w="732" w:type="dxa"/>
                  <w:vMerge w:val="continue"/>
                  <w:tcBorders>
                    <w:tl2br w:val="nil"/>
                    <w:tr2bl w:val="nil"/>
                  </w:tcBorders>
                  <w:vAlign w:val="center"/>
                </w:tcPr>
                <w:p w14:paraId="73724145">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79C85DEC">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00D14378">
                  <w:pPr>
                    <w:jc w:val="center"/>
                    <w:rPr>
                      <w:rFonts w:hint="default" w:ascii="Times New Roman" w:hAnsi="Times New Roman" w:eastAsia="宋体" w:cs="Times New Roman"/>
                      <w:color w:val="auto"/>
                      <w:sz w:val="21"/>
                      <w:szCs w:val="21"/>
                      <w:highlight w:val="none"/>
                      <w:lang w:val="en-US" w:eastAsia="zh-CN"/>
                    </w:rPr>
                  </w:pPr>
                </w:p>
              </w:tc>
              <w:tc>
                <w:tcPr>
                  <w:tcW w:w="924" w:type="dxa"/>
                  <w:vMerge w:val="continue"/>
                  <w:tcBorders>
                    <w:tl2br w:val="nil"/>
                    <w:tr2bl w:val="nil"/>
                  </w:tcBorders>
                  <w:vAlign w:val="center"/>
                </w:tcPr>
                <w:p w14:paraId="53BBD3B0">
                  <w:pPr>
                    <w:jc w:val="center"/>
                    <w:rPr>
                      <w:rFonts w:hint="default" w:ascii="Times New Roman" w:hAnsi="Times New Roman" w:eastAsia="宋体" w:cs="Times New Roman"/>
                      <w:color w:val="auto"/>
                      <w:sz w:val="21"/>
                      <w:szCs w:val="21"/>
                      <w:highlight w:val="none"/>
                      <w:lang w:val="en-US" w:eastAsia="zh-CN"/>
                    </w:rPr>
                  </w:pPr>
                </w:p>
              </w:tc>
            </w:tr>
            <w:tr w14:paraId="4628FF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3" w:type="dxa"/>
                  <w:tcBorders>
                    <w:tl2br w:val="nil"/>
                    <w:tr2bl w:val="nil"/>
                  </w:tcBorders>
                  <w:vAlign w:val="center"/>
                </w:tcPr>
                <w:p w14:paraId="0478F99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484" w:type="dxa"/>
                  <w:tcBorders>
                    <w:tl2br w:val="nil"/>
                    <w:tr2bl w:val="nil"/>
                  </w:tcBorders>
                  <w:shd w:val="clear" w:color="auto" w:fill="auto"/>
                  <w:vAlign w:val="center"/>
                </w:tcPr>
                <w:p w14:paraId="27336996">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废培养基</w:t>
                  </w:r>
                </w:p>
              </w:tc>
              <w:tc>
                <w:tcPr>
                  <w:tcW w:w="1244" w:type="dxa"/>
                  <w:tcBorders>
                    <w:tl2br w:val="nil"/>
                    <w:tr2bl w:val="nil"/>
                  </w:tcBorders>
                  <w:shd w:val="clear" w:color="auto" w:fill="auto"/>
                  <w:vAlign w:val="center"/>
                </w:tcPr>
                <w:p w14:paraId="15AC82C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900-006-09</w:t>
                  </w:r>
                </w:p>
              </w:tc>
              <w:tc>
                <w:tcPr>
                  <w:tcW w:w="1076" w:type="dxa"/>
                  <w:tcBorders>
                    <w:tl2br w:val="nil"/>
                    <w:tr2bl w:val="nil"/>
                  </w:tcBorders>
                  <w:vAlign w:val="center"/>
                </w:tcPr>
                <w:p w14:paraId="5C92270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桶装</w:t>
                  </w:r>
                </w:p>
              </w:tc>
              <w:tc>
                <w:tcPr>
                  <w:tcW w:w="732" w:type="dxa"/>
                  <w:vMerge w:val="continue"/>
                  <w:tcBorders>
                    <w:tl2br w:val="nil"/>
                    <w:tr2bl w:val="nil"/>
                  </w:tcBorders>
                  <w:vAlign w:val="center"/>
                </w:tcPr>
                <w:p w14:paraId="40584036">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5455F812">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41C63DC9">
                  <w:pPr>
                    <w:jc w:val="center"/>
                    <w:rPr>
                      <w:rFonts w:hint="default" w:ascii="Times New Roman" w:hAnsi="Times New Roman" w:eastAsia="宋体" w:cs="Times New Roman"/>
                      <w:color w:val="auto"/>
                      <w:sz w:val="21"/>
                      <w:szCs w:val="21"/>
                      <w:highlight w:val="none"/>
                      <w:lang w:val="en-US" w:eastAsia="zh-CN"/>
                    </w:rPr>
                  </w:pPr>
                </w:p>
              </w:tc>
              <w:tc>
                <w:tcPr>
                  <w:tcW w:w="924" w:type="dxa"/>
                  <w:vMerge w:val="continue"/>
                  <w:tcBorders>
                    <w:tl2br w:val="nil"/>
                    <w:tr2bl w:val="nil"/>
                  </w:tcBorders>
                  <w:vAlign w:val="center"/>
                </w:tcPr>
                <w:p w14:paraId="2D5AB1F7">
                  <w:pPr>
                    <w:jc w:val="center"/>
                    <w:rPr>
                      <w:rFonts w:hint="default" w:ascii="Times New Roman" w:hAnsi="Times New Roman" w:eastAsia="宋体" w:cs="Times New Roman"/>
                      <w:color w:val="auto"/>
                      <w:sz w:val="21"/>
                      <w:szCs w:val="21"/>
                      <w:highlight w:val="none"/>
                      <w:lang w:val="en-US" w:eastAsia="zh-CN"/>
                    </w:rPr>
                  </w:pPr>
                </w:p>
              </w:tc>
            </w:tr>
            <w:tr w14:paraId="26D0C4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3" w:type="dxa"/>
                  <w:tcBorders>
                    <w:tl2br w:val="nil"/>
                    <w:tr2bl w:val="nil"/>
                  </w:tcBorders>
                  <w:vAlign w:val="center"/>
                </w:tcPr>
                <w:p w14:paraId="63ACB83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484" w:type="dxa"/>
                  <w:tcBorders>
                    <w:tl2br w:val="nil"/>
                    <w:tr2bl w:val="nil"/>
                  </w:tcBorders>
                  <w:shd w:val="clear" w:color="auto" w:fill="auto"/>
                  <w:vAlign w:val="center"/>
                </w:tcPr>
                <w:p w14:paraId="2FDDBC53">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检测废液</w:t>
                  </w:r>
                </w:p>
              </w:tc>
              <w:tc>
                <w:tcPr>
                  <w:tcW w:w="1244" w:type="dxa"/>
                  <w:tcBorders>
                    <w:tl2br w:val="nil"/>
                    <w:tr2bl w:val="nil"/>
                  </w:tcBorders>
                  <w:shd w:val="clear" w:color="auto" w:fill="auto"/>
                  <w:vAlign w:val="center"/>
                </w:tcPr>
                <w:p w14:paraId="0F8144E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900-047-49</w:t>
                  </w:r>
                </w:p>
              </w:tc>
              <w:tc>
                <w:tcPr>
                  <w:tcW w:w="1076" w:type="dxa"/>
                  <w:tcBorders>
                    <w:tl2br w:val="nil"/>
                    <w:tr2bl w:val="nil"/>
                  </w:tcBorders>
                  <w:vAlign w:val="center"/>
                </w:tcPr>
                <w:p w14:paraId="4496C890">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桶</w:t>
                  </w:r>
                  <w:r>
                    <w:rPr>
                      <w:rFonts w:hint="default" w:ascii="Times New Roman" w:hAnsi="Times New Roman" w:eastAsia="宋体" w:cs="Times New Roman"/>
                      <w:color w:val="auto"/>
                      <w:sz w:val="21"/>
                      <w:szCs w:val="21"/>
                      <w:highlight w:val="none"/>
                      <w:lang w:val="en-US" w:eastAsia="zh-CN"/>
                    </w:rPr>
                    <w:t>装</w:t>
                  </w:r>
                </w:p>
              </w:tc>
              <w:tc>
                <w:tcPr>
                  <w:tcW w:w="732" w:type="dxa"/>
                  <w:vMerge w:val="continue"/>
                  <w:tcBorders>
                    <w:tl2br w:val="nil"/>
                    <w:tr2bl w:val="nil"/>
                  </w:tcBorders>
                  <w:vAlign w:val="center"/>
                </w:tcPr>
                <w:p w14:paraId="78063627">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0C8C32DC">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2D5A0E64">
                  <w:pPr>
                    <w:jc w:val="center"/>
                    <w:rPr>
                      <w:rFonts w:hint="default" w:ascii="Times New Roman" w:hAnsi="Times New Roman" w:eastAsia="宋体" w:cs="Times New Roman"/>
                      <w:color w:val="auto"/>
                      <w:sz w:val="21"/>
                      <w:szCs w:val="21"/>
                      <w:highlight w:val="none"/>
                      <w:lang w:val="en-US" w:eastAsia="zh-CN"/>
                    </w:rPr>
                  </w:pPr>
                </w:p>
              </w:tc>
              <w:tc>
                <w:tcPr>
                  <w:tcW w:w="924" w:type="dxa"/>
                  <w:vMerge w:val="continue"/>
                  <w:tcBorders>
                    <w:tl2br w:val="nil"/>
                    <w:tr2bl w:val="nil"/>
                  </w:tcBorders>
                  <w:vAlign w:val="center"/>
                </w:tcPr>
                <w:p w14:paraId="7BCBB342">
                  <w:pPr>
                    <w:jc w:val="center"/>
                    <w:rPr>
                      <w:rFonts w:hint="default" w:ascii="Times New Roman" w:hAnsi="Times New Roman" w:eastAsia="宋体" w:cs="Times New Roman"/>
                      <w:color w:val="auto"/>
                      <w:sz w:val="21"/>
                      <w:szCs w:val="21"/>
                      <w:highlight w:val="none"/>
                      <w:lang w:val="en-US" w:eastAsia="zh-CN"/>
                    </w:rPr>
                  </w:pPr>
                </w:p>
              </w:tc>
            </w:tr>
            <w:tr w14:paraId="4E8750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3" w:type="dxa"/>
                  <w:tcBorders>
                    <w:tl2br w:val="nil"/>
                    <w:tr2bl w:val="nil"/>
                  </w:tcBorders>
                  <w:vAlign w:val="center"/>
                </w:tcPr>
                <w:p w14:paraId="67BEEDD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484" w:type="dxa"/>
                  <w:tcBorders>
                    <w:tl2br w:val="nil"/>
                    <w:tr2bl w:val="nil"/>
                  </w:tcBorders>
                  <w:shd w:val="clear" w:color="auto" w:fill="auto"/>
                  <w:vAlign w:val="center"/>
                </w:tcPr>
                <w:p w14:paraId="1EFC2787">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清洗废液</w:t>
                  </w:r>
                </w:p>
              </w:tc>
              <w:tc>
                <w:tcPr>
                  <w:tcW w:w="1244" w:type="dxa"/>
                  <w:tcBorders>
                    <w:tl2br w:val="nil"/>
                    <w:tr2bl w:val="nil"/>
                  </w:tcBorders>
                  <w:shd w:val="clear" w:color="auto" w:fill="auto"/>
                  <w:vAlign w:val="center"/>
                </w:tcPr>
                <w:p w14:paraId="2E93DD6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900-047-49</w:t>
                  </w:r>
                </w:p>
              </w:tc>
              <w:tc>
                <w:tcPr>
                  <w:tcW w:w="1076" w:type="dxa"/>
                  <w:tcBorders>
                    <w:tl2br w:val="nil"/>
                    <w:tr2bl w:val="nil"/>
                  </w:tcBorders>
                  <w:vAlign w:val="center"/>
                </w:tcPr>
                <w:p w14:paraId="7F48063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桶装</w:t>
                  </w:r>
                </w:p>
              </w:tc>
              <w:tc>
                <w:tcPr>
                  <w:tcW w:w="732" w:type="dxa"/>
                  <w:vMerge w:val="continue"/>
                  <w:tcBorders>
                    <w:tl2br w:val="nil"/>
                    <w:tr2bl w:val="nil"/>
                  </w:tcBorders>
                  <w:vAlign w:val="center"/>
                </w:tcPr>
                <w:p w14:paraId="398A35BD">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74DE2401">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5CB858AE">
                  <w:pPr>
                    <w:jc w:val="center"/>
                    <w:rPr>
                      <w:rFonts w:hint="default" w:ascii="Times New Roman" w:hAnsi="Times New Roman" w:eastAsia="宋体" w:cs="Times New Roman"/>
                      <w:color w:val="auto"/>
                      <w:sz w:val="21"/>
                      <w:szCs w:val="21"/>
                      <w:highlight w:val="none"/>
                      <w:lang w:val="en-US" w:eastAsia="zh-CN"/>
                    </w:rPr>
                  </w:pPr>
                </w:p>
              </w:tc>
              <w:tc>
                <w:tcPr>
                  <w:tcW w:w="924" w:type="dxa"/>
                  <w:vMerge w:val="continue"/>
                  <w:tcBorders>
                    <w:tl2br w:val="nil"/>
                    <w:tr2bl w:val="nil"/>
                  </w:tcBorders>
                  <w:vAlign w:val="center"/>
                </w:tcPr>
                <w:p w14:paraId="68E6CAB0">
                  <w:pPr>
                    <w:jc w:val="center"/>
                    <w:rPr>
                      <w:rFonts w:hint="default" w:ascii="Times New Roman" w:hAnsi="Times New Roman" w:eastAsia="宋体" w:cs="Times New Roman"/>
                      <w:color w:val="auto"/>
                      <w:sz w:val="21"/>
                      <w:szCs w:val="21"/>
                      <w:highlight w:val="none"/>
                      <w:lang w:val="en-US" w:eastAsia="zh-CN"/>
                    </w:rPr>
                  </w:pPr>
                </w:p>
              </w:tc>
            </w:tr>
            <w:tr w14:paraId="5962AC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3" w:type="dxa"/>
                  <w:tcBorders>
                    <w:tl2br w:val="nil"/>
                    <w:tr2bl w:val="nil"/>
                  </w:tcBorders>
                  <w:vAlign w:val="center"/>
                </w:tcPr>
                <w:p w14:paraId="61F3CD66">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1484" w:type="dxa"/>
                  <w:tcBorders>
                    <w:tl2br w:val="nil"/>
                    <w:tr2bl w:val="nil"/>
                  </w:tcBorders>
                  <w:shd w:val="clear" w:color="auto" w:fill="auto"/>
                  <w:vAlign w:val="center"/>
                </w:tcPr>
                <w:p w14:paraId="58182AB4">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废样品</w:t>
                  </w:r>
                </w:p>
              </w:tc>
              <w:tc>
                <w:tcPr>
                  <w:tcW w:w="1244" w:type="dxa"/>
                  <w:tcBorders>
                    <w:tl2br w:val="nil"/>
                    <w:tr2bl w:val="nil"/>
                  </w:tcBorders>
                  <w:shd w:val="clear" w:color="auto" w:fill="auto"/>
                  <w:vAlign w:val="center"/>
                </w:tcPr>
                <w:p w14:paraId="4B2B17D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900-047-49</w:t>
                  </w:r>
                </w:p>
              </w:tc>
              <w:tc>
                <w:tcPr>
                  <w:tcW w:w="1076" w:type="dxa"/>
                  <w:tcBorders>
                    <w:tl2br w:val="nil"/>
                    <w:tr2bl w:val="nil"/>
                  </w:tcBorders>
                  <w:vAlign w:val="center"/>
                </w:tcPr>
                <w:p w14:paraId="0A82648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袋装</w:t>
                  </w:r>
                </w:p>
              </w:tc>
              <w:tc>
                <w:tcPr>
                  <w:tcW w:w="732" w:type="dxa"/>
                  <w:vMerge w:val="continue"/>
                  <w:tcBorders>
                    <w:tl2br w:val="nil"/>
                    <w:tr2bl w:val="nil"/>
                  </w:tcBorders>
                  <w:vAlign w:val="center"/>
                </w:tcPr>
                <w:p w14:paraId="1F118E0B">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780B10AE">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61982D14">
                  <w:pPr>
                    <w:jc w:val="center"/>
                    <w:rPr>
                      <w:rFonts w:hint="default" w:ascii="Times New Roman" w:hAnsi="Times New Roman" w:eastAsia="宋体" w:cs="Times New Roman"/>
                      <w:color w:val="auto"/>
                      <w:sz w:val="21"/>
                      <w:szCs w:val="21"/>
                      <w:highlight w:val="none"/>
                      <w:lang w:val="en-US" w:eastAsia="zh-CN"/>
                    </w:rPr>
                  </w:pPr>
                </w:p>
              </w:tc>
              <w:tc>
                <w:tcPr>
                  <w:tcW w:w="924" w:type="dxa"/>
                  <w:vMerge w:val="continue"/>
                  <w:tcBorders>
                    <w:tl2br w:val="nil"/>
                    <w:tr2bl w:val="nil"/>
                  </w:tcBorders>
                  <w:vAlign w:val="center"/>
                </w:tcPr>
                <w:p w14:paraId="606DDA26">
                  <w:pPr>
                    <w:jc w:val="center"/>
                    <w:rPr>
                      <w:rFonts w:hint="eastAsia" w:cs="Times New Roman"/>
                      <w:color w:val="auto"/>
                      <w:sz w:val="21"/>
                      <w:szCs w:val="21"/>
                      <w:highlight w:val="none"/>
                      <w:lang w:val="en-US" w:eastAsia="zh-CN"/>
                    </w:rPr>
                  </w:pPr>
                </w:p>
              </w:tc>
            </w:tr>
          </w:tbl>
          <w:p w14:paraId="4E3B48BB">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本</w:t>
            </w:r>
            <w:r>
              <w:rPr>
                <w:rFonts w:hint="eastAsia" w:ascii="Times New Roman" w:hAnsi="Times New Roman" w:eastAsia="宋体" w:cs="Times New Roman"/>
                <w:color w:val="auto"/>
                <w:sz w:val="24"/>
                <w:highlight w:val="none"/>
                <w:lang w:val="en-US" w:eastAsia="zh-CN"/>
              </w:rPr>
              <w:t>项目危险废物的产生量</w:t>
            </w:r>
            <w:r>
              <w:rPr>
                <w:rFonts w:hint="eastAsia" w:cs="Times New Roman"/>
                <w:color w:val="auto"/>
                <w:sz w:val="24"/>
                <w:highlight w:val="none"/>
                <w:lang w:val="en-US" w:eastAsia="zh-CN"/>
              </w:rPr>
              <w:t>1.975</w:t>
            </w:r>
            <w:r>
              <w:rPr>
                <w:rFonts w:hint="eastAsia" w:ascii="Times New Roman" w:hAnsi="Times New Roman" w:eastAsia="宋体" w:cs="Times New Roman"/>
                <w:color w:val="auto"/>
                <w:sz w:val="24"/>
                <w:highlight w:val="none"/>
                <w:lang w:val="en-US" w:eastAsia="zh-CN"/>
              </w:rPr>
              <w:t>t</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，危险废物暂存间</w:t>
            </w:r>
            <w:r>
              <w:rPr>
                <w:rFonts w:hint="default" w:ascii="Times New Roman" w:hAnsi="Times New Roman" w:eastAsia="宋体" w:cs="Times New Roman"/>
                <w:color w:val="auto"/>
                <w:sz w:val="24"/>
                <w:highlight w:val="none"/>
                <w:lang w:val="en-US" w:eastAsia="zh-CN"/>
              </w:rPr>
              <w:t>面积为</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，贮存周期</w:t>
            </w:r>
            <w:r>
              <w:rPr>
                <w:rFonts w:hint="eastAsia" w:cs="Times New Roman"/>
                <w:color w:val="auto"/>
                <w:sz w:val="24"/>
                <w:highlight w:val="none"/>
                <w:lang w:val="en-US" w:eastAsia="zh-CN"/>
              </w:rPr>
              <w:t>6</w:t>
            </w:r>
            <w:r>
              <w:rPr>
                <w:rFonts w:hint="default" w:ascii="Times New Roman" w:hAnsi="Times New Roman" w:eastAsia="宋体" w:cs="Times New Roman"/>
                <w:color w:val="auto"/>
                <w:sz w:val="24"/>
                <w:highlight w:val="none"/>
                <w:lang w:val="en-US" w:eastAsia="zh-CN"/>
              </w:rPr>
              <w:t>个月，贮存量</w:t>
            </w:r>
            <w:r>
              <w:rPr>
                <w:rFonts w:hint="eastAsia" w:cs="Times New Roman"/>
                <w:color w:val="auto"/>
                <w:sz w:val="24"/>
                <w:highlight w:val="none"/>
                <w:lang w:val="en-US" w:eastAsia="zh-CN"/>
              </w:rPr>
              <w:t xml:space="preserve">0.99 </w:t>
            </w:r>
            <w:r>
              <w:rPr>
                <w:rFonts w:hint="default" w:ascii="Times New Roman" w:hAnsi="Times New Roman" w:eastAsia="宋体" w:cs="Times New Roman"/>
                <w:color w:val="auto"/>
                <w:sz w:val="24"/>
                <w:highlight w:val="none"/>
                <w:lang w:val="en-US" w:eastAsia="zh-CN"/>
              </w:rPr>
              <w:t>t，</w:t>
            </w:r>
            <w:r>
              <w:rPr>
                <w:rFonts w:hint="eastAsia" w:cs="Times New Roman"/>
                <w:color w:val="auto"/>
                <w:sz w:val="24"/>
                <w:highlight w:val="none"/>
                <w:lang w:val="en-US" w:eastAsia="zh-CN"/>
              </w:rPr>
              <w:t>危险废物暂存间</w:t>
            </w:r>
            <w:r>
              <w:rPr>
                <w:rFonts w:hint="default" w:ascii="Times New Roman" w:hAnsi="Times New Roman" w:eastAsia="宋体" w:cs="Times New Roman"/>
                <w:color w:val="auto"/>
                <w:sz w:val="24"/>
                <w:highlight w:val="none"/>
                <w:lang w:val="en-US" w:eastAsia="zh-CN"/>
              </w:rPr>
              <w:t>贮存能力2t</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可以满足本项目产生危险废物的暂存</w:t>
            </w:r>
            <w:r>
              <w:rPr>
                <w:rFonts w:hint="default" w:ascii="Times New Roman" w:hAnsi="Times New Roman" w:eastAsia="宋体" w:cs="Times New Roman"/>
                <w:color w:val="auto"/>
                <w:sz w:val="24"/>
                <w:highlight w:val="none"/>
              </w:rPr>
              <w:t>。</w:t>
            </w:r>
          </w:p>
          <w:p w14:paraId="376ACD31">
            <w:pPr>
              <w:numPr>
                <w:ilvl w:val="0"/>
                <w:numId w:val="0"/>
              </w:numPr>
              <w:adjustRightInd w:val="0"/>
              <w:snapToGrid w:val="0"/>
              <w:spacing w:line="360" w:lineRule="auto"/>
              <w:ind w:leftChars="0" w:firstLine="480" w:firstLineChars="200"/>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lang w:val="en-US" w:eastAsia="zh-CN"/>
              </w:rPr>
              <w:t>（2）</w:t>
            </w:r>
            <w:r>
              <w:rPr>
                <w:rFonts w:hint="default" w:ascii="Times New Roman" w:hAnsi="Times New Roman" w:eastAsia="宋体" w:cs="Times New Roman"/>
                <w:b w:val="0"/>
                <w:bCs/>
                <w:color w:val="auto"/>
                <w:sz w:val="24"/>
                <w:highlight w:val="none"/>
              </w:rPr>
              <w:t>环境管理要求</w:t>
            </w:r>
          </w:p>
          <w:p w14:paraId="37AEBD55">
            <w:pPr>
              <w:numPr>
                <w:ilvl w:val="0"/>
                <w:numId w:val="47"/>
              </w:numPr>
              <w:adjustRightInd w:val="0"/>
              <w:spacing w:line="360" w:lineRule="auto"/>
              <w:ind w:left="0" w:leftChars="0"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生活垃圾环境管理要求</w:t>
            </w:r>
          </w:p>
          <w:p w14:paraId="1A6E0412">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本项目产生的生活垃圾应按照《中华人民共和国固体废物污染环境防治法》（2020年9月1日起施行）及《北京市生活垃圾管理条例》（2020年5月1日施行）的相关规定，进行</w:t>
            </w:r>
            <w:r>
              <w:rPr>
                <w:rFonts w:hint="eastAsia" w:cs="Times New Roman"/>
                <w:color w:val="auto"/>
                <w:sz w:val="24"/>
                <w:highlight w:val="none"/>
                <w:lang w:val="en-US" w:eastAsia="zh-CN"/>
              </w:rPr>
              <w:t>分类</w:t>
            </w:r>
            <w:r>
              <w:rPr>
                <w:rFonts w:hint="default" w:ascii="Times New Roman" w:hAnsi="Times New Roman" w:eastAsia="宋体" w:cs="Times New Roman"/>
                <w:color w:val="auto"/>
                <w:sz w:val="24"/>
                <w:highlight w:val="none"/>
              </w:rPr>
              <w:t>收集、管理、运输及处置：</w:t>
            </w:r>
          </w:p>
          <w:p w14:paraId="707554BD">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应当使用经市环境保护行政主管部门认证登记，并符合市容环境行政主管部门规定的规格、厚度、颜色等要求的可降解专用垃圾袋盛装、分类收集生活垃圾，并由环卫部门及时清运；</w:t>
            </w:r>
          </w:p>
          <w:p w14:paraId="5186005A">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生活垃圾袋应当扎紧袋口，不能混入危险废物，存放到指定地点；</w:t>
            </w:r>
          </w:p>
          <w:p w14:paraId="5CF1AF22">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不能使用破损袋盛装生活垃圾。对有可能造成垃圾袋破损的物品应单独存放；</w:t>
            </w:r>
          </w:p>
          <w:p w14:paraId="3C7AD46D">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产生生活废弃物的单位不得随意倾倒、抛撒和堆放生活废弃物。</w:t>
            </w:r>
          </w:p>
          <w:p w14:paraId="4CA5271F">
            <w:pPr>
              <w:numPr>
                <w:ilvl w:val="0"/>
                <w:numId w:val="47"/>
              </w:numPr>
              <w:adjustRightInd w:val="0"/>
              <w:spacing w:line="360" w:lineRule="auto"/>
              <w:ind w:left="0" w:leftChars="0"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一般工业固体废物环境管理要求</w:t>
            </w:r>
          </w:p>
          <w:p w14:paraId="0111C643">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按照《中华人民共和国固体废物污染环境防治法》（2020年9月1日起施行）、《一般工业固体废物贮存和填埋污染控制标准》（GB18599-2020）及北京市相关规定，</w:t>
            </w:r>
            <w:r>
              <w:rPr>
                <w:rFonts w:hint="default" w:ascii="Times New Roman" w:hAnsi="Times New Roman" w:eastAsia="宋体" w:cs="Times New Roman"/>
                <w:color w:val="auto"/>
                <w:sz w:val="24"/>
                <w:highlight w:val="none"/>
                <w:lang w:val="en-US" w:eastAsia="zh-CN"/>
              </w:rPr>
              <w:t>建设一般固废暂存间</w:t>
            </w:r>
            <w:r>
              <w:rPr>
                <w:rFonts w:hint="default" w:ascii="Times New Roman" w:hAnsi="Times New Roman" w:eastAsia="宋体" w:cs="Times New Roman"/>
                <w:color w:val="auto"/>
                <w:sz w:val="24"/>
                <w:highlight w:val="none"/>
              </w:rPr>
              <w:t>，做到防雨淋、防流失、防渗漏，避免产生二次污染。</w:t>
            </w:r>
          </w:p>
          <w:p w14:paraId="5EF0B726">
            <w:pPr>
              <w:numPr>
                <w:ilvl w:val="0"/>
                <w:numId w:val="47"/>
              </w:numPr>
              <w:adjustRightInd w:val="0"/>
              <w:spacing w:line="360" w:lineRule="auto"/>
              <w:ind w:left="0" w:leftChars="0"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危险废物管理要求</w:t>
            </w:r>
          </w:p>
          <w:p w14:paraId="0BFBCECF">
            <w:pPr>
              <w:adjustRightInd w:val="0"/>
              <w:spacing w:line="360" w:lineRule="auto"/>
              <w:ind w:left="420" w:left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a、</w:t>
            </w:r>
            <w:r>
              <w:rPr>
                <w:rFonts w:hint="default" w:ascii="Times New Roman" w:hAnsi="Times New Roman" w:eastAsia="宋体" w:cs="Times New Roman"/>
                <w:b w:val="0"/>
                <w:bCs w:val="0"/>
                <w:color w:val="auto"/>
                <w:sz w:val="24"/>
                <w:highlight w:val="none"/>
              </w:rPr>
              <w:t>贮存和管理要求</w:t>
            </w:r>
          </w:p>
          <w:p w14:paraId="7C44C076">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按照</w:t>
            </w:r>
            <w:r>
              <w:rPr>
                <w:rFonts w:hint="default" w:ascii="Times New Roman" w:hAnsi="Times New Roman" w:eastAsia="宋体" w:cs="Times New Roman"/>
                <w:color w:val="auto"/>
                <w:sz w:val="24"/>
                <w:highlight w:val="none"/>
              </w:rPr>
              <w:t>《危险废物贮存污染控制标准》（GB18597-2023）</w:t>
            </w:r>
            <w:r>
              <w:rPr>
                <w:rFonts w:hint="default" w:ascii="Times New Roman" w:hAnsi="Times New Roman" w:eastAsia="宋体" w:cs="Times New Roman"/>
                <w:color w:val="auto"/>
                <w:sz w:val="24"/>
                <w:highlight w:val="none"/>
                <w:lang w:val="en-US" w:eastAsia="zh-CN"/>
              </w:rPr>
              <w:t>要求建设危险废物暂存间</w:t>
            </w:r>
            <w:r>
              <w:rPr>
                <w:rFonts w:hint="default" w:ascii="Times New Roman" w:hAnsi="Times New Roman" w:eastAsia="宋体" w:cs="Times New Roman"/>
                <w:color w:val="auto"/>
                <w:sz w:val="24"/>
                <w:highlight w:val="none"/>
              </w:rPr>
              <w:t>，地面及储存间裙角采用防渗处理，防渗系数小于1×10</w:t>
            </w:r>
            <w:r>
              <w:rPr>
                <w:rFonts w:hint="default" w:ascii="Times New Roman" w:hAnsi="Times New Roman" w:eastAsia="宋体" w:cs="Times New Roman"/>
                <w:color w:val="auto"/>
                <w:sz w:val="24"/>
                <w:highlight w:val="none"/>
                <w:vertAlign w:val="superscript"/>
              </w:rPr>
              <w:t>-1</w:t>
            </w:r>
            <w:r>
              <w:rPr>
                <w:rFonts w:hint="eastAsia" w:cs="Times New Roman"/>
                <w:color w:val="auto"/>
                <w:sz w:val="24"/>
                <w:highlight w:val="none"/>
                <w:vertAlign w:val="superscript"/>
                <w:lang w:val="en-US" w:eastAsia="zh-CN"/>
              </w:rPr>
              <w:t>0</w:t>
            </w:r>
            <w:r>
              <w:rPr>
                <w:rFonts w:hint="default" w:ascii="Times New Roman" w:hAnsi="Times New Roman" w:eastAsia="宋体" w:cs="Times New Roman"/>
                <w:color w:val="auto"/>
                <w:sz w:val="24"/>
                <w:highlight w:val="none"/>
              </w:rPr>
              <w:t>cm/s</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危险废物暂存</w:t>
            </w:r>
            <w:r>
              <w:rPr>
                <w:rFonts w:hint="default" w:ascii="Times New Roman" w:hAnsi="Times New Roman" w:eastAsia="宋体" w:cs="Times New Roman"/>
                <w:color w:val="auto"/>
                <w:sz w:val="24"/>
                <w:highlight w:val="none"/>
              </w:rPr>
              <w:t>间按</w:t>
            </w:r>
            <w:r>
              <w:rPr>
                <w:rFonts w:hint="default" w:ascii="Times New Roman" w:hAnsi="Times New Roman" w:eastAsia="宋体" w:cs="Times New Roman"/>
                <w:color w:val="auto"/>
                <w:sz w:val="24"/>
                <w:highlight w:val="none"/>
                <w:lang w:val="en-US" w:eastAsia="zh-CN"/>
              </w:rPr>
              <w:t>危险废物性质</w:t>
            </w:r>
            <w:r>
              <w:rPr>
                <w:rFonts w:hint="default" w:ascii="Times New Roman" w:hAnsi="Times New Roman" w:eastAsia="宋体" w:cs="Times New Roman"/>
                <w:color w:val="auto"/>
                <w:sz w:val="24"/>
                <w:highlight w:val="none"/>
              </w:rPr>
              <w:t>分区</w:t>
            </w:r>
            <w:r>
              <w:rPr>
                <w:rFonts w:hint="default" w:ascii="Times New Roman" w:hAnsi="Times New Roman" w:eastAsia="宋体" w:cs="Times New Roman"/>
                <w:color w:val="auto"/>
                <w:sz w:val="24"/>
                <w:highlight w:val="none"/>
                <w:lang w:val="en-US" w:eastAsia="zh-CN"/>
              </w:rPr>
              <w:t>存放</w:t>
            </w:r>
            <w:r>
              <w:rPr>
                <w:rFonts w:hint="default" w:ascii="Times New Roman" w:hAnsi="Times New Roman" w:eastAsia="宋体" w:cs="Times New Roman"/>
                <w:color w:val="auto"/>
                <w:sz w:val="24"/>
                <w:highlight w:val="none"/>
              </w:rPr>
              <w:t>，不同危废之间设有隔断，并粘贴危险废物</w:t>
            </w:r>
            <w:r>
              <w:rPr>
                <w:rFonts w:hint="default" w:ascii="Times New Roman" w:hAnsi="Times New Roman" w:eastAsia="宋体" w:cs="Times New Roman"/>
                <w:color w:val="auto"/>
                <w:sz w:val="24"/>
                <w:highlight w:val="none"/>
                <w:lang w:val="en-US" w:eastAsia="zh-CN"/>
              </w:rPr>
              <w:t>标志</w:t>
            </w:r>
            <w:r>
              <w:rPr>
                <w:rFonts w:hint="default" w:ascii="Times New Roman" w:hAnsi="Times New Roman" w:eastAsia="宋体" w:cs="Times New Roman"/>
                <w:color w:val="auto"/>
                <w:sz w:val="24"/>
                <w:highlight w:val="none"/>
              </w:rPr>
              <w:t>。</w:t>
            </w:r>
          </w:p>
          <w:p w14:paraId="4EA7F34B">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危险废物暂存间应</w:t>
            </w:r>
            <w:r>
              <w:rPr>
                <w:rFonts w:hint="default" w:ascii="Times New Roman" w:hAnsi="Times New Roman" w:eastAsia="宋体" w:cs="Times New Roman"/>
                <w:color w:val="auto"/>
                <w:sz w:val="24"/>
                <w:highlight w:val="none"/>
              </w:rPr>
              <w:t>配备</w:t>
            </w:r>
            <w:r>
              <w:rPr>
                <w:rFonts w:hint="default" w:ascii="Times New Roman" w:hAnsi="Times New Roman" w:eastAsia="宋体" w:cs="Times New Roman"/>
                <w:color w:val="auto"/>
                <w:sz w:val="24"/>
                <w:highlight w:val="none"/>
                <w:lang w:val="en-US" w:eastAsia="zh-CN"/>
              </w:rPr>
              <w:t>安全</w:t>
            </w:r>
            <w:r>
              <w:rPr>
                <w:rFonts w:hint="default" w:ascii="Times New Roman" w:hAnsi="Times New Roman" w:eastAsia="宋体" w:cs="Times New Roman"/>
                <w:color w:val="auto"/>
                <w:sz w:val="24"/>
                <w:highlight w:val="none"/>
              </w:rPr>
              <w:t>照明设施、安全防护服装</w:t>
            </w:r>
            <w:r>
              <w:rPr>
                <w:rFonts w:hint="default" w:ascii="Times New Roman" w:hAnsi="Times New Roman" w:eastAsia="宋体" w:cs="Times New Roman"/>
                <w:color w:val="auto"/>
                <w:sz w:val="24"/>
                <w:highlight w:val="none"/>
                <w:lang w:val="en-US" w:eastAsia="zh-CN"/>
              </w:rPr>
              <w:t>及</w:t>
            </w:r>
            <w:r>
              <w:rPr>
                <w:rFonts w:hint="default" w:ascii="Times New Roman" w:hAnsi="Times New Roman" w:eastAsia="宋体" w:cs="Times New Roman"/>
                <w:color w:val="auto"/>
                <w:sz w:val="24"/>
                <w:highlight w:val="none"/>
              </w:rPr>
              <w:t>应急防护设施，地面与裙脚所围建的容积不低于最大容器的最大储量或总储量的五分之一，并设置警示标志。</w:t>
            </w:r>
          </w:p>
          <w:p w14:paraId="27687EE2">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贮存设施应根据危险废物的类别、数量、形态、物理化学性质和污染防治等要求设置必要的贮存分区，避免不相容的危险废物接触、混合。</w:t>
            </w:r>
          </w:p>
          <w:p w14:paraId="39136A60">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危险废物</w:t>
            </w:r>
            <w:r>
              <w:rPr>
                <w:rFonts w:hint="default" w:ascii="Times New Roman" w:hAnsi="Times New Roman" w:eastAsia="宋体" w:cs="Times New Roman"/>
                <w:color w:val="auto"/>
                <w:sz w:val="24"/>
                <w:highlight w:val="none"/>
              </w:rPr>
              <w:t>由专人进行管理，做好危险废物</w:t>
            </w:r>
            <w:r>
              <w:rPr>
                <w:rFonts w:hint="default" w:ascii="Times New Roman" w:hAnsi="Times New Roman" w:eastAsia="宋体" w:cs="Times New Roman"/>
                <w:color w:val="auto"/>
                <w:sz w:val="24"/>
                <w:highlight w:val="none"/>
                <w:lang w:val="en-US" w:eastAsia="zh-CN"/>
              </w:rPr>
              <w:t>贮存</w:t>
            </w:r>
            <w:r>
              <w:rPr>
                <w:rFonts w:hint="default" w:ascii="Times New Roman" w:hAnsi="Times New Roman" w:eastAsia="宋体" w:cs="Times New Roman"/>
                <w:color w:val="auto"/>
                <w:sz w:val="24"/>
                <w:highlight w:val="none"/>
              </w:rPr>
              <w:t>量</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转移</w:t>
            </w:r>
            <w:r>
              <w:rPr>
                <w:rFonts w:hint="default" w:ascii="Times New Roman" w:hAnsi="Times New Roman" w:eastAsia="宋体" w:cs="Times New Roman"/>
                <w:color w:val="auto"/>
                <w:sz w:val="24"/>
                <w:highlight w:val="none"/>
              </w:rPr>
              <w:t>及处置记录，建立危废台账并在危险废物转移管理过程中严格执行《危险废物转移联单管理办法》，委托有资质单位处理，不得随意倾倒或非法转移危险固废。</w:t>
            </w:r>
          </w:p>
          <w:p w14:paraId="61A834A7">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装载危险废物的容器及材质要满足相应的强度要求，</w:t>
            </w:r>
            <w:r>
              <w:rPr>
                <w:rFonts w:hint="eastAsia" w:ascii="Times New Roman" w:hAnsi="Times New Roman" w:eastAsia="宋体" w:cs="Times New Roman"/>
                <w:color w:val="auto"/>
                <w:sz w:val="24"/>
                <w:highlight w:val="none"/>
                <w:lang w:val="en-US" w:eastAsia="zh-CN"/>
              </w:rPr>
              <w:t>容器和包装物材质、内衬应与盛装的危险废物相容，</w:t>
            </w:r>
            <w:r>
              <w:rPr>
                <w:rFonts w:hint="default" w:ascii="Times New Roman" w:hAnsi="Times New Roman" w:eastAsia="宋体" w:cs="Times New Roman"/>
                <w:color w:val="auto"/>
                <w:sz w:val="24"/>
                <w:highlight w:val="none"/>
              </w:rPr>
              <w:t>装载危险废物的容器必须完好无损。</w:t>
            </w:r>
          </w:p>
          <w:p w14:paraId="338A67C1">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做好危险废物情况的记录，记录上须注明危险废物的名称、来源、数量、特性和包装容器的类别、入库日期、存放库位、废物出库日期及接收单位名称。危险废物的记录和货单在危险废物回取后应继续保留五年。</w:t>
            </w:r>
          </w:p>
          <w:p w14:paraId="4E37207B">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定期对所贮存的危险废物包装容器及贮存设施进行检查，发现破损，应及时采取措施。</w:t>
            </w:r>
          </w:p>
          <w:p w14:paraId="37EBF569">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按照《危险废物贮存污染控制标准》 （GB18597-2023）相关规定要求，危废</w:t>
            </w:r>
            <w:r>
              <w:rPr>
                <w:rFonts w:hint="default" w:ascii="Times New Roman" w:hAnsi="Times New Roman" w:eastAsia="宋体" w:cs="Times New Roman"/>
                <w:color w:val="auto"/>
                <w:sz w:val="24"/>
                <w:highlight w:val="none"/>
                <w:lang w:val="en-US" w:eastAsia="zh-CN"/>
              </w:rPr>
              <w:t>暂存</w:t>
            </w:r>
            <w:r>
              <w:rPr>
                <w:rFonts w:hint="default" w:ascii="Times New Roman" w:hAnsi="Times New Roman" w:eastAsia="宋体" w:cs="Times New Roman"/>
                <w:color w:val="auto"/>
                <w:sz w:val="24"/>
                <w:highlight w:val="none"/>
              </w:rPr>
              <w:t>间及危险废物储存容器上需要张贴标签，具体要求如下：</w:t>
            </w:r>
          </w:p>
          <w:p w14:paraId="5443B04B">
            <w:pPr>
              <w:numPr>
                <w:ilvl w:val="0"/>
                <w:numId w:val="40"/>
              </w:numPr>
              <w:adjustRightInd w:val="0"/>
              <w:spacing w:line="360" w:lineRule="auto"/>
              <w:ind w:left="425" w:leftChars="0" w:hanging="425"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pacing w:val="6"/>
                <w:sz w:val="24"/>
                <w:highlight w:val="none"/>
              </w:rPr>
              <w:t>危废间及储存容器标签示例</w:t>
            </w:r>
          </w:p>
          <w:tbl>
            <w:tblPr>
              <w:tblStyle w:val="50"/>
              <w:tblW w:w="7745" w:type="dxa"/>
              <w:jc w:val="center"/>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090"/>
              <w:gridCol w:w="2618"/>
              <w:gridCol w:w="4037"/>
            </w:tblGrid>
            <w:tr w14:paraId="00B4408B">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3" w:hRule="atLeast"/>
                <w:jc w:val="center"/>
              </w:trPr>
              <w:tc>
                <w:tcPr>
                  <w:tcW w:w="1090" w:type="dxa"/>
                  <w:tcBorders>
                    <w:tl2br w:val="nil"/>
                    <w:tr2bl w:val="nil"/>
                  </w:tcBorders>
                  <w:vAlign w:val="center"/>
                </w:tcPr>
                <w:p w14:paraId="0F94142E">
                  <w:pPr>
                    <w:widowControl/>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场合</w:t>
                  </w:r>
                </w:p>
              </w:tc>
              <w:tc>
                <w:tcPr>
                  <w:tcW w:w="2618" w:type="dxa"/>
                  <w:tcBorders>
                    <w:tl2br w:val="nil"/>
                    <w:tr2bl w:val="nil"/>
                  </w:tcBorders>
                  <w:vAlign w:val="center"/>
                </w:tcPr>
                <w:p w14:paraId="17E42E94">
                  <w:pPr>
                    <w:widowControl/>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样式</w:t>
                  </w:r>
                </w:p>
              </w:tc>
              <w:tc>
                <w:tcPr>
                  <w:tcW w:w="4037" w:type="dxa"/>
                  <w:tcBorders>
                    <w:tl2br w:val="nil"/>
                    <w:tr2bl w:val="nil"/>
                  </w:tcBorders>
                  <w:vAlign w:val="center"/>
                </w:tcPr>
                <w:p w14:paraId="4C9FF467">
                  <w:pPr>
                    <w:widowControl/>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要求</w:t>
                  </w:r>
                </w:p>
              </w:tc>
            </w:tr>
            <w:tr w14:paraId="55995BC5">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908" w:hRule="atLeast"/>
                <w:jc w:val="center"/>
              </w:trPr>
              <w:tc>
                <w:tcPr>
                  <w:tcW w:w="1090" w:type="dxa"/>
                  <w:tcBorders>
                    <w:tl2br w:val="nil"/>
                    <w:tr2bl w:val="nil"/>
                  </w:tcBorders>
                  <w:vAlign w:val="center"/>
                </w:tcPr>
                <w:p w14:paraId="4930C626">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室外</w:t>
                  </w:r>
                </w:p>
                <w:p w14:paraId="3234FF5A">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（粘贴于门上或悬</w:t>
                  </w:r>
                </w:p>
                <w:p w14:paraId="34F366C0">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挂）</w:t>
                  </w:r>
                </w:p>
              </w:tc>
              <w:tc>
                <w:tcPr>
                  <w:tcW w:w="2618" w:type="dxa"/>
                  <w:tcBorders>
                    <w:tl2br w:val="nil"/>
                    <w:tr2bl w:val="nil"/>
                  </w:tcBorders>
                  <w:vAlign w:val="center"/>
                </w:tcPr>
                <w:p w14:paraId="6EC15D4A">
                  <w:pPr>
                    <w:spacing w:before="188" w:line="1519" w:lineRule="exact"/>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position w:val="-32"/>
                      <w:highlight w:val="none"/>
                    </w:rPr>
                    <w:drawing>
                      <wp:inline distT="0" distB="0" distL="0" distR="0">
                        <wp:extent cx="1625600" cy="1104900"/>
                        <wp:effectExtent l="0" t="0" r="5080" b="7620"/>
                        <wp:docPr id="39" name="IM 134"/>
                        <wp:cNvGraphicFramePr/>
                        <a:graphic xmlns:a="http://schemas.openxmlformats.org/drawingml/2006/main">
                          <a:graphicData uri="http://schemas.openxmlformats.org/drawingml/2006/picture">
                            <pic:pic xmlns:pic="http://schemas.openxmlformats.org/drawingml/2006/picture">
                              <pic:nvPicPr>
                                <pic:cNvPr id="39" name="IM 134"/>
                                <pic:cNvPicPr/>
                              </pic:nvPicPr>
                              <pic:blipFill>
                                <a:blip r:embed="rId22"/>
                                <a:stretch>
                                  <a:fillRect/>
                                </a:stretch>
                              </pic:blipFill>
                              <pic:spPr>
                                <a:xfrm>
                                  <a:off x="0" y="0"/>
                                  <a:ext cx="1625600" cy="1104900"/>
                                </a:xfrm>
                                <a:prstGeom prst="rect">
                                  <a:avLst/>
                                </a:prstGeom>
                              </pic:spPr>
                            </pic:pic>
                          </a:graphicData>
                        </a:graphic>
                      </wp:inline>
                    </w:drawing>
                  </w:r>
                </w:p>
              </w:tc>
              <w:tc>
                <w:tcPr>
                  <w:tcW w:w="4037" w:type="dxa"/>
                  <w:tcBorders>
                    <w:tl2br w:val="nil"/>
                    <w:tr2bl w:val="nil"/>
                  </w:tcBorders>
                  <w:vAlign w:val="center"/>
                </w:tcPr>
                <w:p w14:paraId="08F65A3D">
                  <w:pPr>
                    <w:widowControl/>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1、危险废物标签尺寸颜色：尺寸：40×40cm；</w:t>
                  </w:r>
                </w:p>
                <w:p w14:paraId="34548A6F">
                  <w:pPr>
                    <w:widowControl/>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颜色：背景为黄色，图形为黑色。</w:t>
                  </w:r>
                </w:p>
                <w:p w14:paraId="30A4B741">
                  <w:pPr>
                    <w:widowControl/>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2、警告标志外檐2.5cm。</w:t>
                  </w:r>
                </w:p>
                <w:p w14:paraId="37EC30A2">
                  <w:pPr>
                    <w:widowControl/>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3、适用于：危险废物贮存设施为房屋的，建有围墙或防护栅栏，且高度高于100cm时；部分危险废物利用、处置场所。</w:t>
                  </w:r>
                </w:p>
              </w:tc>
            </w:tr>
            <w:tr w14:paraId="76752541">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565" w:hRule="atLeast"/>
                <w:jc w:val="center"/>
              </w:trPr>
              <w:tc>
                <w:tcPr>
                  <w:tcW w:w="1090" w:type="dxa"/>
                  <w:tcBorders>
                    <w:tl2br w:val="nil"/>
                    <w:tr2bl w:val="nil"/>
                  </w:tcBorders>
                  <w:vAlign w:val="center"/>
                </w:tcPr>
                <w:p w14:paraId="63820EC3">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粘贴于危</w:t>
                  </w:r>
                </w:p>
                <w:p w14:paraId="0A99319A">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险废物储</w:t>
                  </w:r>
                </w:p>
                <w:p w14:paraId="57F47E40">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存容器</w:t>
                  </w:r>
                </w:p>
              </w:tc>
              <w:tc>
                <w:tcPr>
                  <w:tcW w:w="2618" w:type="dxa"/>
                  <w:tcBorders>
                    <w:tl2br w:val="nil"/>
                    <w:tr2bl w:val="nil"/>
                  </w:tcBorders>
                  <w:vAlign w:val="center"/>
                </w:tcPr>
                <w:p w14:paraId="61E6C82F">
                  <w:pPr>
                    <w:spacing w:before="8" w:line="1620" w:lineRule="exact"/>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anchor distT="0" distB="0" distL="114300" distR="114300" simplePos="0" relativeHeight="251666432" behindDoc="0" locked="0" layoutInCell="1" allowOverlap="1">
                        <wp:simplePos x="0" y="0"/>
                        <wp:positionH relativeFrom="column">
                          <wp:posOffset>29845</wp:posOffset>
                        </wp:positionH>
                        <wp:positionV relativeFrom="page">
                          <wp:posOffset>-635</wp:posOffset>
                        </wp:positionV>
                        <wp:extent cx="1620520" cy="1568450"/>
                        <wp:effectExtent l="0" t="0" r="10160" b="1270"/>
                        <wp:wrapNone/>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23"/>
                                <a:stretch>
                                  <a:fillRect/>
                                </a:stretch>
                              </pic:blipFill>
                              <pic:spPr>
                                <a:xfrm>
                                  <a:off x="0" y="0"/>
                                  <a:ext cx="1620520" cy="1568450"/>
                                </a:xfrm>
                                <a:prstGeom prst="rect">
                                  <a:avLst/>
                                </a:prstGeom>
                                <a:noFill/>
                                <a:ln>
                                  <a:noFill/>
                                </a:ln>
                              </pic:spPr>
                            </pic:pic>
                          </a:graphicData>
                        </a:graphic>
                      </wp:anchor>
                    </w:drawing>
                  </w:r>
                </w:p>
              </w:tc>
              <w:tc>
                <w:tcPr>
                  <w:tcW w:w="4037" w:type="dxa"/>
                  <w:tcBorders>
                    <w:tl2br w:val="nil"/>
                    <w:tr2bl w:val="nil"/>
                  </w:tcBorders>
                  <w:vAlign w:val="center"/>
                </w:tcPr>
                <w:p w14:paraId="6E7681E5">
                  <w:pPr>
                    <w:widowControl/>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1、危险废物标签尺寸颜色：尺寸：20×20cm；</w:t>
                  </w:r>
                </w:p>
                <w:p w14:paraId="44342361">
                  <w:pPr>
                    <w:widowControl/>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底色：醒目的橘黄色。字体：黑体字；</w:t>
                  </w:r>
                </w:p>
                <w:p w14:paraId="3C31EDC4">
                  <w:pPr>
                    <w:widowControl/>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字体颜色：黑色。</w:t>
                  </w:r>
                </w:p>
                <w:p w14:paraId="7BDB60E7">
                  <w:pPr>
                    <w:widowControl/>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2、危险类别：按危险废物种类选择。</w:t>
                  </w:r>
                </w:p>
              </w:tc>
            </w:tr>
          </w:tbl>
          <w:p w14:paraId="02975DE9">
            <w:pPr>
              <w:adjustRightIn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b、</w:t>
            </w:r>
            <w:r>
              <w:rPr>
                <w:rFonts w:hint="default" w:ascii="Times New Roman" w:hAnsi="Times New Roman" w:eastAsia="宋体" w:cs="Times New Roman"/>
                <w:b w:val="0"/>
                <w:bCs w:val="0"/>
                <w:color w:val="auto"/>
                <w:sz w:val="24"/>
                <w:highlight w:val="none"/>
              </w:rPr>
              <w:t>转移及运输过程的环境影响分析及污染防治措施</w:t>
            </w:r>
          </w:p>
          <w:p w14:paraId="2A0F0AE7">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危险废物及时转运，按照确定的内部危险废物运送时间、路线，将危险废物收集、运送至危险废物暂存间，再定期由有清运、处置的资质单位转运处理，做好转运记录，填写危废转移联单，转运危险废物的车辆便于装卸、防止外溢，加盖便于密闭转运，转运车辆每日清洗与消毒，转运及运输过程执行《危险废物转移管理办法》（2022年1月1日起施行）相关要求。</w:t>
            </w:r>
          </w:p>
          <w:p w14:paraId="449BD0BB">
            <w:pPr>
              <w:numPr>
                <w:ilvl w:val="0"/>
                <w:numId w:val="0"/>
              </w:numPr>
              <w:adjustRightInd w:val="0"/>
              <w:snapToGrid w:val="0"/>
              <w:spacing w:line="360" w:lineRule="auto"/>
              <w:ind w:leftChars="0" w:firstLine="480"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（3）固体废物环境影响结论</w:t>
            </w:r>
          </w:p>
          <w:p w14:paraId="02C9843A">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运营期间产生的固体废物的处置符合《中华人民共和国固体废物污染环境防治法》（2020年版）及《北京市生活垃圾管理条例》（2020年5月1日起施行，2020年9月25日第二次修正）、《中华人民共和国固体废物污染环境防治法》（2020年9月1日起施行）、《一般工业固体废物贮存和填埋污染控制标准》（GB18599-2020）、《北京市危险废物污染环境防治条例》、（2020年9月1日实施）、《危险废物收集贮存运输技术规范》（HJ2025-2012）、《危险废物贮存污染控制标准》（GB18597-2023）、《危险废物污染防治技术政策》（环发[2021]199号）和《危险废物转移管理办法》（2022年1月1日起施行）、《实验室危险废物污染防治技术规范》（DB11/T1368—2016）等相关规定，固体废物去向明确，处置措施合理，本项目固体废物</w:t>
            </w:r>
            <w:r>
              <w:rPr>
                <w:rFonts w:hint="eastAsia" w:cs="Times New Roman"/>
                <w:color w:val="auto"/>
                <w:sz w:val="24"/>
                <w:highlight w:val="none"/>
                <w:lang w:val="en-US" w:eastAsia="zh-CN"/>
              </w:rPr>
              <w:t>对</w:t>
            </w:r>
            <w:r>
              <w:rPr>
                <w:rFonts w:hint="default" w:ascii="Times New Roman" w:hAnsi="Times New Roman" w:eastAsia="宋体" w:cs="Times New Roman"/>
                <w:color w:val="auto"/>
                <w:sz w:val="24"/>
                <w:highlight w:val="none"/>
              </w:rPr>
              <w:t>环境</w:t>
            </w:r>
            <w:r>
              <w:rPr>
                <w:rFonts w:hint="eastAsia" w:cs="Times New Roman"/>
                <w:color w:val="auto"/>
                <w:sz w:val="24"/>
                <w:highlight w:val="none"/>
                <w:lang w:val="en-US" w:eastAsia="zh-CN"/>
              </w:rPr>
              <w:t>的</w:t>
            </w:r>
            <w:r>
              <w:rPr>
                <w:rFonts w:hint="default" w:ascii="Times New Roman" w:hAnsi="Times New Roman" w:eastAsia="宋体" w:cs="Times New Roman"/>
                <w:color w:val="auto"/>
                <w:sz w:val="24"/>
                <w:highlight w:val="none"/>
              </w:rPr>
              <w:t>影响可以接受。</w:t>
            </w:r>
          </w:p>
          <w:p w14:paraId="047C58AB">
            <w:pPr>
              <w:numPr>
                <w:ilvl w:val="0"/>
                <w:numId w:val="38"/>
              </w:numPr>
              <w:adjustRightInd w:val="0"/>
              <w:snapToGrid w:val="0"/>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地下水、土壤</w:t>
            </w:r>
          </w:p>
          <w:p w14:paraId="1F27F2D0">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w:t>
            </w:r>
            <w:r>
              <w:rPr>
                <w:rFonts w:hint="eastAsia" w:cs="Times New Roman"/>
                <w:color w:val="auto"/>
                <w:sz w:val="24"/>
                <w:highlight w:val="none"/>
                <w:lang w:val="en-US" w:eastAsia="zh-CN"/>
              </w:rPr>
              <w:t>位于所在建筑1-4层，一层以办公为主，试剂室、易制毒室、实验室、危险废物暂存间、标物室等风险源分布于2-4层，与地下水和土壤存在空间阻隔，室内</w:t>
            </w:r>
            <w:r>
              <w:rPr>
                <w:rFonts w:hint="default" w:ascii="Times New Roman" w:hAnsi="Times New Roman" w:eastAsia="宋体" w:cs="Times New Roman"/>
                <w:color w:val="auto"/>
                <w:sz w:val="24"/>
                <w:highlight w:val="none"/>
              </w:rPr>
              <w:t>地面硬化，</w:t>
            </w:r>
            <w:r>
              <w:rPr>
                <w:rFonts w:hint="eastAsia" w:cs="Times New Roman"/>
                <w:color w:val="auto"/>
                <w:sz w:val="24"/>
                <w:highlight w:val="none"/>
                <w:lang w:val="en-US" w:eastAsia="zh-CN"/>
              </w:rPr>
              <w:t>不同分区按要求做好防渗</w:t>
            </w:r>
            <w:r>
              <w:rPr>
                <w:rFonts w:hint="default" w:ascii="Times New Roman" w:hAnsi="Times New Roman" w:eastAsia="宋体" w:cs="Times New Roman"/>
                <w:color w:val="auto"/>
                <w:sz w:val="24"/>
                <w:highlight w:val="none"/>
              </w:rPr>
              <w:t>。本项目</w:t>
            </w:r>
            <w:r>
              <w:rPr>
                <w:rFonts w:hint="eastAsia" w:cs="Times New Roman"/>
                <w:color w:val="auto"/>
                <w:sz w:val="24"/>
                <w:highlight w:val="none"/>
                <w:lang w:val="en-US" w:eastAsia="zh-CN"/>
              </w:rPr>
              <w:t>外排污水排入园区化粪池</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最后经</w:t>
            </w:r>
            <w:r>
              <w:rPr>
                <w:rFonts w:hint="default" w:ascii="Times New Roman" w:hAnsi="Times New Roman" w:eastAsia="宋体" w:cs="Times New Roman"/>
                <w:color w:val="auto"/>
                <w:sz w:val="24"/>
                <w:highlight w:val="none"/>
              </w:rPr>
              <w:t>市政污水管网</w:t>
            </w:r>
            <w:r>
              <w:rPr>
                <w:rFonts w:hint="eastAsia" w:cs="Times New Roman"/>
                <w:color w:val="auto"/>
                <w:sz w:val="24"/>
                <w:highlight w:val="none"/>
                <w:lang w:val="en-US" w:eastAsia="zh-CN"/>
              </w:rPr>
              <w:t>进入公共污水处理厂。</w:t>
            </w:r>
            <w:r>
              <w:rPr>
                <w:rFonts w:hint="default" w:ascii="Times New Roman" w:hAnsi="Times New Roman" w:eastAsia="宋体" w:cs="Times New Roman"/>
                <w:color w:val="auto"/>
                <w:sz w:val="24"/>
                <w:highlight w:val="none"/>
              </w:rPr>
              <w:t>正常排放情况下不会进入</w:t>
            </w:r>
            <w:r>
              <w:rPr>
                <w:rFonts w:hint="eastAsia" w:cs="Times New Roman"/>
                <w:color w:val="auto"/>
                <w:sz w:val="24"/>
                <w:highlight w:val="none"/>
                <w:lang w:val="en-US" w:eastAsia="zh-CN"/>
              </w:rPr>
              <w:t>土壤和</w:t>
            </w:r>
            <w:r>
              <w:rPr>
                <w:rFonts w:hint="default" w:ascii="Times New Roman" w:hAnsi="Times New Roman" w:eastAsia="宋体" w:cs="Times New Roman"/>
                <w:color w:val="auto"/>
                <w:sz w:val="24"/>
                <w:highlight w:val="none"/>
              </w:rPr>
              <w:t>地下水，对区域</w:t>
            </w:r>
            <w:r>
              <w:rPr>
                <w:rFonts w:hint="eastAsia" w:cs="Times New Roman"/>
                <w:color w:val="auto"/>
                <w:sz w:val="24"/>
                <w:highlight w:val="none"/>
                <w:lang w:val="en-US" w:eastAsia="zh-CN"/>
              </w:rPr>
              <w:t>土壤、</w:t>
            </w:r>
            <w:r>
              <w:rPr>
                <w:rFonts w:hint="default" w:ascii="Times New Roman" w:hAnsi="Times New Roman" w:eastAsia="宋体" w:cs="Times New Roman"/>
                <w:color w:val="auto"/>
                <w:sz w:val="24"/>
                <w:highlight w:val="none"/>
              </w:rPr>
              <w:t>地下水环境影响不大。根据本项目实际情况，为防止非正常状况下污染土壤和地下水的环境风险，将本项目区域划分为重点防渗区、一般防渗区</w:t>
            </w:r>
            <w:r>
              <w:rPr>
                <w:rFonts w:hint="default" w:ascii="Times New Roman" w:hAnsi="Times New Roman" w:eastAsia="宋体" w:cs="Times New Roman"/>
                <w:color w:val="auto"/>
                <w:sz w:val="24"/>
                <w:highlight w:val="none"/>
                <w:lang w:val="en-US" w:eastAsia="zh-CN"/>
              </w:rPr>
              <w:t>和简单防渗区</w:t>
            </w:r>
            <w:r>
              <w:rPr>
                <w:rFonts w:hint="default" w:ascii="Times New Roman" w:hAnsi="Times New Roman" w:eastAsia="宋体" w:cs="Times New Roman"/>
                <w:color w:val="auto"/>
                <w:sz w:val="24"/>
                <w:highlight w:val="none"/>
              </w:rPr>
              <w:t>。</w:t>
            </w:r>
          </w:p>
          <w:p w14:paraId="6E8711EF">
            <w:pPr>
              <w:numPr>
                <w:ilvl w:val="0"/>
                <w:numId w:val="40"/>
              </w:numPr>
              <w:adjustRightInd w:val="0"/>
              <w:spacing w:line="360" w:lineRule="auto"/>
              <w:ind w:left="425" w:leftChars="0" w:hanging="425" w:firstLineChars="0"/>
              <w:jc w:val="center"/>
              <w:rPr>
                <w:rFonts w:hint="default" w:ascii="Times New Roman" w:hAnsi="Times New Roman" w:eastAsia="宋体" w:cs="Times New Roman"/>
                <w:b/>
                <w:bCs/>
                <w:color w:val="auto"/>
                <w:spacing w:val="6"/>
                <w:sz w:val="24"/>
                <w:highlight w:val="none"/>
              </w:rPr>
            </w:pPr>
            <w:r>
              <w:rPr>
                <w:rFonts w:hint="default" w:ascii="Times New Roman" w:hAnsi="Times New Roman" w:eastAsia="宋体" w:cs="Times New Roman"/>
                <w:b/>
                <w:bCs/>
                <w:color w:val="auto"/>
                <w:spacing w:val="6"/>
                <w:sz w:val="24"/>
                <w:highlight w:val="none"/>
              </w:rPr>
              <w:t>项目相关区域防渗划分表</w:t>
            </w:r>
          </w:p>
          <w:tbl>
            <w:tblPr>
              <w:tblStyle w:val="24"/>
              <w:tblW w:w="756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09"/>
              <w:gridCol w:w="2354"/>
              <w:gridCol w:w="1966"/>
              <w:gridCol w:w="1123"/>
              <w:gridCol w:w="696"/>
            </w:tblGrid>
            <w:tr w14:paraId="46AC4B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720" w:type="dxa"/>
                  <w:tcBorders>
                    <w:tl2br w:val="nil"/>
                    <w:tr2bl w:val="nil"/>
                  </w:tcBorders>
                  <w:vAlign w:val="center"/>
                </w:tcPr>
                <w:p w14:paraId="0EC2B776">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工程单元</w:t>
                  </w:r>
                </w:p>
              </w:tc>
              <w:tc>
                <w:tcPr>
                  <w:tcW w:w="709" w:type="dxa"/>
                  <w:tcBorders>
                    <w:tl2br w:val="nil"/>
                    <w:tr2bl w:val="nil"/>
                  </w:tcBorders>
                  <w:vAlign w:val="center"/>
                </w:tcPr>
                <w:p w14:paraId="3CCA088D">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位置</w:t>
                  </w:r>
                </w:p>
              </w:tc>
              <w:tc>
                <w:tcPr>
                  <w:tcW w:w="2354" w:type="dxa"/>
                  <w:tcBorders>
                    <w:tl2br w:val="nil"/>
                    <w:tr2bl w:val="nil"/>
                  </w:tcBorders>
                  <w:vAlign w:val="center"/>
                </w:tcPr>
                <w:p w14:paraId="527300A3">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防渗技术要求</w:t>
                  </w:r>
                </w:p>
              </w:tc>
              <w:tc>
                <w:tcPr>
                  <w:tcW w:w="1966" w:type="dxa"/>
                  <w:tcBorders>
                    <w:tl2br w:val="nil"/>
                    <w:tr2bl w:val="nil"/>
                  </w:tcBorders>
                  <w:vAlign w:val="center"/>
                </w:tcPr>
                <w:p w14:paraId="2E0DA629">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标准</w:t>
                  </w:r>
                </w:p>
              </w:tc>
              <w:tc>
                <w:tcPr>
                  <w:tcW w:w="1123" w:type="dxa"/>
                  <w:tcBorders>
                    <w:tl2br w:val="nil"/>
                    <w:tr2bl w:val="nil"/>
                  </w:tcBorders>
                  <w:vAlign w:val="center"/>
                </w:tcPr>
                <w:p w14:paraId="59A11FE5">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防渗分区</w:t>
                  </w:r>
                </w:p>
              </w:tc>
              <w:tc>
                <w:tcPr>
                  <w:tcW w:w="696" w:type="dxa"/>
                  <w:tcBorders>
                    <w:tl2br w:val="nil"/>
                    <w:tr2bl w:val="nil"/>
                  </w:tcBorders>
                  <w:vAlign w:val="center"/>
                </w:tcPr>
                <w:p w14:paraId="56120042">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备注</w:t>
                  </w:r>
                </w:p>
              </w:tc>
            </w:tr>
            <w:tr w14:paraId="158E27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tcBorders>
                    <w:tl2br w:val="nil"/>
                    <w:tr2bl w:val="nil"/>
                  </w:tcBorders>
                  <w:vAlign w:val="center"/>
                </w:tcPr>
                <w:p w14:paraId="70E4850F">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危险废物暂存间</w:t>
                  </w:r>
                </w:p>
              </w:tc>
              <w:tc>
                <w:tcPr>
                  <w:tcW w:w="709" w:type="dxa"/>
                  <w:tcBorders>
                    <w:tl2br w:val="nil"/>
                    <w:tr2bl w:val="nil"/>
                  </w:tcBorders>
                  <w:vAlign w:val="center"/>
                </w:tcPr>
                <w:p w14:paraId="7A9DEB52">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1层</w:t>
                  </w:r>
                </w:p>
              </w:tc>
              <w:tc>
                <w:tcPr>
                  <w:tcW w:w="2354" w:type="dxa"/>
                  <w:tcBorders>
                    <w:tl2br w:val="nil"/>
                    <w:tr2bl w:val="nil"/>
                  </w:tcBorders>
                  <w:vAlign w:val="center"/>
                </w:tcPr>
                <w:p w14:paraId="77B60065">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采用2mm厚高密度聚乙烯或防渗效果等的其他防渗材料进行防渗，渗透系数≤10</w:t>
                  </w:r>
                  <w:r>
                    <w:rPr>
                      <w:rFonts w:hint="default" w:ascii="Times New Roman" w:hAnsi="Times New Roman" w:eastAsia="宋体" w:cs="Times New Roman"/>
                      <w:color w:val="auto"/>
                      <w:sz w:val="21"/>
                      <w:szCs w:val="21"/>
                      <w:highlight w:val="none"/>
                      <w:vertAlign w:val="superscript"/>
                    </w:rPr>
                    <w:t>-1</w:t>
                  </w:r>
                  <w:r>
                    <w:rPr>
                      <w:rFonts w:hint="eastAsia" w:cs="Times New Roman"/>
                      <w:color w:val="auto"/>
                      <w:sz w:val="21"/>
                      <w:szCs w:val="21"/>
                      <w:highlight w:val="none"/>
                      <w:vertAlign w:val="superscript"/>
                      <w:lang w:val="en-US" w:eastAsia="zh-CN"/>
                    </w:rPr>
                    <w:t>0</w:t>
                  </w:r>
                  <w:r>
                    <w:rPr>
                      <w:rFonts w:hint="default" w:ascii="Times New Roman" w:hAnsi="Times New Roman" w:eastAsia="宋体" w:cs="Times New Roman"/>
                      <w:color w:val="auto"/>
                      <w:sz w:val="21"/>
                      <w:szCs w:val="21"/>
                      <w:highlight w:val="none"/>
                      <w:vertAlign w:val="baseline"/>
                    </w:rPr>
                    <w:t>cm/s</w:t>
                  </w:r>
                </w:p>
              </w:tc>
              <w:tc>
                <w:tcPr>
                  <w:tcW w:w="1966" w:type="dxa"/>
                  <w:tcBorders>
                    <w:tl2br w:val="nil"/>
                    <w:tr2bl w:val="nil"/>
                  </w:tcBorders>
                  <w:vAlign w:val="center"/>
                </w:tcPr>
                <w:p w14:paraId="38F75DA7">
                  <w:pPr>
                    <w:numPr>
                      <w:ilvl w:val="0"/>
                      <w:numId w:val="0"/>
                    </w:numPr>
                    <w:autoSpaceDE w:val="0"/>
                    <w:autoSpaceDN w:val="0"/>
                    <w:adjustRightInd w:val="0"/>
                    <w:snapToGrid w:val="0"/>
                    <w:spacing w:line="240" w:lineRule="auto"/>
                    <w:jc w:val="both"/>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满足《危险废物贮存污染控制标准》(GB18597-2023）的相关防渗要求</w:t>
                  </w:r>
                </w:p>
              </w:tc>
              <w:tc>
                <w:tcPr>
                  <w:tcW w:w="1123" w:type="dxa"/>
                  <w:tcBorders>
                    <w:tl2br w:val="nil"/>
                    <w:tr2bl w:val="nil"/>
                  </w:tcBorders>
                  <w:vAlign w:val="center"/>
                </w:tcPr>
                <w:p w14:paraId="14AF6C5A">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重点防渗区</w:t>
                  </w:r>
                </w:p>
              </w:tc>
              <w:tc>
                <w:tcPr>
                  <w:tcW w:w="696" w:type="dxa"/>
                  <w:tcBorders>
                    <w:tl2br w:val="nil"/>
                    <w:tr2bl w:val="nil"/>
                  </w:tcBorders>
                  <w:vAlign w:val="center"/>
                </w:tcPr>
                <w:p w14:paraId="4E10F140">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新建</w:t>
                  </w:r>
                </w:p>
              </w:tc>
            </w:tr>
            <w:tr w14:paraId="0177A1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20" w:type="dxa"/>
                  <w:tcBorders>
                    <w:tl2br w:val="nil"/>
                    <w:tr2bl w:val="nil"/>
                  </w:tcBorders>
                  <w:vAlign w:val="center"/>
                </w:tcPr>
                <w:p w14:paraId="0E633B36">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试剂室、易制毒室</w:t>
                  </w:r>
                </w:p>
              </w:tc>
              <w:tc>
                <w:tcPr>
                  <w:tcW w:w="709" w:type="dxa"/>
                  <w:tcBorders>
                    <w:tl2br w:val="nil"/>
                    <w:tr2bl w:val="nil"/>
                  </w:tcBorders>
                  <w:vAlign w:val="center"/>
                </w:tcPr>
                <w:p w14:paraId="2DA1B919">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4层</w:t>
                  </w:r>
                </w:p>
              </w:tc>
              <w:tc>
                <w:tcPr>
                  <w:tcW w:w="2354" w:type="dxa"/>
                  <w:tcBorders>
                    <w:tl2br w:val="nil"/>
                    <w:tr2bl w:val="nil"/>
                  </w:tcBorders>
                  <w:shd w:val="clear" w:color="auto" w:fill="auto"/>
                  <w:vAlign w:val="center"/>
                </w:tcPr>
                <w:p w14:paraId="2064797E">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rPr>
                    <w:t>采用2mm厚高密度聚乙烯或防渗效果等的其他防渗材料进行防渗，渗透系数≤10</w:t>
                  </w:r>
                  <w:r>
                    <w:rPr>
                      <w:rFonts w:hint="default" w:ascii="Times New Roman" w:hAnsi="Times New Roman" w:eastAsia="宋体" w:cs="Times New Roman"/>
                      <w:color w:val="auto"/>
                      <w:sz w:val="21"/>
                      <w:szCs w:val="21"/>
                      <w:highlight w:val="none"/>
                      <w:vertAlign w:val="superscript"/>
                    </w:rPr>
                    <w:t>-1</w:t>
                  </w:r>
                  <w:r>
                    <w:rPr>
                      <w:rFonts w:hint="eastAsia" w:cs="Times New Roman"/>
                      <w:color w:val="auto"/>
                      <w:sz w:val="21"/>
                      <w:szCs w:val="21"/>
                      <w:highlight w:val="none"/>
                      <w:vertAlign w:val="superscript"/>
                      <w:lang w:val="en-US" w:eastAsia="zh-CN"/>
                    </w:rPr>
                    <w:t>0</w:t>
                  </w:r>
                  <w:r>
                    <w:rPr>
                      <w:rFonts w:hint="default" w:ascii="Times New Roman" w:hAnsi="Times New Roman" w:eastAsia="宋体" w:cs="Times New Roman"/>
                      <w:color w:val="auto"/>
                      <w:sz w:val="21"/>
                      <w:szCs w:val="21"/>
                      <w:highlight w:val="none"/>
                      <w:vertAlign w:val="baseline"/>
                    </w:rPr>
                    <w:t>cm/s</w:t>
                  </w:r>
                </w:p>
              </w:tc>
              <w:tc>
                <w:tcPr>
                  <w:tcW w:w="1966" w:type="dxa"/>
                  <w:tcBorders>
                    <w:tl2br w:val="nil"/>
                    <w:tr2bl w:val="nil"/>
                  </w:tcBorders>
                  <w:shd w:val="clear" w:color="auto" w:fill="auto"/>
                  <w:vAlign w:val="center"/>
                </w:tcPr>
                <w:p w14:paraId="6F73362C">
                  <w:pPr>
                    <w:numPr>
                      <w:ilvl w:val="0"/>
                      <w:numId w:val="0"/>
                    </w:numPr>
                    <w:autoSpaceDE w:val="0"/>
                    <w:autoSpaceDN w:val="0"/>
                    <w:adjustRightInd w:val="0"/>
                    <w:snapToGrid w:val="0"/>
                    <w:spacing w:line="240" w:lineRule="auto"/>
                    <w:ind w:left="0" w:leftChars="0" w:firstLine="0" w:firstLineChars="0"/>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rPr>
                    <w:t>满足《危险废物贮存污染控制标准》(GB18597-2023）的相关防渗要求</w:t>
                  </w:r>
                </w:p>
              </w:tc>
              <w:tc>
                <w:tcPr>
                  <w:tcW w:w="1123" w:type="dxa"/>
                  <w:tcBorders>
                    <w:tl2br w:val="nil"/>
                    <w:tr2bl w:val="nil"/>
                  </w:tcBorders>
                  <w:shd w:val="clear" w:color="auto" w:fill="auto"/>
                  <w:vAlign w:val="center"/>
                </w:tcPr>
                <w:p w14:paraId="59FFAF13">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rPr>
                    <w:t>重点防渗区</w:t>
                  </w:r>
                </w:p>
              </w:tc>
              <w:tc>
                <w:tcPr>
                  <w:tcW w:w="696" w:type="dxa"/>
                  <w:tcBorders>
                    <w:tl2br w:val="nil"/>
                    <w:tr2bl w:val="nil"/>
                  </w:tcBorders>
                  <w:shd w:val="clear" w:color="auto" w:fill="auto"/>
                  <w:vAlign w:val="center"/>
                </w:tcPr>
                <w:p w14:paraId="4F3A95E2">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rPr>
                    <w:t>新建</w:t>
                  </w:r>
                </w:p>
              </w:tc>
            </w:tr>
            <w:tr w14:paraId="060B08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tcBorders>
                    <w:tl2br w:val="nil"/>
                    <w:tr2bl w:val="nil"/>
                  </w:tcBorders>
                  <w:vAlign w:val="center"/>
                </w:tcPr>
                <w:p w14:paraId="4493657A">
                  <w:pPr>
                    <w:numPr>
                      <w:ilvl w:val="0"/>
                      <w:numId w:val="0"/>
                    </w:numPr>
                    <w:autoSpaceDE w:val="0"/>
                    <w:autoSpaceDN w:val="0"/>
                    <w:adjustRightInd w:val="0"/>
                    <w:snapToGrid w:val="0"/>
                    <w:spacing w:line="240" w:lineRule="auto"/>
                    <w:jc w:val="center"/>
                    <w:rPr>
                      <w:rFonts w:hint="eastAsia" w:ascii="Times New Roman" w:hAnsi="Times New Roman" w:eastAsia="宋体" w:cs="Times New Roman"/>
                      <w:color w:val="auto"/>
                      <w:sz w:val="21"/>
                      <w:szCs w:val="21"/>
                      <w:highlight w:val="none"/>
                      <w:vertAlign w:val="baseline"/>
                      <w:lang w:eastAsia="zh-CN"/>
                    </w:rPr>
                  </w:pPr>
                  <w:r>
                    <w:rPr>
                      <w:rFonts w:hint="eastAsia" w:cs="Times New Roman"/>
                      <w:color w:val="auto"/>
                      <w:sz w:val="21"/>
                      <w:szCs w:val="21"/>
                      <w:highlight w:val="none"/>
                      <w:vertAlign w:val="baseline"/>
                      <w:lang w:val="en-US" w:eastAsia="zh-CN"/>
                    </w:rPr>
                    <w:t>实验室</w:t>
                  </w:r>
                </w:p>
              </w:tc>
              <w:tc>
                <w:tcPr>
                  <w:tcW w:w="709" w:type="dxa"/>
                  <w:tcBorders>
                    <w:tl2br w:val="nil"/>
                    <w:tr2bl w:val="nil"/>
                  </w:tcBorders>
                  <w:vAlign w:val="center"/>
                </w:tcPr>
                <w:p w14:paraId="41A093F7">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2-4层</w:t>
                  </w:r>
                </w:p>
              </w:tc>
              <w:tc>
                <w:tcPr>
                  <w:tcW w:w="2354" w:type="dxa"/>
                  <w:tcBorders>
                    <w:tl2br w:val="nil"/>
                    <w:tr2bl w:val="nil"/>
                  </w:tcBorders>
                  <w:shd w:val="clear" w:color="auto" w:fill="auto"/>
                  <w:vAlign w:val="center"/>
                </w:tcPr>
                <w:p w14:paraId="588CD391">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rPr>
                    <w:t>采用2mm厚高密度聚乙烯或防渗效果等的其他防渗材料进行防渗，渗透系数≤10</w:t>
                  </w:r>
                  <w:r>
                    <w:rPr>
                      <w:rFonts w:hint="default" w:ascii="Times New Roman" w:hAnsi="Times New Roman" w:eastAsia="宋体" w:cs="Times New Roman"/>
                      <w:color w:val="auto"/>
                      <w:sz w:val="21"/>
                      <w:szCs w:val="21"/>
                      <w:highlight w:val="none"/>
                      <w:vertAlign w:val="superscript"/>
                    </w:rPr>
                    <w:t>-1</w:t>
                  </w:r>
                  <w:r>
                    <w:rPr>
                      <w:rFonts w:hint="eastAsia" w:cs="Times New Roman"/>
                      <w:color w:val="auto"/>
                      <w:sz w:val="21"/>
                      <w:szCs w:val="21"/>
                      <w:highlight w:val="none"/>
                      <w:vertAlign w:val="superscript"/>
                      <w:lang w:val="en-US" w:eastAsia="zh-CN"/>
                    </w:rPr>
                    <w:t>0</w:t>
                  </w:r>
                  <w:r>
                    <w:rPr>
                      <w:rFonts w:hint="default" w:ascii="Times New Roman" w:hAnsi="Times New Roman" w:eastAsia="宋体" w:cs="Times New Roman"/>
                      <w:color w:val="auto"/>
                      <w:sz w:val="21"/>
                      <w:szCs w:val="21"/>
                      <w:highlight w:val="none"/>
                      <w:vertAlign w:val="baseline"/>
                    </w:rPr>
                    <w:t>cm/s</w:t>
                  </w:r>
                </w:p>
              </w:tc>
              <w:tc>
                <w:tcPr>
                  <w:tcW w:w="1966" w:type="dxa"/>
                  <w:tcBorders>
                    <w:tl2br w:val="nil"/>
                    <w:tr2bl w:val="nil"/>
                  </w:tcBorders>
                  <w:shd w:val="clear" w:color="auto" w:fill="auto"/>
                  <w:vAlign w:val="center"/>
                </w:tcPr>
                <w:p w14:paraId="26ECCE37">
                  <w:pPr>
                    <w:numPr>
                      <w:ilvl w:val="0"/>
                      <w:numId w:val="0"/>
                    </w:numPr>
                    <w:autoSpaceDE w:val="0"/>
                    <w:autoSpaceDN w:val="0"/>
                    <w:adjustRightInd w:val="0"/>
                    <w:snapToGrid w:val="0"/>
                    <w:spacing w:line="240" w:lineRule="auto"/>
                    <w:ind w:left="0" w:leftChars="0" w:firstLine="0" w:firstLineChars="0"/>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rPr>
                    <w:t>满足《危险废物贮存污染控制标准》(GB18597-2023）的相关防渗要求</w:t>
                  </w:r>
                </w:p>
              </w:tc>
              <w:tc>
                <w:tcPr>
                  <w:tcW w:w="1123" w:type="dxa"/>
                  <w:tcBorders>
                    <w:tl2br w:val="nil"/>
                    <w:tr2bl w:val="nil"/>
                  </w:tcBorders>
                  <w:shd w:val="clear" w:color="auto" w:fill="auto"/>
                  <w:vAlign w:val="center"/>
                </w:tcPr>
                <w:p w14:paraId="4D001281">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4"/>
                      <w:highlight w:val="none"/>
                    </w:rPr>
                    <w:t>一般防渗区</w:t>
                  </w:r>
                </w:p>
              </w:tc>
              <w:tc>
                <w:tcPr>
                  <w:tcW w:w="696" w:type="dxa"/>
                  <w:tcBorders>
                    <w:tl2br w:val="nil"/>
                    <w:tr2bl w:val="nil"/>
                  </w:tcBorders>
                  <w:shd w:val="clear" w:color="auto" w:fill="auto"/>
                  <w:vAlign w:val="center"/>
                </w:tcPr>
                <w:p w14:paraId="3A7AE145">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rPr>
                    <w:t>新建</w:t>
                  </w:r>
                </w:p>
              </w:tc>
            </w:tr>
            <w:tr w14:paraId="0C5336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tcBorders>
                    <w:tl2br w:val="nil"/>
                    <w:tr2bl w:val="nil"/>
                  </w:tcBorders>
                  <w:vAlign w:val="center"/>
                </w:tcPr>
                <w:p w14:paraId="6B248A27">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eastAsia" w:cs="Times New Roman"/>
                      <w:color w:val="auto"/>
                      <w:sz w:val="21"/>
                      <w:szCs w:val="21"/>
                      <w:highlight w:val="none"/>
                      <w:vertAlign w:val="baseline"/>
                      <w:lang w:val="en-US" w:eastAsia="zh-CN"/>
                    </w:rPr>
                    <w:t>办公区</w:t>
                  </w:r>
                </w:p>
              </w:tc>
              <w:tc>
                <w:tcPr>
                  <w:tcW w:w="709" w:type="dxa"/>
                  <w:tcBorders>
                    <w:tl2br w:val="nil"/>
                    <w:tr2bl w:val="nil"/>
                  </w:tcBorders>
                  <w:vAlign w:val="center"/>
                </w:tcPr>
                <w:p w14:paraId="61AA412B">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eastAsia" w:ascii="Times New Roman" w:hAnsi="Times New Roman" w:eastAsia="宋体" w:cs="Times New Roman"/>
                      <w:color w:val="auto"/>
                      <w:sz w:val="21"/>
                      <w:szCs w:val="21"/>
                      <w:highlight w:val="none"/>
                      <w:vertAlign w:val="baseline"/>
                      <w:lang w:val="en-US" w:eastAsia="zh-CN"/>
                    </w:rPr>
                    <w:t>1层</w:t>
                  </w:r>
                </w:p>
              </w:tc>
              <w:tc>
                <w:tcPr>
                  <w:tcW w:w="2354" w:type="dxa"/>
                  <w:tcBorders>
                    <w:tl2br w:val="nil"/>
                    <w:tr2bl w:val="nil"/>
                  </w:tcBorders>
                  <w:vAlign w:val="center"/>
                </w:tcPr>
                <w:p w14:paraId="65F153A1">
                  <w:pPr>
                    <w:keepNext w:val="0"/>
                    <w:keepLines w:val="0"/>
                    <w:pageBreakBefore w:val="0"/>
                    <w:widowControl w:val="0"/>
                    <w:numPr>
                      <w:ilvl w:val="0"/>
                      <w:numId w:val="0"/>
                    </w:numPr>
                    <w:kinsoku/>
                    <w:wordWrap w:val="0"/>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硬化并进行防渗处理，防渗层渗透系数≤10</w:t>
                  </w:r>
                  <w:r>
                    <w:rPr>
                      <w:rFonts w:hint="default" w:ascii="Times New Roman" w:hAnsi="Times New Roman" w:eastAsia="宋体" w:cs="Times New Roman"/>
                      <w:color w:val="auto"/>
                      <w:sz w:val="21"/>
                      <w:szCs w:val="21"/>
                      <w:highlight w:val="none"/>
                      <w:vertAlign w:val="superscript"/>
                    </w:rPr>
                    <w:t>-7</w:t>
                  </w:r>
                  <w:r>
                    <w:rPr>
                      <w:rFonts w:hint="default" w:ascii="Times New Roman" w:hAnsi="Times New Roman" w:eastAsia="宋体" w:cs="Times New Roman"/>
                      <w:color w:val="auto"/>
                      <w:sz w:val="21"/>
                      <w:szCs w:val="21"/>
                      <w:highlight w:val="none"/>
                      <w:vertAlign w:val="baseline"/>
                    </w:rPr>
                    <w:t xml:space="preserve">cm/s </w:t>
                  </w:r>
                </w:p>
              </w:tc>
              <w:tc>
                <w:tcPr>
                  <w:tcW w:w="1966" w:type="dxa"/>
                  <w:tcBorders>
                    <w:tl2br w:val="nil"/>
                    <w:tr2bl w:val="nil"/>
                  </w:tcBorders>
                  <w:vAlign w:val="center"/>
                </w:tcPr>
                <w:p w14:paraId="2A404996">
                  <w:pPr>
                    <w:keepNext w:val="0"/>
                    <w:keepLines w:val="0"/>
                    <w:pageBreakBefore w:val="0"/>
                    <w:widowControl w:val="0"/>
                    <w:numPr>
                      <w:ilvl w:val="0"/>
                      <w:numId w:val="0"/>
                    </w:numPr>
                    <w:kinsoku/>
                    <w:wordWrap w:val="0"/>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满足《环境影响评价技术导则 地下水环境》（HJ610-2016）中规定的防渗标准要求</w:t>
                  </w:r>
                </w:p>
              </w:tc>
              <w:tc>
                <w:tcPr>
                  <w:tcW w:w="1123" w:type="dxa"/>
                  <w:tcBorders>
                    <w:tl2br w:val="nil"/>
                    <w:tr2bl w:val="nil"/>
                  </w:tcBorders>
                  <w:vAlign w:val="center"/>
                </w:tcPr>
                <w:p w14:paraId="6AF7FF43">
                  <w:pPr>
                    <w:keepNext w:val="0"/>
                    <w:keepLines w:val="0"/>
                    <w:pageBreakBefore w:val="0"/>
                    <w:widowControl w:val="0"/>
                    <w:numPr>
                      <w:ilvl w:val="0"/>
                      <w:numId w:val="0"/>
                    </w:numPr>
                    <w:kinsoku/>
                    <w:wordWrap w:val="0"/>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4"/>
                      <w:highlight w:val="none"/>
                      <w:lang w:val="en-US" w:eastAsia="zh-CN"/>
                    </w:rPr>
                    <w:t>简单防渗区</w:t>
                  </w:r>
                </w:p>
              </w:tc>
              <w:tc>
                <w:tcPr>
                  <w:tcW w:w="696" w:type="dxa"/>
                  <w:tcBorders>
                    <w:tl2br w:val="nil"/>
                    <w:tr2bl w:val="nil"/>
                  </w:tcBorders>
                  <w:vAlign w:val="center"/>
                </w:tcPr>
                <w:p w14:paraId="669A2194">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新建</w:t>
                  </w:r>
                </w:p>
              </w:tc>
            </w:tr>
          </w:tbl>
          <w:p w14:paraId="6C60C9D6">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采取上述防渗措施后，可有效的防止污染项目所在区域的地下水环境和土壤环境的污染。</w:t>
            </w:r>
          </w:p>
          <w:p w14:paraId="062DBE29">
            <w:pPr>
              <w:numPr>
                <w:ilvl w:val="0"/>
                <w:numId w:val="38"/>
              </w:numPr>
              <w:adjustRightInd w:val="0"/>
              <w:snapToGrid w:val="0"/>
              <w:spacing w:line="360" w:lineRule="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生态影响分析</w:t>
            </w:r>
          </w:p>
          <w:p w14:paraId="55890C1B">
            <w:pPr>
              <w:numPr>
                <w:ilvl w:val="0"/>
                <w:numId w:val="0"/>
              </w:num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本项目位于</w:t>
            </w:r>
            <w:r>
              <w:rPr>
                <w:rFonts w:hint="eastAsia" w:cs="Times New Roman"/>
                <w:color w:val="auto"/>
                <w:sz w:val="24"/>
                <w:highlight w:val="none"/>
                <w:lang w:val="en-US" w:eastAsia="zh-CN"/>
              </w:rPr>
              <w:t>北京经济技术开发区(通州)环科中路16号23幢1至4层</w:t>
            </w:r>
            <w:r>
              <w:rPr>
                <w:rFonts w:hint="default" w:ascii="Times New Roman" w:hAnsi="Times New Roman" w:eastAsia="宋体" w:cs="Times New Roman"/>
                <w:color w:val="auto"/>
                <w:sz w:val="24"/>
                <w:highlight w:val="none"/>
                <w:lang w:val="en-US" w:eastAsia="zh-CN"/>
              </w:rPr>
              <w:t>，租用现有建筑物进行</w:t>
            </w:r>
            <w:r>
              <w:rPr>
                <w:rFonts w:hint="eastAsia" w:cs="Times New Roman"/>
                <w:color w:val="auto"/>
                <w:sz w:val="24"/>
                <w:highlight w:val="none"/>
                <w:lang w:val="en-US" w:eastAsia="zh-CN"/>
              </w:rPr>
              <w:t>检测活动</w:t>
            </w:r>
            <w:r>
              <w:rPr>
                <w:rFonts w:hint="default" w:ascii="Times New Roman" w:hAnsi="Times New Roman" w:eastAsia="宋体" w:cs="Times New Roman"/>
                <w:color w:val="auto"/>
                <w:sz w:val="24"/>
                <w:highlight w:val="none"/>
                <w:lang w:val="en-US" w:eastAsia="zh-CN"/>
              </w:rPr>
              <w:t>，不属于产业园区外建设项目新增用地项目，且项目用地范围内无生态环境敏感目标，因此，本项目对生态环境影响较小。</w:t>
            </w:r>
          </w:p>
          <w:p w14:paraId="253F0596">
            <w:pPr>
              <w:numPr>
                <w:ilvl w:val="0"/>
                <w:numId w:val="38"/>
              </w:numPr>
              <w:adjustRightInd w:val="0"/>
              <w:snapToGrid w:val="0"/>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环境风险</w:t>
            </w:r>
          </w:p>
          <w:p w14:paraId="652E95ED">
            <w:pPr>
              <w:adjustRightInd w:val="0"/>
              <w:spacing w:line="360" w:lineRule="auto"/>
              <w:ind w:firstLine="465"/>
              <w:rPr>
                <w:rFonts w:hint="default" w:ascii="Times New Roman" w:hAnsi="Times New Roman" w:eastAsia="宋体" w:cs="Times New Roman"/>
                <w:b w:val="0"/>
                <w:bCs w:val="0"/>
                <w:color w:val="auto"/>
                <w:spacing w:val="-2"/>
                <w:sz w:val="24"/>
                <w:szCs w:val="32"/>
                <w:highlight w:val="none"/>
              </w:rPr>
            </w:pPr>
            <w:r>
              <w:rPr>
                <w:rFonts w:hint="default" w:ascii="Times New Roman" w:hAnsi="Times New Roman" w:eastAsia="宋体" w:cs="Times New Roman"/>
                <w:b w:val="0"/>
                <w:bCs w:val="0"/>
                <w:color w:val="auto"/>
                <w:spacing w:val="-2"/>
                <w:sz w:val="24"/>
                <w:szCs w:val="32"/>
                <w:highlight w:val="none"/>
              </w:rPr>
              <w:t>（1）风险源</w:t>
            </w:r>
          </w:p>
          <w:p w14:paraId="377CDF5C">
            <w:pPr>
              <w:adjustRightInd w:val="0"/>
              <w:spacing w:line="360" w:lineRule="auto"/>
              <w:ind w:firstLine="465"/>
              <w:rPr>
                <w:rFonts w:hint="default" w:ascii="Times New Roman" w:hAnsi="Times New Roman" w:eastAsia="宋体" w:cs="Times New Roman"/>
                <w:bCs/>
                <w:snapToGrid w:val="0"/>
                <w:color w:val="auto"/>
                <w:kern w:val="0"/>
                <w:sz w:val="24"/>
                <w:highlight w:val="none"/>
              </w:rPr>
            </w:pPr>
            <w:r>
              <w:rPr>
                <w:rFonts w:hint="eastAsia" w:cs="Times New Roman"/>
                <w:bCs/>
                <w:snapToGrid w:val="0"/>
                <w:color w:val="auto"/>
                <w:kern w:val="0"/>
                <w:sz w:val="24"/>
                <w:highlight w:val="none"/>
                <w:lang w:val="en-US" w:eastAsia="zh-CN"/>
              </w:rPr>
              <w:t>本项目涉及的风险源包括试剂室、易制毒室、标物室、实验室、危险废物暂存间。</w:t>
            </w:r>
            <w:r>
              <w:rPr>
                <w:rFonts w:hint="default" w:ascii="Times New Roman" w:hAnsi="Times New Roman" w:eastAsia="宋体" w:cs="Times New Roman"/>
                <w:bCs/>
                <w:snapToGrid w:val="0"/>
                <w:color w:val="auto"/>
                <w:kern w:val="0"/>
                <w:sz w:val="24"/>
                <w:highlight w:val="none"/>
              </w:rPr>
              <w:t>根据《建设项目风险评价技术导则》（HJ169-2018）附录 B 和《危险化学品重大危险源辨识》（GB18218-2018）中危险品临界量的有关规定，本项目涉及的环境风险物质主要为</w:t>
            </w:r>
            <w:r>
              <w:rPr>
                <w:rFonts w:hint="default" w:ascii="Times New Roman" w:hAnsi="Times New Roman" w:eastAsia="宋体" w:cs="Times New Roman"/>
                <w:color w:val="auto"/>
                <w:sz w:val="24"/>
                <w:highlight w:val="none"/>
                <w:lang w:val="en-US" w:eastAsia="zh-CN"/>
              </w:rPr>
              <w:t>实验过程中的化学物质、</w:t>
            </w:r>
            <w:r>
              <w:rPr>
                <w:rFonts w:hint="default" w:ascii="Times New Roman" w:hAnsi="Times New Roman" w:eastAsia="宋体" w:cs="Times New Roman"/>
                <w:color w:val="auto"/>
                <w:sz w:val="24"/>
                <w:highlight w:val="none"/>
              </w:rPr>
              <w:t>COD</w:t>
            </w:r>
            <w:r>
              <w:rPr>
                <w:rFonts w:hint="default" w:ascii="Times New Roman" w:hAnsi="Times New Roman" w:eastAsia="宋体" w:cs="Times New Roman"/>
                <w:color w:val="auto"/>
                <w:sz w:val="24"/>
                <w:highlight w:val="none"/>
                <w:vertAlign w:val="subscript"/>
              </w:rPr>
              <w:t>Cr</w:t>
            </w:r>
            <w:r>
              <w:rPr>
                <w:rFonts w:hint="default" w:ascii="Times New Roman" w:hAnsi="Times New Roman" w:eastAsia="宋体" w:cs="Times New Roman"/>
                <w:color w:val="auto"/>
                <w:sz w:val="24"/>
                <w:highlight w:val="none"/>
              </w:rPr>
              <w:t>大于10000mg/L的废液</w:t>
            </w:r>
            <w:r>
              <w:rPr>
                <w:rFonts w:hint="default" w:ascii="Times New Roman" w:hAnsi="Times New Roman" w:eastAsia="宋体" w:cs="Times New Roman"/>
                <w:color w:val="auto"/>
                <w:sz w:val="24"/>
                <w:highlight w:val="none"/>
                <w:lang w:val="en-US" w:eastAsia="zh-CN"/>
              </w:rPr>
              <w:t>等</w:t>
            </w:r>
            <w:r>
              <w:rPr>
                <w:rFonts w:hint="default" w:ascii="Times New Roman" w:hAnsi="Times New Roman" w:eastAsia="宋体" w:cs="Times New Roman"/>
                <w:color w:val="auto"/>
                <w:sz w:val="24"/>
                <w:highlight w:val="none"/>
              </w:rPr>
              <w:t>。计算</w:t>
            </w:r>
            <w:r>
              <w:rPr>
                <w:rFonts w:hint="eastAsia" w:cs="Times New Roman"/>
                <w:color w:val="auto"/>
                <w:sz w:val="24"/>
                <w:highlight w:val="none"/>
                <w:lang w:val="en-US" w:eastAsia="zh-CN"/>
              </w:rPr>
              <w:t>本项目完成后全公司</w:t>
            </w:r>
            <w:r>
              <w:rPr>
                <w:rFonts w:hint="default" w:ascii="Times New Roman" w:hAnsi="Times New Roman" w:eastAsia="宋体" w:cs="Times New Roman"/>
                <w:color w:val="auto"/>
                <w:sz w:val="24"/>
                <w:highlight w:val="none"/>
              </w:rPr>
              <w:t>涉及的危险物质</w:t>
            </w:r>
            <w:r>
              <w:rPr>
                <w:rFonts w:hint="eastAsia" w:cs="Times New Roman"/>
                <w:color w:val="auto"/>
                <w:sz w:val="24"/>
                <w:highlight w:val="none"/>
                <w:lang w:val="en-US" w:eastAsia="zh-CN"/>
              </w:rPr>
              <w:t>的总量</w:t>
            </w:r>
            <w:r>
              <w:rPr>
                <w:rFonts w:hint="default" w:ascii="Times New Roman" w:hAnsi="Times New Roman" w:eastAsia="宋体" w:cs="Times New Roman"/>
                <w:color w:val="auto"/>
                <w:sz w:val="24"/>
                <w:highlight w:val="none"/>
              </w:rPr>
              <w:t>在厂界内的最大存储量与其对应的临界量的比值 Q 见下表。</w:t>
            </w:r>
          </w:p>
          <w:p w14:paraId="2F818F89">
            <w:pPr>
              <w:numPr>
                <w:ilvl w:val="0"/>
                <w:numId w:val="40"/>
              </w:numPr>
              <w:adjustRightInd w:val="0"/>
              <w:spacing w:line="360" w:lineRule="auto"/>
              <w:ind w:left="425" w:leftChars="0" w:hanging="425" w:firstLineChars="0"/>
              <w:jc w:val="center"/>
              <w:rPr>
                <w:rFonts w:hint="default" w:ascii="Times New Roman" w:hAnsi="Times New Roman" w:eastAsia="宋体" w:cs="Times New Roman"/>
                <w:b/>
                <w:snapToGrid w:val="0"/>
                <w:color w:val="auto"/>
                <w:kern w:val="0"/>
                <w:sz w:val="24"/>
                <w:highlight w:val="none"/>
              </w:rPr>
            </w:pPr>
            <w:r>
              <w:rPr>
                <w:rFonts w:hint="default" w:ascii="Times New Roman" w:hAnsi="Times New Roman" w:eastAsia="宋体" w:cs="Times New Roman"/>
                <w:b/>
                <w:snapToGrid w:val="0"/>
                <w:color w:val="auto"/>
                <w:kern w:val="0"/>
                <w:sz w:val="24"/>
                <w:highlight w:val="none"/>
              </w:rPr>
              <w:t>环境</w:t>
            </w:r>
            <w:r>
              <w:rPr>
                <w:rFonts w:hint="default" w:ascii="Times New Roman" w:hAnsi="Times New Roman" w:eastAsia="宋体" w:cs="Times New Roman"/>
                <w:b/>
                <w:color w:val="auto"/>
                <w:sz w:val="24"/>
                <w:highlight w:val="none"/>
              </w:rPr>
              <w:t>风险</w:t>
            </w:r>
            <w:r>
              <w:rPr>
                <w:rFonts w:hint="default" w:ascii="Times New Roman" w:hAnsi="Times New Roman" w:eastAsia="宋体" w:cs="Times New Roman"/>
                <w:b/>
                <w:snapToGrid w:val="0"/>
                <w:color w:val="auto"/>
                <w:kern w:val="0"/>
                <w:sz w:val="24"/>
                <w:highlight w:val="none"/>
              </w:rPr>
              <w:t>物质数量与临界量比值</w:t>
            </w:r>
          </w:p>
          <w:tbl>
            <w:tblPr>
              <w:tblStyle w:val="24"/>
              <w:tblW w:w="7400"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585"/>
              <w:gridCol w:w="1110"/>
              <w:gridCol w:w="1555"/>
              <w:gridCol w:w="1053"/>
              <w:gridCol w:w="1097"/>
            </w:tblGrid>
            <w:tr w14:paraId="1F4355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2585" w:type="dxa"/>
                  <w:tcBorders>
                    <w:tl2br w:val="nil"/>
                    <w:tr2bl w:val="nil"/>
                  </w:tcBorders>
                  <w:vAlign w:val="center"/>
                </w:tcPr>
                <w:p w14:paraId="628DB217">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危险品名称</w:t>
                  </w:r>
                </w:p>
              </w:tc>
              <w:tc>
                <w:tcPr>
                  <w:tcW w:w="1110" w:type="dxa"/>
                  <w:tcBorders>
                    <w:tl2br w:val="nil"/>
                    <w:tr2bl w:val="nil"/>
                  </w:tcBorders>
                  <w:vAlign w:val="center"/>
                </w:tcPr>
                <w:p w14:paraId="55532EBA">
                  <w:pPr>
                    <w:jc w:val="center"/>
                    <w:rPr>
                      <w:rFonts w:hint="default" w:ascii="Times New Roman" w:hAnsi="Times New Roman" w:eastAsia="宋体" w:cs="Times New Roman"/>
                      <w:b/>
                      <w:color w:val="auto"/>
                      <w:szCs w:val="21"/>
                      <w:highlight w:val="none"/>
                      <w:lang w:eastAsia="zh-CN"/>
                    </w:rPr>
                  </w:pPr>
                  <w:r>
                    <w:rPr>
                      <w:rFonts w:hint="default" w:ascii="Times New Roman" w:hAnsi="Times New Roman" w:eastAsia="宋体" w:cs="Times New Roman"/>
                      <w:b/>
                      <w:color w:val="auto"/>
                      <w:szCs w:val="21"/>
                      <w:highlight w:val="none"/>
                      <w:lang w:eastAsia="zh-CN"/>
                    </w:rPr>
                    <w:t>存放位置</w:t>
                  </w:r>
                </w:p>
              </w:tc>
              <w:tc>
                <w:tcPr>
                  <w:tcW w:w="1555" w:type="dxa"/>
                  <w:tcBorders>
                    <w:tl2br w:val="nil"/>
                    <w:tr2bl w:val="nil"/>
                  </w:tcBorders>
                  <w:vAlign w:val="center"/>
                </w:tcPr>
                <w:p w14:paraId="43D57743">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最大储存量（t）</w:t>
                  </w:r>
                </w:p>
              </w:tc>
              <w:tc>
                <w:tcPr>
                  <w:tcW w:w="1053" w:type="dxa"/>
                  <w:tcBorders>
                    <w:tl2br w:val="nil"/>
                    <w:tr2bl w:val="nil"/>
                  </w:tcBorders>
                  <w:vAlign w:val="center"/>
                </w:tcPr>
                <w:p w14:paraId="446907F8">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临界值（t）</w:t>
                  </w:r>
                </w:p>
              </w:tc>
              <w:tc>
                <w:tcPr>
                  <w:tcW w:w="1097" w:type="dxa"/>
                  <w:tcBorders>
                    <w:tl2br w:val="nil"/>
                    <w:tr2bl w:val="nil"/>
                  </w:tcBorders>
                  <w:vAlign w:val="center"/>
                </w:tcPr>
                <w:p w14:paraId="6F32A632">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Q值</w:t>
                  </w:r>
                </w:p>
              </w:tc>
            </w:tr>
            <w:tr w14:paraId="3020604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85" w:type="dxa"/>
                  <w:tcBorders>
                    <w:tl2br w:val="nil"/>
                    <w:tr2bl w:val="nil"/>
                  </w:tcBorders>
                  <w:shd w:val="clear" w:color="auto" w:fill="auto"/>
                  <w:vAlign w:val="center"/>
                </w:tcPr>
                <w:p w14:paraId="3A9B902C">
                  <w:pPr>
                    <w:spacing w:before="52" w:line="22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盐酸</w:t>
                  </w:r>
                </w:p>
              </w:tc>
              <w:tc>
                <w:tcPr>
                  <w:tcW w:w="1110" w:type="dxa"/>
                  <w:vMerge w:val="restart"/>
                  <w:tcBorders>
                    <w:tl2br w:val="nil"/>
                    <w:tr2bl w:val="nil"/>
                  </w:tcBorders>
                  <w:shd w:val="clear" w:color="auto" w:fill="auto"/>
                  <w:vAlign w:val="center"/>
                </w:tcPr>
                <w:p w14:paraId="6AA033D7">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危化品间</w:t>
                  </w:r>
                </w:p>
                <w:p w14:paraId="19097E56">
                  <w:pPr>
                    <w:widowControl/>
                    <w:jc w:val="center"/>
                    <w:rPr>
                      <w:rFonts w:hint="default" w:ascii="Times New Roman" w:hAnsi="Times New Roman" w:eastAsia="宋体" w:cs="Times New Roman"/>
                      <w:color w:val="auto"/>
                      <w:kern w:val="0"/>
                      <w:szCs w:val="21"/>
                      <w:highlight w:val="none"/>
                      <w:lang w:val="en-US" w:eastAsia="zh-CN"/>
                    </w:rPr>
                  </w:pPr>
                </w:p>
              </w:tc>
              <w:tc>
                <w:tcPr>
                  <w:tcW w:w="1555" w:type="dxa"/>
                  <w:tcBorders>
                    <w:tl2br w:val="nil"/>
                    <w:tr2bl w:val="nil"/>
                  </w:tcBorders>
                  <w:shd w:val="clear" w:color="auto" w:fill="auto"/>
                  <w:vAlign w:val="center"/>
                </w:tcPr>
                <w:p w14:paraId="450B7811">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0.0027</w:t>
                  </w:r>
                </w:p>
              </w:tc>
              <w:tc>
                <w:tcPr>
                  <w:tcW w:w="1053" w:type="dxa"/>
                  <w:tcBorders>
                    <w:tl2br w:val="nil"/>
                    <w:tr2bl w:val="nil"/>
                  </w:tcBorders>
                  <w:shd w:val="clear" w:color="auto" w:fill="auto"/>
                  <w:vAlign w:val="center"/>
                </w:tcPr>
                <w:p w14:paraId="30367E51">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7.5</w:t>
                  </w:r>
                </w:p>
              </w:tc>
              <w:tc>
                <w:tcPr>
                  <w:tcW w:w="1097" w:type="dxa"/>
                  <w:tcBorders>
                    <w:tl2br w:val="nil"/>
                    <w:tr2bl w:val="nil"/>
                  </w:tcBorders>
                  <w:vAlign w:val="center"/>
                </w:tcPr>
                <w:p w14:paraId="76F82D42">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0.0004</w:t>
                  </w:r>
                </w:p>
              </w:tc>
            </w:tr>
            <w:tr w14:paraId="39F9D94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85" w:type="dxa"/>
                  <w:tcBorders>
                    <w:tl2br w:val="nil"/>
                    <w:tr2bl w:val="nil"/>
                  </w:tcBorders>
                  <w:shd w:val="clear" w:color="auto" w:fill="auto"/>
                  <w:vAlign w:val="center"/>
                </w:tcPr>
                <w:p w14:paraId="28B91186">
                  <w:pPr>
                    <w:spacing w:before="52" w:line="229"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硝酸</w:t>
                  </w:r>
                </w:p>
              </w:tc>
              <w:tc>
                <w:tcPr>
                  <w:tcW w:w="1110" w:type="dxa"/>
                  <w:vMerge w:val="continue"/>
                  <w:tcBorders>
                    <w:tl2br w:val="nil"/>
                    <w:tr2bl w:val="nil"/>
                  </w:tcBorders>
                  <w:shd w:val="clear" w:color="auto" w:fill="auto"/>
                  <w:vAlign w:val="center"/>
                </w:tcPr>
                <w:p w14:paraId="09306C69">
                  <w:pPr>
                    <w:widowControl/>
                    <w:jc w:val="center"/>
                    <w:rPr>
                      <w:rFonts w:hint="default" w:ascii="Times New Roman" w:hAnsi="Times New Roman" w:eastAsia="宋体" w:cs="Times New Roman"/>
                      <w:color w:val="auto"/>
                      <w:kern w:val="0"/>
                      <w:sz w:val="21"/>
                      <w:szCs w:val="21"/>
                      <w:highlight w:val="none"/>
                      <w:lang w:val="en-US" w:eastAsia="zh-CN" w:bidi="ar-SA"/>
                    </w:rPr>
                  </w:pPr>
                </w:p>
              </w:tc>
              <w:tc>
                <w:tcPr>
                  <w:tcW w:w="1555" w:type="dxa"/>
                  <w:tcBorders>
                    <w:tl2br w:val="nil"/>
                    <w:tr2bl w:val="nil"/>
                  </w:tcBorders>
                  <w:shd w:val="clear" w:color="auto" w:fill="auto"/>
                  <w:vAlign w:val="center"/>
                </w:tcPr>
                <w:p w14:paraId="056DD188">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0.0021</w:t>
                  </w:r>
                </w:p>
              </w:tc>
              <w:tc>
                <w:tcPr>
                  <w:tcW w:w="1053" w:type="dxa"/>
                  <w:tcBorders>
                    <w:tl2br w:val="nil"/>
                    <w:tr2bl w:val="nil"/>
                  </w:tcBorders>
                  <w:shd w:val="clear" w:color="auto" w:fill="auto"/>
                  <w:vAlign w:val="center"/>
                </w:tcPr>
                <w:p w14:paraId="67BFB4FA">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50</w:t>
                  </w:r>
                </w:p>
              </w:tc>
              <w:tc>
                <w:tcPr>
                  <w:tcW w:w="1097" w:type="dxa"/>
                  <w:tcBorders>
                    <w:tl2br w:val="nil"/>
                    <w:tr2bl w:val="nil"/>
                  </w:tcBorders>
                  <w:shd w:val="clear" w:color="auto" w:fill="auto"/>
                  <w:vAlign w:val="center"/>
                </w:tcPr>
                <w:p w14:paraId="473EB1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0.00004</w:t>
                  </w:r>
                </w:p>
              </w:tc>
            </w:tr>
            <w:tr w14:paraId="123F4C9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85" w:type="dxa"/>
                  <w:tcBorders>
                    <w:tl2br w:val="nil"/>
                    <w:tr2bl w:val="nil"/>
                  </w:tcBorders>
                  <w:shd w:val="clear" w:color="auto" w:fill="auto"/>
                  <w:vAlign w:val="center"/>
                </w:tcPr>
                <w:p w14:paraId="5B8A5ED8">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硫酸</w:t>
                  </w:r>
                </w:p>
              </w:tc>
              <w:tc>
                <w:tcPr>
                  <w:tcW w:w="1110" w:type="dxa"/>
                  <w:vMerge w:val="continue"/>
                  <w:tcBorders>
                    <w:tl2br w:val="nil"/>
                    <w:tr2bl w:val="nil"/>
                  </w:tcBorders>
                  <w:shd w:val="clear" w:color="auto" w:fill="auto"/>
                  <w:vAlign w:val="center"/>
                </w:tcPr>
                <w:p w14:paraId="44D1CADA">
                  <w:pPr>
                    <w:widowControl/>
                    <w:jc w:val="center"/>
                    <w:rPr>
                      <w:rFonts w:hint="default" w:ascii="Times New Roman" w:hAnsi="Times New Roman" w:eastAsia="宋体" w:cs="Times New Roman"/>
                      <w:color w:val="auto"/>
                      <w:kern w:val="0"/>
                      <w:sz w:val="21"/>
                      <w:szCs w:val="21"/>
                      <w:highlight w:val="none"/>
                      <w:lang w:val="en-US" w:eastAsia="zh-CN" w:bidi="ar-SA"/>
                    </w:rPr>
                  </w:pPr>
                </w:p>
              </w:tc>
              <w:tc>
                <w:tcPr>
                  <w:tcW w:w="1555" w:type="dxa"/>
                  <w:tcBorders>
                    <w:tl2br w:val="nil"/>
                    <w:tr2bl w:val="nil"/>
                  </w:tcBorders>
                  <w:shd w:val="clear" w:color="auto" w:fill="auto"/>
                  <w:vAlign w:val="center"/>
                </w:tcPr>
                <w:p w14:paraId="3B82F288">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0.0092</w:t>
                  </w:r>
                </w:p>
              </w:tc>
              <w:tc>
                <w:tcPr>
                  <w:tcW w:w="1053" w:type="dxa"/>
                  <w:tcBorders>
                    <w:tl2br w:val="nil"/>
                    <w:tr2bl w:val="nil"/>
                  </w:tcBorders>
                  <w:shd w:val="clear" w:color="auto" w:fill="auto"/>
                  <w:vAlign w:val="center"/>
                </w:tcPr>
                <w:p w14:paraId="3AAB83F8">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10</w:t>
                  </w:r>
                </w:p>
              </w:tc>
              <w:tc>
                <w:tcPr>
                  <w:tcW w:w="1097" w:type="dxa"/>
                  <w:tcBorders>
                    <w:tl2br w:val="nil"/>
                    <w:tr2bl w:val="nil"/>
                  </w:tcBorders>
                  <w:shd w:val="clear" w:color="auto" w:fill="auto"/>
                  <w:vAlign w:val="center"/>
                </w:tcPr>
                <w:p w14:paraId="60924E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0.0009</w:t>
                  </w:r>
                </w:p>
              </w:tc>
            </w:tr>
            <w:tr w14:paraId="6E51B1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2585" w:type="dxa"/>
                  <w:tcBorders>
                    <w:tl2br w:val="nil"/>
                    <w:tr2bl w:val="nil"/>
                  </w:tcBorders>
                  <w:shd w:val="clear" w:color="auto" w:fill="auto"/>
                  <w:vAlign w:val="center"/>
                </w:tcPr>
                <w:p w14:paraId="58D4164A">
                  <w:pPr>
                    <w:spacing w:before="52" w:line="229"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氨水</w:t>
                  </w:r>
                </w:p>
              </w:tc>
              <w:tc>
                <w:tcPr>
                  <w:tcW w:w="1110" w:type="dxa"/>
                  <w:vMerge w:val="continue"/>
                  <w:tcBorders>
                    <w:tl2br w:val="nil"/>
                    <w:tr2bl w:val="nil"/>
                  </w:tcBorders>
                  <w:shd w:val="clear" w:color="auto" w:fill="auto"/>
                  <w:vAlign w:val="center"/>
                </w:tcPr>
                <w:p w14:paraId="44A22BD3">
                  <w:pPr>
                    <w:widowControl/>
                    <w:jc w:val="center"/>
                    <w:rPr>
                      <w:rFonts w:hint="default" w:ascii="Times New Roman" w:hAnsi="Times New Roman" w:eastAsia="宋体" w:cs="Times New Roman"/>
                      <w:color w:val="auto"/>
                      <w:kern w:val="0"/>
                      <w:sz w:val="21"/>
                      <w:szCs w:val="21"/>
                      <w:highlight w:val="none"/>
                      <w:lang w:val="en-US" w:eastAsia="zh-CN" w:bidi="ar-SA"/>
                    </w:rPr>
                  </w:pPr>
                </w:p>
              </w:tc>
              <w:tc>
                <w:tcPr>
                  <w:tcW w:w="1555" w:type="dxa"/>
                  <w:tcBorders>
                    <w:tl2br w:val="nil"/>
                    <w:tr2bl w:val="nil"/>
                  </w:tcBorders>
                  <w:shd w:val="clear" w:color="auto" w:fill="auto"/>
                  <w:vAlign w:val="center"/>
                </w:tcPr>
                <w:p w14:paraId="478EC38D">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0.0002</w:t>
                  </w:r>
                </w:p>
              </w:tc>
              <w:tc>
                <w:tcPr>
                  <w:tcW w:w="1053" w:type="dxa"/>
                  <w:tcBorders>
                    <w:tl2br w:val="nil"/>
                    <w:tr2bl w:val="nil"/>
                  </w:tcBorders>
                  <w:shd w:val="clear" w:color="auto" w:fill="auto"/>
                  <w:vAlign w:val="center"/>
                </w:tcPr>
                <w:p w14:paraId="1F7C0A8A">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10</w:t>
                  </w:r>
                </w:p>
              </w:tc>
              <w:tc>
                <w:tcPr>
                  <w:tcW w:w="1097" w:type="dxa"/>
                  <w:tcBorders>
                    <w:tl2br w:val="nil"/>
                    <w:tr2bl w:val="nil"/>
                  </w:tcBorders>
                  <w:shd w:val="clear" w:color="auto" w:fill="auto"/>
                  <w:vAlign w:val="center"/>
                </w:tcPr>
                <w:p w14:paraId="0E18EA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0.00002</w:t>
                  </w:r>
                </w:p>
              </w:tc>
            </w:tr>
            <w:tr w14:paraId="6F26AA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85" w:type="dxa"/>
                  <w:tcBorders>
                    <w:tl2br w:val="nil"/>
                    <w:tr2bl w:val="nil"/>
                  </w:tcBorders>
                  <w:shd w:val="clear" w:color="auto" w:fill="auto"/>
                  <w:vAlign w:val="center"/>
                </w:tcPr>
                <w:p w14:paraId="1BDEA205">
                  <w:pPr>
                    <w:spacing w:before="51" w:line="227"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甲醇</w:t>
                  </w:r>
                </w:p>
              </w:tc>
              <w:tc>
                <w:tcPr>
                  <w:tcW w:w="1110" w:type="dxa"/>
                  <w:vMerge w:val="continue"/>
                  <w:tcBorders>
                    <w:tl2br w:val="nil"/>
                    <w:tr2bl w:val="nil"/>
                  </w:tcBorders>
                  <w:shd w:val="clear" w:color="auto" w:fill="auto"/>
                  <w:vAlign w:val="center"/>
                </w:tcPr>
                <w:p w14:paraId="01D3785D">
                  <w:pPr>
                    <w:widowControl/>
                    <w:jc w:val="center"/>
                    <w:rPr>
                      <w:rFonts w:hint="default" w:ascii="Times New Roman" w:hAnsi="Times New Roman" w:eastAsia="宋体" w:cs="Times New Roman"/>
                      <w:color w:val="auto"/>
                      <w:kern w:val="0"/>
                      <w:sz w:val="21"/>
                      <w:szCs w:val="21"/>
                      <w:highlight w:val="none"/>
                      <w:lang w:val="en-US" w:eastAsia="zh-CN" w:bidi="ar-SA"/>
                    </w:rPr>
                  </w:pPr>
                </w:p>
              </w:tc>
              <w:tc>
                <w:tcPr>
                  <w:tcW w:w="1555" w:type="dxa"/>
                  <w:tcBorders>
                    <w:tl2br w:val="nil"/>
                    <w:tr2bl w:val="nil"/>
                  </w:tcBorders>
                  <w:shd w:val="clear" w:color="auto" w:fill="auto"/>
                  <w:vAlign w:val="center"/>
                </w:tcPr>
                <w:p w14:paraId="33B9CA07">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0.002</w:t>
                  </w:r>
                </w:p>
              </w:tc>
              <w:tc>
                <w:tcPr>
                  <w:tcW w:w="1053" w:type="dxa"/>
                  <w:tcBorders>
                    <w:tl2br w:val="nil"/>
                    <w:tr2bl w:val="nil"/>
                  </w:tcBorders>
                  <w:shd w:val="clear" w:color="auto" w:fill="auto"/>
                  <w:vAlign w:val="center"/>
                </w:tcPr>
                <w:p w14:paraId="7ABE946C">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10</w:t>
                  </w:r>
                </w:p>
              </w:tc>
              <w:tc>
                <w:tcPr>
                  <w:tcW w:w="1097" w:type="dxa"/>
                  <w:tcBorders>
                    <w:tl2br w:val="nil"/>
                    <w:tr2bl w:val="nil"/>
                  </w:tcBorders>
                  <w:shd w:val="clear" w:color="auto" w:fill="auto"/>
                  <w:vAlign w:val="center"/>
                </w:tcPr>
                <w:p w14:paraId="0B0C60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0.0002</w:t>
                  </w:r>
                </w:p>
              </w:tc>
            </w:tr>
            <w:tr w14:paraId="5D386E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85" w:type="dxa"/>
                  <w:tcBorders>
                    <w:tl2br w:val="nil"/>
                    <w:tr2bl w:val="nil"/>
                  </w:tcBorders>
                  <w:shd w:val="clear" w:color="auto" w:fill="auto"/>
                  <w:vAlign w:val="center"/>
                </w:tcPr>
                <w:p w14:paraId="0C7BCA45">
                  <w:pPr>
                    <w:spacing w:before="51" w:line="232"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乙醇</w:t>
                  </w:r>
                </w:p>
              </w:tc>
              <w:tc>
                <w:tcPr>
                  <w:tcW w:w="1110" w:type="dxa"/>
                  <w:vMerge w:val="continue"/>
                  <w:tcBorders>
                    <w:tl2br w:val="nil"/>
                    <w:tr2bl w:val="nil"/>
                  </w:tcBorders>
                  <w:shd w:val="clear" w:color="auto" w:fill="auto"/>
                  <w:vAlign w:val="center"/>
                </w:tcPr>
                <w:p w14:paraId="1B97B0EA">
                  <w:pPr>
                    <w:widowControl/>
                    <w:jc w:val="center"/>
                    <w:rPr>
                      <w:rFonts w:hint="default" w:ascii="Times New Roman" w:hAnsi="Times New Roman" w:eastAsia="宋体" w:cs="Times New Roman"/>
                      <w:color w:val="auto"/>
                      <w:kern w:val="0"/>
                      <w:sz w:val="21"/>
                      <w:szCs w:val="21"/>
                      <w:highlight w:val="none"/>
                      <w:lang w:val="en-US" w:eastAsia="zh-CN" w:bidi="ar-SA"/>
                    </w:rPr>
                  </w:pPr>
                </w:p>
              </w:tc>
              <w:tc>
                <w:tcPr>
                  <w:tcW w:w="1555" w:type="dxa"/>
                  <w:tcBorders>
                    <w:tl2br w:val="nil"/>
                    <w:tr2bl w:val="nil"/>
                  </w:tcBorders>
                  <w:shd w:val="clear" w:color="auto" w:fill="auto"/>
                  <w:vAlign w:val="center"/>
                </w:tcPr>
                <w:p w14:paraId="0FF7C1CD">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0.002</w:t>
                  </w:r>
                </w:p>
              </w:tc>
              <w:tc>
                <w:tcPr>
                  <w:tcW w:w="1053" w:type="dxa"/>
                  <w:tcBorders>
                    <w:tl2br w:val="nil"/>
                    <w:tr2bl w:val="nil"/>
                  </w:tcBorders>
                  <w:shd w:val="clear" w:color="auto" w:fill="auto"/>
                  <w:vAlign w:val="center"/>
                </w:tcPr>
                <w:p w14:paraId="330A2241">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500</w:t>
                  </w:r>
                </w:p>
              </w:tc>
              <w:tc>
                <w:tcPr>
                  <w:tcW w:w="1097" w:type="dxa"/>
                  <w:tcBorders>
                    <w:tl2br w:val="nil"/>
                    <w:tr2bl w:val="nil"/>
                  </w:tcBorders>
                  <w:shd w:val="clear" w:color="auto" w:fill="auto"/>
                  <w:vAlign w:val="center"/>
                </w:tcPr>
                <w:p w14:paraId="4A13BD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0.000004</w:t>
                  </w:r>
                </w:p>
              </w:tc>
            </w:tr>
            <w:tr w14:paraId="4EA3AEF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85" w:type="dxa"/>
                  <w:tcBorders>
                    <w:tl2br w:val="nil"/>
                    <w:tr2bl w:val="nil"/>
                  </w:tcBorders>
                  <w:shd w:val="clear" w:color="auto" w:fill="auto"/>
                  <w:vAlign w:val="center"/>
                </w:tcPr>
                <w:p w14:paraId="09478102">
                  <w:pPr>
                    <w:spacing w:before="53" w:line="228" w:lineRule="auto"/>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乙酸</w:t>
                  </w:r>
                </w:p>
              </w:tc>
              <w:tc>
                <w:tcPr>
                  <w:tcW w:w="1110" w:type="dxa"/>
                  <w:vMerge w:val="continue"/>
                  <w:tcBorders>
                    <w:tl2br w:val="nil"/>
                    <w:tr2bl w:val="nil"/>
                  </w:tcBorders>
                  <w:shd w:val="clear" w:color="auto" w:fill="auto"/>
                  <w:vAlign w:val="center"/>
                </w:tcPr>
                <w:p w14:paraId="4E11FFFD">
                  <w:pPr>
                    <w:widowControl/>
                    <w:jc w:val="center"/>
                    <w:rPr>
                      <w:rFonts w:hint="default" w:ascii="Times New Roman" w:hAnsi="Times New Roman" w:eastAsia="宋体" w:cs="Times New Roman"/>
                      <w:color w:val="auto"/>
                      <w:kern w:val="0"/>
                      <w:sz w:val="21"/>
                      <w:szCs w:val="21"/>
                      <w:highlight w:val="none"/>
                      <w:lang w:val="en-US" w:eastAsia="zh-CN" w:bidi="ar-SA"/>
                    </w:rPr>
                  </w:pPr>
                </w:p>
              </w:tc>
              <w:tc>
                <w:tcPr>
                  <w:tcW w:w="1555" w:type="dxa"/>
                  <w:tcBorders>
                    <w:tl2br w:val="nil"/>
                    <w:tr2bl w:val="nil"/>
                  </w:tcBorders>
                  <w:shd w:val="clear" w:color="auto" w:fill="auto"/>
                  <w:vAlign w:val="center"/>
                </w:tcPr>
                <w:p w14:paraId="2876B4A0">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0.0005</w:t>
                  </w:r>
                </w:p>
              </w:tc>
              <w:tc>
                <w:tcPr>
                  <w:tcW w:w="1053" w:type="dxa"/>
                  <w:tcBorders>
                    <w:tl2br w:val="nil"/>
                    <w:tr2bl w:val="nil"/>
                  </w:tcBorders>
                  <w:shd w:val="clear" w:color="auto" w:fill="auto"/>
                  <w:vAlign w:val="center"/>
                </w:tcPr>
                <w:p w14:paraId="3105CF43">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c>
                <w:tcPr>
                  <w:tcW w:w="1097" w:type="dxa"/>
                  <w:tcBorders>
                    <w:tl2br w:val="nil"/>
                    <w:tr2bl w:val="nil"/>
                  </w:tcBorders>
                  <w:shd w:val="clear" w:color="auto" w:fill="auto"/>
                  <w:vAlign w:val="center"/>
                </w:tcPr>
                <w:p w14:paraId="7555A5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0.00005</w:t>
                  </w:r>
                </w:p>
              </w:tc>
            </w:tr>
            <w:tr w14:paraId="716837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85" w:type="dxa"/>
                  <w:tcBorders>
                    <w:tl2br w:val="nil"/>
                    <w:tr2bl w:val="nil"/>
                  </w:tcBorders>
                  <w:shd w:val="clear" w:color="auto" w:fill="auto"/>
                  <w:vAlign w:val="center"/>
                </w:tcPr>
                <w:p w14:paraId="1C0E6416">
                  <w:pPr>
                    <w:spacing w:before="53" w:line="240" w:lineRule="auto"/>
                    <w:jc w:val="center"/>
                    <w:rPr>
                      <w:rFonts w:hint="eastAsia" w:ascii="Times New Roman" w:hAnsi="Times New Roman" w:eastAsia="宋体" w:cs="Times New Roman"/>
                      <w:color w:val="auto"/>
                      <w:spacing w:val="6"/>
                      <w:kern w:val="2"/>
                      <w:sz w:val="21"/>
                      <w:szCs w:val="21"/>
                      <w:highlight w:val="none"/>
                      <w:lang w:val="en-US" w:eastAsia="zh-CN" w:bidi="ar-SA"/>
                    </w:rPr>
                  </w:pPr>
                  <w:r>
                    <w:rPr>
                      <w:rFonts w:hint="default"/>
                      <w:color w:val="auto"/>
                      <w:spacing w:val="6"/>
                      <w:szCs w:val="21"/>
                      <w:highlight w:val="none"/>
                    </w:rPr>
                    <w:t>乙酸乙酯</w:t>
                  </w:r>
                </w:p>
              </w:tc>
              <w:tc>
                <w:tcPr>
                  <w:tcW w:w="1110" w:type="dxa"/>
                  <w:vMerge w:val="continue"/>
                  <w:tcBorders>
                    <w:tl2br w:val="nil"/>
                    <w:tr2bl w:val="nil"/>
                  </w:tcBorders>
                  <w:shd w:val="clear" w:color="auto" w:fill="auto"/>
                  <w:vAlign w:val="center"/>
                </w:tcPr>
                <w:p w14:paraId="6875BB57">
                  <w:pPr>
                    <w:widowControl/>
                    <w:jc w:val="center"/>
                    <w:rPr>
                      <w:rFonts w:hint="default" w:ascii="Times New Roman" w:hAnsi="Times New Roman" w:eastAsia="宋体" w:cs="Times New Roman"/>
                      <w:color w:val="auto"/>
                      <w:kern w:val="0"/>
                      <w:sz w:val="21"/>
                      <w:szCs w:val="21"/>
                      <w:highlight w:val="none"/>
                      <w:lang w:val="en-US" w:eastAsia="zh-CN" w:bidi="ar-SA"/>
                    </w:rPr>
                  </w:pPr>
                </w:p>
              </w:tc>
              <w:tc>
                <w:tcPr>
                  <w:tcW w:w="1555" w:type="dxa"/>
                  <w:tcBorders>
                    <w:tl2br w:val="nil"/>
                    <w:tr2bl w:val="nil"/>
                  </w:tcBorders>
                  <w:shd w:val="clear" w:color="auto" w:fill="auto"/>
                  <w:vAlign w:val="center"/>
                </w:tcPr>
                <w:p w14:paraId="06D8B218">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0.0005</w:t>
                  </w:r>
                </w:p>
              </w:tc>
              <w:tc>
                <w:tcPr>
                  <w:tcW w:w="1053" w:type="dxa"/>
                  <w:tcBorders>
                    <w:tl2br w:val="nil"/>
                    <w:tr2bl w:val="nil"/>
                  </w:tcBorders>
                  <w:shd w:val="clear" w:color="auto" w:fill="auto"/>
                  <w:vAlign w:val="center"/>
                </w:tcPr>
                <w:p w14:paraId="7F81A7D3">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10</w:t>
                  </w:r>
                </w:p>
              </w:tc>
              <w:tc>
                <w:tcPr>
                  <w:tcW w:w="1097" w:type="dxa"/>
                  <w:tcBorders>
                    <w:tl2br w:val="nil"/>
                    <w:tr2bl w:val="nil"/>
                  </w:tcBorders>
                  <w:shd w:val="clear" w:color="auto" w:fill="auto"/>
                  <w:vAlign w:val="center"/>
                </w:tcPr>
                <w:p w14:paraId="4C2B4A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0.00005</w:t>
                  </w:r>
                </w:p>
              </w:tc>
            </w:tr>
            <w:tr w14:paraId="075E56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85" w:type="dxa"/>
                  <w:tcBorders>
                    <w:tl2br w:val="nil"/>
                    <w:tr2bl w:val="nil"/>
                  </w:tcBorders>
                  <w:shd w:val="clear" w:color="auto" w:fill="auto"/>
                  <w:vAlign w:val="center"/>
                </w:tcPr>
                <w:p w14:paraId="406631F7">
                  <w:pPr>
                    <w:spacing w:before="51" w:line="240" w:lineRule="auto"/>
                    <w:jc w:val="center"/>
                    <w:rPr>
                      <w:rFonts w:hint="default" w:ascii="Times New Roman" w:hAnsi="Times New Roman" w:eastAsia="宋体" w:cs="Times New Roman"/>
                      <w:color w:val="auto"/>
                      <w:kern w:val="2"/>
                      <w:sz w:val="21"/>
                      <w:szCs w:val="21"/>
                      <w:highlight w:val="none"/>
                      <w:lang w:val="en-US" w:eastAsia="zh-CN" w:bidi="ar-SA"/>
                    </w:rPr>
                  </w:pPr>
                  <w:r>
                    <w:rPr>
                      <w:color w:val="auto"/>
                      <w:spacing w:val="-6"/>
                      <w:szCs w:val="21"/>
                      <w:highlight w:val="none"/>
                    </w:rPr>
                    <w:t>乙</w:t>
                  </w:r>
                  <w:r>
                    <w:rPr>
                      <w:color w:val="auto"/>
                      <w:spacing w:val="-5"/>
                      <w:szCs w:val="21"/>
                      <w:highlight w:val="none"/>
                    </w:rPr>
                    <w:t>醚</w:t>
                  </w:r>
                </w:p>
              </w:tc>
              <w:tc>
                <w:tcPr>
                  <w:tcW w:w="1110" w:type="dxa"/>
                  <w:vMerge w:val="continue"/>
                  <w:tcBorders>
                    <w:tl2br w:val="nil"/>
                    <w:tr2bl w:val="nil"/>
                  </w:tcBorders>
                  <w:shd w:val="clear" w:color="auto" w:fill="auto"/>
                  <w:vAlign w:val="center"/>
                </w:tcPr>
                <w:p w14:paraId="79920520">
                  <w:pPr>
                    <w:widowControl/>
                    <w:jc w:val="center"/>
                    <w:rPr>
                      <w:rFonts w:hint="default" w:ascii="Times New Roman" w:hAnsi="Times New Roman" w:eastAsia="宋体" w:cs="Times New Roman"/>
                      <w:color w:val="auto"/>
                      <w:kern w:val="0"/>
                      <w:sz w:val="21"/>
                      <w:szCs w:val="21"/>
                      <w:highlight w:val="none"/>
                      <w:lang w:val="en-US" w:eastAsia="zh-CN" w:bidi="ar-SA"/>
                    </w:rPr>
                  </w:pPr>
                </w:p>
              </w:tc>
              <w:tc>
                <w:tcPr>
                  <w:tcW w:w="1555" w:type="dxa"/>
                  <w:tcBorders>
                    <w:tl2br w:val="nil"/>
                    <w:tr2bl w:val="nil"/>
                  </w:tcBorders>
                  <w:shd w:val="clear" w:color="auto" w:fill="auto"/>
                  <w:vAlign w:val="center"/>
                </w:tcPr>
                <w:p w14:paraId="4B4B05EA">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0.0004</w:t>
                  </w:r>
                </w:p>
              </w:tc>
              <w:tc>
                <w:tcPr>
                  <w:tcW w:w="1053" w:type="dxa"/>
                  <w:tcBorders>
                    <w:tl2br w:val="nil"/>
                    <w:tr2bl w:val="nil"/>
                  </w:tcBorders>
                  <w:shd w:val="clear" w:color="auto" w:fill="auto"/>
                  <w:vAlign w:val="center"/>
                </w:tcPr>
                <w:p w14:paraId="529BA329">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10</w:t>
                  </w:r>
                </w:p>
              </w:tc>
              <w:tc>
                <w:tcPr>
                  <w:tcW w:w="1097" w:type="dxa"/>
                  <w:tcBorders>
                    <w:tl2br w:val="nil"/>
                    <w:tr2bl w:val="nil"/>
                  </w:tcBorders>
                  <w:shd w:val="clear" w:color="auto" w:fill="auto"/>
                  <w:vAlign w:val="center"/>
                </w:tcPr>
                <w:p w14:paraId="0C6915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0.00004</w:t>
                  </w:r>
                </w:p>
              </w:tc>
            </w:tr>
            <w:tr w14:paraId="4B6D83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2585" w:type="dxa"/>
                  <w:tcBorders>
                    <w:tl2br w:val="nil"/>
                    <w:tr2bl w:val="nil"/>
                  </w:tcBorders>
                  <w:shd w:val="clear" w:color="auto" w:fill="auto"/>
                  <w:vAlign w:val="center"/>
                </w:tcPr>
                <w:p w14:paraId="1334F404">
                  <w:pPr>
                    <w:spacing w:before="51" w:line="240" w:lineRule="auto"/>
                    <w:jc w:val="center"/>
                    <w:rPr>
                      <w:rFonts w:hint="default" w:ascii="Times New Roman" w:hAnsi="Times New Roman" w:eastAsia="宋体" w:cs="Times New Roman"/>
                      <w:color w:val="auto"/>
                      <w:spacing w:val="-6"/>
                      <w:kern w:val="2"/>
                      <w:sz w:val="21"/>
                      <w:szCs w:val="21"/>
                      <w:highlight w:val="none"/>
                      <w:lang w:val="en-US" w:eastAsia="zh-CN" w:bidi="ar-SA"/>
                    </w:rPr>
                  </w:pPr>
                  <w:r>
                    <w:rPr>
                      <w:rFonts w:hint="eastAsia"/>
                      <w:color w:val="auto"/>
                      <w:spacing w:val="-6"/>
                      <w:szCs w:val="21"/>
                      <w:highlight w:val="none"/>
                      <w:lang w:val="en-US" w:eastAsia="zh-CN"/>
                    </w:rPr>
                    <w:t>正己烷</w:t>
                  </w:r>
                </w:p>
              </w:tc>
              <w:tc>
                <w:tcPr>
                  <w:tcW w:w="1110" w:type="dxa"/>
                  <w:vMerge w:val="continue"/>
                  <w:tcBorders>
                    <w:tl2br w:val="nil"/>
                    <w:tr2bl w:val="nil"/>
                  </w:tcBorders>
                  <w:shd w:val="clear" w:color="auto" w:fill="auto"/>
                  <w:vAlign w:val="center"/>
                </w:tcPr>
                <w:p w14:paraId="08D6E148">
                  <w:pPr>
                    <w:widowControl/>
                    <w:jc w:val="center"/>
                    <w:rPr>
                      <w:rFonts w:hint="default" w:ascii="Times New Roman" w:hAnsi="Times New Roman" w:eastAsia="宋体" w:cs="Times New Roman"/>
                      <w:color w:val="auto"/>
                      <w:kern w:val="0"/>
                      <w:sz w:val="21"/>
                      <w:szCs w:val="21"/>
                      <w:highlight w:val="none"/>
                      <w:lang w:val="en-US" w:eastAsia="zh-CN" w:bidi="ar-SA"/>
                    </w:rPr>
                  </w:pPr>
                </w:p>
              </w:tc>
              <w:tc>
                <w:tcPr>
                  <w:tcW w:w="1555" w:type="dxa"/>
                  <w:tcBorders>
                    <w:tl2br w:val="nil"/>
                    <w:tr2bl w:val="nil"/>
                  </w:tcBorders>
                  <w:shd w:val="clear" w:color="auto" w:fill="auto"/>
                  <w:vAlign w:val="center"/>
                </w:tcPr>
                <w:p w14:paraId="6768FC57">
                  <w:pPr>
                    <w:spacing w:before="53" w:line="228" w:lineRule="auto"/>
                    <w:jc w:val="center"/>
                    <w:rPr>
                      <w:rFonts w:hint="default" w:ascii="Times New Roman" w:hAnsi="Times New Roman" w:eastAsia="宋体" w:cs="Times New Roman"/>
                      <w:color w:val="auto"/>
                      <w:spacing w:val="-4"/>
                      <w:kern w:val="2"/>
                      <w:sz w:val="21"/>
                      <w:szCs w:val="21"/>
                      <w:highlight w:val="none"/>
                      <w:lang w:val="en-US" w:eastAsia="zh-CN" w:bidi="ar-SA"/>
                    </w:rPr>
                  </w:pPr>
                  <w:r>
                    <w:rPr>
                      <w:rFonts w:hint="eastAsia" w:cs="Times New Roman"/>
                      <w:color w:val="auto"/>
                      <w:spacing w:val="-4"/>
                      <w:kern w:val="2"/>
                      <w:sz w:val="21"/>
                      <w:szCs w:val="21"/>
                      <w:highlight w:val="none"/>
                      <w:lang w:val="en-US" w:eastAsia="zh-CN" w:bidi="ar-SA"/>
                    </w:rPr>
                    <w:t>0.0053</w:t>
                  </w:r>
                </w:p>
              </w:tc>
              <w:tc>
                <w:tcPr>
                  <w:tcW w:w="1053" w:type="dxa"/>
                  <w:tcBorders>
                    <w:tl2br w:val="nil"/>
                    <w:tr2bl w:val="nil"/>
                  </w:tcBorders>
                  <w:shd w:val="clear" w:color="auto" w:fill="auto"/>
                  <w:vAlign w:val="center"/>
                </w:tcPr>
                <w:p w14:paraId="269839F2">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10</w:t>
                  </w:r>
                </w:p>
              </w:tc>
              <w:tc>
                <w:tcPr>
                  <w:tcW w:w="1097" w:type="dxa"/>
                  <w:tcBorders>
                    <w:tl2br w:val="nil"/>
                    <w:tr2bl w:val="nil"/>
                  </w:tcBorders>
                  <w:shd w:val="clear" w:color="auto" w:fill="auto"/>
                  <w:vAlign w:val="center"/>
                </w:tcPr>
                <w:p w14:paraId="5260A2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0.00053</w:t>
                  </w:r>
                </w:p>
              </w:tc>
            </w:tr>
            <w:tr w14:paraId="328466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85" w:type="dxa"/>
                  <w:tcBorders>
                    <w:tl2br w:val="nil"/>
                    <w:tr2bl w:val="nil"/>
                  </w:tcBorders>
                  <w:shd w:val="clear" w:color="auto" w:fill="auto"/>
                  <w:vAlign w:val="center"/>
                </w:tcPr>
                <w:p w14:paraId="5B041C69">
                  <w:pPr>
                    <w:spacing w:before="51" w:line="240" w:lineRule="auto"/>
                    <w:jc w:val="center"/>
                    <w:rPr>
                      <w:rFonts w:hint="eastAsia" w:ascii="Times New Roman" w:hAnsi="Times New Roman" w:eastAsia="宋体" w:cs="Times New Roman"/>
                      <w:color w:val="auto"/>
                      <w:spacing w:val="-6"/>
                      <w:kern w:val="2"/>
                      <w:sz w:val="21"/>
                      <w:szCs w:val="21"/>
                      <w:highlight w:val="none"/>
                      <w:lang w:val="en-US" w:eastAsia="zh-CN" w:bidi="ar-SA"/>
                    </w:rPr>
                  </w:pPr>
                  <w:r>
                    <w:rPr>
                      <w:rFonts w:hint="eastAsia"/>
                      <w:color w:val="auto"/>
                      <w:spacing w:val="-6"/>
                      <w:szCs w:val="21"/>
                      <w:highlight w:val="none"/>
                      <w:lang w:val="en-US" w:eastAsia="zh-CN"/>
                    </w:rPr>
                    <w:t>丙酮</w:t>
                  </w:r>
                </w:p>
              </w:tc>
              <w:tc>
                <w:tcPr>
                  <w:tcW w:w="1110" w:type="dxa"/>
                  <w:vMerge w:val="continue"/>
                  <w:tcBorders>
                    <w:tl2br w:val="nil"/>
                    <w:tr2bl w:val="nil"/>
                  </w:tcBorders>
                  <w:shd w:val="clear" w:color="auto" w:fill="auto"/>
                  <w:vAlign w:val="center"/>
                </w:tcPr>
                <w:p w14:paraId="0AA9FC12">
                  <w:pPr>
                    <w:widowControl/>
                    <w:jc w:val="center"/>
                    <w:rPr>
                      <w:rFonts w:hint="default" w:ascii="Times New Roman" w:hAnsi="Times New Roman" w:eastAsia="宋体" w:cs="Times New Roman"/>
                      <w:color w:val="auto"/>
                      <w:kern w:val="0"/>
                      <w:sz w:val="21"/>
                      <w:szCs w:val="21"/>
                      <w:highlight w:val="none"/>
                      <w:lang w:val="en-US" w:eastAsia="zh-CN" w:bidi="ar-SA"/>
                    </w:rPr>
                  </w:pPr>
                </w:p>
              </w:tc>
              <w:tc>
                <w:tcPr>
                  <w:tcW w:w="1555" w:type="dxa"/>
                  <w:tcBorders>
                    <w:tl2br w:val="nil"/>
                    <w:tr2bl w:val="nil"/>
                  </w:tcBorders>
                  <w:shd w:val="clear" w:color="auto" w:fill="auto"/>
                  <w:vAlign w:val="center"/>
                </w:tcPr>
                <w:p w14:paraId="79A747FD">
                  <w:pPr>
                    <w:spacing w:before="53" w:line="228" w:lineRule="auto"/>
                    <w:jc w:val="center"/>
                    <w:rPr>
                      <w:rFonts w:hint="default" w:eastAsia="宋体"/>
                      <w:color w:val="auto"/>
                      <w:spacing w:val="-4"/>
                      <w:szCs w:val="21"/>
                      <w:highlight w:val="none"/>
                      <w:lang w:val="en-US" w:eastAsia="zh-CN"/>
                    </w:rPr>
                  </w:pPr>
                  <w:r>
                    <w:rPr>
                      <w:rFonts w:hint="eastAsia"/>
                      <w:color w:val="auto"/>
                      <w:spacing w:val="-4"/>
                      <w:szCs w:val="21"/>
                      <w:highlight w:val="none"/>
                      <w:lang w:val="en-US" w:eastAsia="zh-CN"/>
                    </w:rPr>
                    <w:t>0.0063</w:t>
                  </w:r>
                </w:p>
              </w:tc>
              <w:tc>
                <w:tcPr>
                  <w:tcW w:w="1053" w:type="dxa"/>
                  <w:tcBorders>
                    <w:tl2br w:val="nil"/>
                    <w:tr2bl w:val="nil"/>
                  </w:tcBorders>
                  <w:shd w:val="clear" w:color="auto" w:fill="auto"/>
                  <w:vAlign w:val="center"/>
                </w:tcPr>
                <w:p w14:paraId="793F43DE">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10</w:t>
                  </w:r>
                </w:p>
              </w:tc>
              <w:tc>
                <w:tcPr>
                  <w:tcW w:w="1097" w:type="dxa"/>
                  <w:tcBorders>
                    <w:tl2br w:val="nil"/>
                    <w:tr2bl w:val="nil"/>
                  </w:tcBorders>
                  <w:shd w:val="clear" w:color="auto" w:fill="auto"/>
                  <w:vAlign w:val="center"/>
                </w:tcPr>
                <w:p w14:paraId="58BAE0B2">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0.00063</w:t>
                  </w:r>
                </w:p>
              </w:tc>
            </w:tr>
            <w:tr w14:paraId="628F4D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85" w:type="dxa"/>
                  <w:tcBorders>
                    <w:tl2br w:val="nil"/>
                    <w:tr2bl w:val="nil"/>
                  </w:tcBorders>
                  <w:shd w:val="clear" w:color="auto" w:fill="auto"/>
                  <w:vAlign w:val="center"/>
                </w:tcPr>
                <w:p w14:paraId="24D90473">
                  <w:pPr>
                    <w:widowControl/>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铬酸钾</w:t>
                  </w:r>
                </w:p>
              </w:tc>
              <w:tc>
                <w:tcPr>
                  <w:tcW w:w="1110" w:type="dxa"/>
                  <w:vMerge w:val="continue"/>
                  <w:tcBorders>
                    <w:tl2br w:val="nil"/>
                    <w:tr2bl w:val="nil"/>
                  </w:tcBorders>
                  <w:shd w:val="clear" w:color="auto" w:fill="auto"/>
                  <w:vAlign w:val="center"/>
                </w:tcPr>
                <w:p w14:paraId="1BEB96FB">
                  <w:pPr>
                    <w:widowControl/>
                    <w:jc w:val="center"/>
                    <w:rPr>
                      <w:rFonts w:hint="default" w:ascii="Times New Roman" w:hAnsi="Times New Roman" w:eastAsia="宋体" w:cs="Times New Roman"/>
                      <w:color w:val="auto"/>
                      <w:kern w:val="0"/>
                      <w:sz w:val="21"/>
                      <w:szCs w:val="21"/>
                      <w:highlight w:val="none"/>
                      <w:lang w:val="en-US" w:eastAsia="zh-CN" w:bidi="ar-SA"/>
                    </w:rPr>
                  </w:pPr>
                </w:p>
              </w:tc>
              <w:tc>
                <w:tcPr>
                  <w:tcW w:w="1555" w:type="dxa"/>
                  <w:tcBorders>
                    <w:tl2br w:val="nil"/>
                    <w:tr2bl w:val="nil"/>
                  </w:tcBorders>
                  <w:shd w:val="clear" w:color="auto" w:fill="auto"/>
                  <w:vAlign w:val="center"/>
                </w:tcPr>
                <w:p w14:paraId="58A0E665">
                  <w:pPr>
                    <w:spacing w:before="53" w:line="228" w:lineRule="auto"/>
                    <w:jc w:val="center"/>
                    <w:rPr>
                      <w:rFonts w:hint="default" w:eastAsia="宋体"/>
                      <w:color w:val="auto"/>
                      <w:spacing w:val="-4"/>
                      <w:szCs w:val="21"/>
                      <w:highlight w:val="none"/>
                      <w:lang w:val="en-US" w:eastAsia="zh-CN"/>
                    </w:rPr>
                  </w:pPr>
                  <w:r>
                    <w:rPr>
                      <w:rFonts w:hint="eastAsia" w:eastAsia="宋体"/>
                      <w:color w:val="auto"/>
                      <w:spacing w:val="-4"/>
                      <w:szCs w:val="21"/>
                      <w:highlight w:val="none"/>
                      <w:lang w:val="en-US" w:eastAsia="zh-CN"/>
                    </w:rPr>
                    <w:t>0.001</w:t>
                  </w:r>
                </w:p>
              </w:tc>
              <w:tc>
                <w:tcPr>
                  <w:tcW w:w="1053" w:type="dxa"/>
                  <w:tcBorders>
                    <w:tl2br w:val="nil"/>
                    <w:tr2bl w:val="nil"/>
                  </w:tcBorders>
                  <w:shd w:val="clear" w:color="auto" w:fill="auto"/>
                  <w:vAlign w:val="center"/>
                </w:tcPr>
                <w:p w14:paraId="10D1304E">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0.25</w:t>
                  </w:r>
                </w:p>
              </w:tc>
              <w:tc>
                <w:tcPr>
                  <w:tcW w:w="1097" w:type="dxa"/>
                  <w:tcBorders>
                    <w:tl2br w:val="nil"/>
                    <w:tr2bl w:val="nil"/>
                  </w:tcBorders>
                  <w:shd w:val="clear" w:color="auto" w:fill="auto"/>
                  <w:vAlign w:val="center"/>
                </w:tcPr>
                <w:p w14:paraId="177EE3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0.004</w:t>
                  </w:r>
                </w:p>
              </w:tc>
            </w:tr>
            <w:tr w14:paraId="55A3B0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85" w:type="dxa"/>
                  <w:tcBorders>
                    <w:tl2br w:val="nil"/>
                    <w:tr2bl w:val="nil"/>
                  </w:tcBorders>
                  <w:shd w:val="clear" w:color="auto" w:fill="auto"/>
                  <w:vAlign w:val="center"/>
                </w:tcPr>
                <w:p w14:paraId="3F0D7CAB">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COD</w:t>
                  </w:r>
                  <w:r>
                    <w:rPr>
                      <w:rFonts w:hint="default" w:ascii="Times New Roman" w:hAnsi="Times New Roman" w:eastAsia="宋体" w:cs="Times New Roman"/>
                      <w:color w:val="auto"/>
                      <w:kern w:val="0"/>
                      <w:szCs w:val="21"/>
                      <w:highlight w:val="none"/>
                      <w:vertAlign w:val="subscript"/>
                      <w:lang w:val="en-US" w:eastAsia="zh-CN"/>
                    </w:rPr>
                    <w:t>Cr</w:t>
                  </w:r>
                  <w:r>
                    <w:rPr>
                      <w:rFonts w:hint="default" w:ascii="Times New Roman" w:hAnsi="Times New Roman" w:eastAsia="宋体" w:cs="Times New Roman"/>
                      <w:color w:val="auto"/>
                      <w:kern w:val="0"/>
                      <w:szCs w:val="21"/>
                      <w:highlight w:val="none"/>
                      <w:lang w:val="en-US" w:eastAsia="zh-CN"/>
                    </w:rPr>
                    <w:t>大于10000mg/L的废液</w:t>
                  </w:r>
                </w:p>
              </w:tc>
              <w:tc>
                <w:tcPr>
                  <w:tcW w:w="1110" w:type="dxa"/>
                  <w:vMerge w:val="continue"/>
                  <w:tcBorders>
                    <w:tl2br w:val="nil"/>
                    <w:tr2bl w:val="nil"/>
                  </w:tcBorders>
                  <w:shd w:val="clear" w:color="auto" w:fill="auto"/>
                  <w:vAlign w:val="center"/>
                </w:tcPr>
                <w:p w14:paraId="27A826B4">
                  <w:pPr>
                    <w:widowControl/>
                    <w:jc w:val="center"/>
                    <w:rPr>
                      <w:rFonts w:hint="default" w:ascii="Times New Roman" w:hAnsi="Times New Roman" w:eastAsia="宋体" w:cs="Times New Roman"/>
                      <w:color w:val="auto"/>
                      <w:kern w:val="0"/>
                      <w:sz w:val="21"/>
                      <w:szCs w:val="21"/>
                      <w:highlight w:val="none"/>
                      <w:lang w:val="en-US" w:eastAsia="zh-CN" w:bidi="ar-SA"/>
                    </w:rPr>
                  </w:pPr>
                </w:p>
              </w:tc>
              <w:tc>
                <w:tcPr>
                  <w:tcW w:w="1555" w:type="dxa"/>
                  <w:tcBorders>
                    <w:tl2br w:val="nil"/>
                    <w:tr2bl w:val="nil"/>
                  </w:tcBorders>
                  <w:shd w:val="clear" w:color="auto" w:fill="auto"/>
                  <w:vAlign w:val="center"/>
                </w:tcPr>
                <w:p w14:paraId="12CAEF0C">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1.42</w:t>
                  </w:r>
                </w:p>
              </w:tc>
              <w:tc>
                <w:tcPr>
                  <w:tcW w:w="1053" w:type="dxa"/>
                  <w:tcBorders>
                    <w:tl2br w:val="nil"/>
                    <w:tr2bl w:val="nil"/>
                  </w:tcBorders>
                  <w:shd w:val="clear" w:color="auto" w:fill="auto"/>
                  <w:vAlign w:val="center"/>
                </w:tcPr>
                <w:p w14:paraId="3ADAAEF7">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50</w:t>
                  </w:r>
                </w:p>
              </w:tc>
              <w:tc>
                <w:tcPr>
                  <w:tcW w:w="1097" w:type="dxa"/>
                  <w:tcBorders>
                    <w:tl2br w:val="nil"/>
                    <w:tr2bl w:val="nil"/>
                  </w:tcBorders>
                  <w:shd w:val="clear" w:color="auto" w:fill="auto"/>
                  <w:vAlign w:val="center"/>
                </w:tcPr>
                <w:p w14:paraId="46020E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0.0284</w:t>
                  </w:r>
                </w:p>
              </w:tc>
            </w:tr>
            <w:tr w14:paraId="1D2648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9" w:hRule="atLeast"/>
                <w:jc w:val="center"/>
              </w:trPr>
              <w:tc>
                <w:tcPr>
                  <w:tcW w:w="6303" w:type="dxa"/>
                  <w:gridSpan w:val="4"/>
                  <w:tcBorders>
                    <w:tl2br w:val="nil"/>
                    <w:tr2bl w:val="nil"/>
                  </w:tcBorders>
                  <w:shd w:val="clear" w:color="auto" w:fill="auto"/>
                  <w:vAlign w:val="center"/>
                </w:tcPr>
                <w:p w14:paraId="08CBA4A2">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2"/>
                      <w:sz w:val="18"/>
                      <w:szCs w:val="18"/>
                      <w:lang w:val="en-US" w:eastAsia="zh-CN" w:bidi="ar-SA"/>
                    </w:rPr>
                    <w:t>合计</w:t>
                  </w:r>
                </w:p>
              </w:tc>
              <w:tc>
                <w:tcPr>
                  <w:tcW w:w="1097" w:type="dxa"/>
                  <w:tcBorders>
                    <w:tl2br w:val="nil"/>
                    <w:tr2bl w:val="nil"/>
                  </w:tcBorders>
                  <w:shd w:val="clear" w:color="auto" w:fill="auto"/>
                  <w:vAlign w:val="center"/>
                </w:tcPr>
                <w:p w14:paraId="32A06A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0.03526</w:t>
                  </w:r>
                </w:p>
              </w:tc>
            </w:tr>
            <w:tr w14:paraId="56BDEB8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9" w:hRule="atLeast"/>
                <w:jc w:val="center"/>
              </w:trPr>
              <w:tc>
                <w:tcPr>
                  <w:tcW w:w="7400" w:type="dxa"/>
                  <w:gridSpan w:val="5"/>
                  <w:tcBorders>
                    <w:tl2br w:val="nil"/>
                    <w:tr2bl w:val="nil"/>
                  </w:tcBorders>
                  <w:shd w:val="clear" w:color="auto" w:fill="auto"/>
                  <w:vAlign w:val="center"/>
                </w:tcPr>
                <w:p w14:paraId="02F433E3">
                  <w:pPr>
                    <w:keepNext w:val="0"/>
                    <w:keepLines w:val="0"/>
                    <w:widowControl/>
                    <w:suppressLineNumbers w:val="0"/>
                    <w:jc w:val="both"/>
                    <w:textAlignment w:val="center"/>
                    <w:rPr>
                      <w:rFonts w:hint="default"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vertAlign w:val="baseline"/>
                      <w:lang w:val="en-US" w:eastAsia="zh-CN"/>
                    </w:rPr>
                    <w:t>注：</w:t>
                  </w:r>
                  <w:r>
                    <w:rPr>
                      <w:rFonts w:hint="default" w:ascii="Times New Roman" w:hAnsi="Times New Roman" w:eastAsia="宋体" w:cs="Times New Roman"/>
                      <w:color w:val="auto"/>
                      <w:sz w:val="21"/>
                      <w:szCs w:val="21"/>
                      <w:highlight w:val="none"/>
                      <w:vertAlign w:val="baseline"/>
                    </w:rPr>
                    <w:t>COD</w:t>
                  </w:r>
                  <w:r>
                    <w:rPr>
                      <w:rFonts w:hint="default" w:ascii="Times New Roman" w:hAnsi="Times New Roman" w:eastAsia="宋体" w:cs="Times New Roman"/>
                      <w:color w:val="auto"/>
                      <w:sz w:val="21"/>
                      <w:szCs w:val="21"/>
                      <w:highlight w:val="none"/>
                      <w:vertAlign w:val="subscript"/>
                    </w:rPr>
                    <w:t>Cr</w:t>
                  </w:r>
                  <w:r>
                    <w:rPr>
                      <w:rFonts w:hint="default" w:ascii="Times New Roman" w:hAnsi="Times New Roman" w:eastAsia="宋体" w:cs="Times New Roman"/>
                      <w:color w:val="auto"/>
                      <w:sz w:val="21"/>
                      <w:szCs w:val="21"/>
                      <w:highlight w:val="none"/>
                      <w:vertAlign w:val="baseline"/>
                    </w:rPr>
                    <w:t>大于10000mg/L的废液</w:t>
                  </w:r>
                  <w:r>
                    <w:rPr>
                      <w:rFonts w:hint="eastAsia" w:ascii="Times New Roman" w:hAnsi="Times New Roman" w:eastAsia="宋体" w:cs="Times New Roman"/>
                      <w:color w:val="auto"/>
                      <w:sz w:val="21"/>
                      <w:szCs w:val="21"/>
                      <w:highlight w:val="none"/>
                      <w:vertAlign w:val="baseline"/>
                      <w:lang w:val="en-US" w:eastAsia="zh-CN"/>
                    </w:rPr>
                    <w:t>是项目产生的废试剂、检测废液、清洗废液、废样品等液态危险废物。</w:t>
                  </w:r>
                </w:p>
              </w:tc>
            </w:tr>
          </w:tbl>
          <w:p w14:paraId="50390C7C">
            <w:pPr>
              <w:adjustRightInd w:val="0"/>
              <w:spacing w:line="360" w:lineRule="auto"/>
              <w:ind w:firstLine="465"/>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根据《建设项目环境风险评价技术导则》（HJ</w:t>
            </w:r>
            <w:r>
              <w:rPr>
                <w:rFonts w:hint="default" w:ascii="Times New Roman" w:hAnsi="Times New Roman" w:eastAsia="宋体" w:cs="Times New Roman"/>
                <w:bCs/>
                <w:snapToGrid w:val="0"/>
                <w:color w:val="auto"/>
                <w:kern w:val="0"/>
                <w:sz w:val="24"/>
                <w:highlight w:val="none"/>
                <w:lang w:val="en-US" w:eastAsia="zh-CN"/>
              </w:rPr>
              <w:t xml:space="preserve"> </w:t>
            </w:r>
            <w:r>
              <w:rPr>
                <w:rFonts w:hint="default" w:ascii="Times New Roman" w:hAnsi="Times New Roman" w:eastAsia="宋体" w:cs="Times New Roman"/>
                <w:bCs/>
                <w:snapToGrid w:val="0"/>
                <w:color w:val="auto"/>
                <w:kern w:val="0"/>
                <w:sz w:val="24"/>
                <w:highlight w:val="none"/>
              </w:rPr>
              <w:t>169-2018）附录C，当存在多种危险物质时，应按式（C.1）计算物质总量与其临界量的比值（Q）:</w:t>
            </w:r>
          </w:p>
          <w:p w14:paraId="05C9D666">
            <w:pPr>
              <w:adjustRightInd w:val="0"/>
              <w:spacing w:line="360" w:lineRule="auto"/>
              <w:ind w:firstLine="465"/>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fldChar w:fldCharType="begin"/>
            </w:r>
            <w:r>
              <w:rPr>
                <w:rFonts w:hint="default" w:ascii="Times New Roman" w:hAnsi="Times New Roman" w:eastAsia="宋体" w:cs="Times New Roman"/>
                <w:bCs/>
                <w:snapToGrid w:val="0"/>
                <w:color w:val="auto"/>
                <w:kern w:val="0"/>
                <w:sz w:val="24"/>
                <w:highlight w:val="none"/>
              </w:rPr>
              <w:instrText xml:space="preserve"> INCLUDEPICTURE  "C:\\Users\\Administrator\\AppData\\Roaming\\Tencent\\Users\\106562794\\QQ\\WinTemp\\RichOle\\3[HA_)5@93(CJOQJQ(ZBZ59.png" \* MERGEFORMATINET </w:instrText>
            </w:r>
            <w:r>
              <w:rPr>
                <w:rFonts w:hint="default" w:ascii="Times New Roman" w:hAnsi="Times New Roman" w:eastAsia="宋体" w:cs="Times New Roman"/>
                <w:bCs/>
                <w:snapToGrid w:val="0"/>
                <w:color w:val="auto"/>
                <w:kern w:val="0"/>
                <w:sz w:val="24"/>
                <w:highlight w:val="none"/>
              </w:rPr>
              <w:fldChar w:fldCharType="separate"/>
            </w:r>
            <w:r>
              <w:rPr>
                <w:rFonts w:hint="default" w:ascii="Times New Roman" w:hAnsi="Times New Roman" w:eastAsia="宋体" w:cs="Times New Roman"/>
                <w:bCs/>
                <w:snapToGrid w:val="0"/>
                <w:color w:val="auto"/>
                <w:kern w:val="0"/>
                <w:sz w:val="24"/>
                <w:highlight w:val="none"/>
              </w:rPr>
              <w:fldChar w:fldCharType="begin"/>
            </w:r>
            <w:r>
              <w:rPr>
                <w:rFonts w:hint="default" w:ascii="Times New Roman" w:hAnsi="Times New Roman" w:eastAsia="宋体" w:cs="Times New Roman"/>
                <w:bCs/>
                <w:snapToGrid w:val="0"/>
                <w:color w:val="auto"/>
                <w:kern w:val="0"/>
                <w:sz w:val="24"/>
                <w:highlight w:val="none"/>
              </w:rPr>
              <w:instrText xml:space="preserve"> INCLUDEPICTURE  "C:\\Users\\Administrator\\AppData\\Roaming\\Tencent\\Users\\106562794\\QQ\\WinTemp\\RichOle\\3[HA_)5@93(CJOQJQ(ZBZ59.png" \* MERGEFORMATINET </w:instrText>
            </w:r>
            <w:r>
              <w:rPr>
                <w:rFonts w:hint="default" w:ascii="Times New Roman" w:hAnsi="Times New Roman" w:eastAsia="宋体" w:cs="Times New Roman"/>
                <w:bCs/>
                <w:snapToGrid w:val="0"/>
                <w:color w:val="auto"/>
                <w:kern w:val="0"/>
                <w:sz w:val="24"/>
                <w:highlight w:val="none"/>
              </w:rPr>
              <w:fldChar w:fldCharType="separate"/>
            </w:r>
            <w:r>
              <w:rPr>
                <w:rFonts w:hint="default" w:ascii="Times New Roman" w:hAnsi="Times New Roman" w:eastAsia="宋体" w:cs="Times New Roman"/>
                <w:bCs/>
                <w:snapToGrid w:val="0"/>
                <w:color w:val="auto"/>
                <w:kern w:val="0"/>
                <w:sz w:val="24"/>
                <w:highlight w:val="none"/>
              </w:rPr>
              <w:drawing>
                <wp:inline distT="0" distB="0" distL="114300" distR="114300">
                  <wp:extent cx="4343400" cy="1211580"/>
                  <wp:effectExtent l="0" t="0" r="0" b="7620"/>
                  <wp:docPr id="1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4"/>
                          <pic:cNvPicPr>
                            <a:picLocks noChangeAspect="1"/>
                          </pic:cNvPicPr>
                        </pic:nvPicPr>
                        <pic:blipFill>
                          <a:blip r:embed="rId24" r:link="rId25"/>
                          <a:stretch>
                            <a:fillRect/>
                          </a:stretch>
                        </pic:blipFill>
                        <pic:spPr>
                          <a:xfrm>
                            <a:off x="0" y="0"/>
                            <a:ext cx="4343400" cy="1211580"/>
                          </a:xfrm>
                          <a:prstGeom prst="rect">
                            <a:avLst/>
                          </a:prstGeom>
                          <a:noFill/>
                          <a:ln>
                            <a:noFill/>
                          </a:ln>
                        </pic:spPr>
                      </pic:pic>
                    </a:graphicData>
                  </a:graphic>
                </wp:inline>
              </w:drawing>
            </w:r>
            <w:r>
              <w:rPr>
                <w:rFonts w:hint="default" w:ascii="Times New Roman" w:hAnsi="Times New Roman" w:eastAsia="宋体" w:cs="Times New Roman"/>
                <w:bCs/>
                <w:snapToGrid w:val="0"/>
                <w:color w:val="auto"/>
                <w:kern w:val="0"/>
                <w:sz w:val="24"/>
                <w:highlight w:val="none"/>
              </w:rPr>
              <w:fldChar w:fldCharType="end"/>
            </w:r>
            <w:r>
              <w:rPr>
                <w:rFonts w:hint="default" w:ascii="Times New Roman" w:hAnsi="Times New Roman" w:eastAsia="宋体" w:cs="Times New Roman"/>
                <w:bCs/>
                <w:snapToGrid w:val="0"/>
                <w:color w:val="auto"/>
                <w:kern w:val="0"/>
                <w:sz w:val="24"/>
                <w:highlight w:val="none"/>
              </w:rPr>
              <w:fldChar w:fldCharType="end"/>
            </w:r>
          </w:p>
          <w:p w14:paraId="77417A87">
            <w:pPr>
              <w:adjustRightInd w:val="0"/>
              <w:spacing w:line="360" w:lineRule="auto"/>
              <w:ind w:firstLine="465"/>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通过计算，本项目危险物质总量与其临界量的比值Q=0.</w:t>
            </w:r>
            <w:r>
              <w:rPr>
                <w:rFonts w:hint="eastAsia" w:cs="Times New Roman"/>
                <w:bCs/>
                <w:snapToGrid w:val="0"/>
                <w:color w:val="auto"/>
                <w:kern w:val="0"/>
                <w:sz w:val="24"/>
                <w:highlight w:val="none"/>
                <w:lang w:val="en-US" w:eastAsia="zh-CN"/>
              </w:rPr>
              <w:t>03526</w:t>
            </w:r>
            <w:bookmarkStart w:id="3" w:name="_GoBack"/>
            <w:bookmarkEnd w:id="3"/>
            <w:r>
              <w:rPr>
                <w:rFonts w:hint="default" w:ascii="Times New Roman" w:hAnsi="Times New Roman" w:eastAsia="宋体" w:cs="Times New Roman"/>
                <w:bCs/>
                <w:snapToGrid w:val="0"/>
                <w:color w:val="auto"/>
                <w:kern w:val="0"/>
                <w:sz w:val="24"/>
                <w:highlight w:val="none"/>
              </w:rPr>
              <w:t>＜1，因此不需要设置风险专项。</w:t>
            </w:r>
          </w:p>
          <w:p w14:paraId="4F429960">
            <w:pPr>
              <w:adjustRightInd w:val="0"/>
              <w:spacing w:line="360" w:lineRule="auto"/>
              <w:ind w:firstLine="465"/>
              <w:rPr>
                <w:rFonts w:hint="default" w:ascii="Times New Roman" w:hAnsi="Times New Roman" w:eastAsia="宋体" w:cs="Times New Roman"/>
                <w:b w:val="0"/>
                <w:bCs w:val="0"/>
                <w:color w:val="auto"/>
                <w:spacing w:val="-4"/>
                <w:kern w:val="0"/>
                <w:sz w:val="24"/>
                <w:highlight w:val="none"/>
              </w:rPr>
            </w:pPr>
            <w:r>
              <w:rPr>
                <w:rFonts w:hint="default" w:ascii="Times New Roman" w:hAnsi="Times New Roman" w:eastAsia="宋体" w:cs="Times New Roman"/>
                <w:b w:val="0"/>
                <w:bCs w:val="0"/>
                <w:color w:val="auto"/>
                <w:spacing w:val="-4"/>
                <w:kern w:val="0"/>
                <w:sz w:val="24"/>
                <w:highlight w:val="none"/>
              </w:rPr>
              <w:t>（2）环境风险</w:t>
            </w:r>
            <w:r>
              <w:rPr>
                <w:rFonts w:hint="default" w:ascii="Times New Roman" w:hAnsi="Times New Roman" w:eastAsia="宋体" w:cs="Times New Roman"/>
                <w:b w:val="0"/>
                <w:bCs w:val="0"/>
                <w:color w:val="auto"/>
                <w:spacing w:val="-4"/>
                <w:kern w:val="0"/>
                <w:sz w:val="24"/>
                <w:highlight w:val="none"/>
                <w:lang w:val="en-US" w:eastAsia="zh-CN"/>
              </w:rPr>
              <w:t>源分布情况及</w:t>
            </w:r>
            <w:r>
              <w:rPr>
                <w:rFonts w:hint="default" w:ascii="Times New Roman" w:hAnsi="Times New Roman" w:eastAsia="宋体" w:cs="Times New Roman"/>
                <w:b w:val="0"/>
                <w:bCs w:val="0"/>
                <w:color w:val="auto"/>
                <w:spacing w:val="-4"/>
                <w:kern w:val="0"/>
                <w:sz w:val="24"/>
                <w:highlight w:val="none"/>
              </w:rPr>
              <w:t>影响途径</w:t>
            </w:r>
          </w:p>
          <w:p w14:paraId="0ED028E3">
            <w:pPr>
              <w:adjustRightInd w:val="0"/>
              <w:spacing w:line="360" w:lineRule="auto"/>
              <w:ind w:firstLine="465"/>
              <w:rPr>
                <w:rFonts w:hint="default" w:ascii="Times New Roman" w:hAnsi="Times New Roman" w:eastAsia="宋体" w:cs="Times New Roman"/>
                <w:bCs/>
                <w:snapToGrid w:val="0"/>
                <w:color w:val="auto"/>
                <w:kern w:val="0"/>
                <w:sz w:val="24"/>
                <w:highlight w:val="none"/>
                <w:lang w:val="en-US" w:eastAsia="zh-CN"/>
              </w:rPr>
            </w:pPr>
            <w:r>
              <w:rPr>
                <w:rFonts w:hint="default" w:ascii="Times New Roman" w:hAnsi="Times New Roman" w:eastAsia="宋体" w:cs="Times New Roman"/>
                <w:bCs/>
                <w:snapToGrid w:val="0"/>
                <w:color w:val="auto"/>
                <w:kern w:val="0"/>
                <w:sz w:val="24"/>
                <w:highlight w:val="none"/>
                <w:lang w:val="en-US" w:eastAsia="zh-CN"/>
              </w:rPr>
              <w:t>本项目风险物质主要包括</w:t>
            </w:r>
            <w:r>
              <w:rPr>
                <w:rFonts w:hint="eastAsia" w:cs="Times New Roman"/>
                <w:bCs/>
                <w:snapToGrid w:val="0"/>
                <w:color w:val="auto"/>
                <w:kern w:val="0"/>
                <w:sz w:val="24"/>
                <w:highlight w:val="none"/>
                <w:lang w:val="en-US" w:eastAsia="zh-CN"/>
              </w:rPr>
              <w:t>贮存</w:t>
            </w:r>
            <w:r>
              <w:rPr>
                <w:rFonts w:hint="default" w:ascii="Times New Roman" w:hAnsi="Times New Roman" w:eastAsia="宋体" w:cs="Times New Roman"/>
                <w:bCs/>
                <w:snapToGrid w:val="0"/>
                <w:color w:val="auto"/>
                <w:kern w:val="0"/>
                <w:sz w:val="24"/>
                <w:highlight w:val="none"/>
                <w:lang w:val="en-US" w:eastAsia="zh-CN"/>
              </w:rPr>
              <w:t>的化学</w:t>
            </w:r>
            <w:r>
              <w:rPr>
                <w:rFonts w:hint="eastAsia" w:cs="Times New Roman"/>
                <w:bCs/>
                <w:snapToGrid w:val="0"/>
                <w:color w:val="auto"/>
                <w:kern w:val="0"/>
                <w:sz w:val="24"/>
                <w:highlight w:val="none"/>
                <w:lang w:val="en-US" w:eastAsia="zh-CN"/>
              </w:rPr>
              <w:t>物品</w:t>
            </w:r>
            <w:r>
              <w:rPr>
                <w:rFonts w:hint="default" w:ascii="Times New Roman" w:hAnsi="Times New Roman" w:eastAsia="宋体" w:cs="Times New Roman"/>
                <w:bCs/>
                <w:snapToGrid w:val="0"/>
                <w:color w:val="auto"/>
                <w:kern w:val="0"/>
                <w:sz w:val="24"/>
                <w:highlight w:val="none"/>
                <w:lang w:val="en-US" w:eastAsia="zh-CN"/>
              </w:rPr>
              <w:t>和实验室产生的危险废物。风险物质在</w:t>
            </w:r>
            <w:r>
              <w:rPr>
                <w:rFonts w:hint="eastAsia" w:cs="Times New Roman"/>
                <w:bCs/>
                <w:snapToGrid w:val="0"/>
                <w:color w:val="auto"/>
                <w:kern w:val="0"/>
                <w:sz w:val="24"/>
                <w:highlight w:val="none"/>
                <w:lang w:val="en-US" w:eastAsia="zh-CN"/>
              </w:rPr>
              <w:t>使用、贮存</w:t>
            </w:r>
            <w:r>
              <w:rPr>
                <w:rFonts w:hint="default" w:ascii="Times New Roman" w:hAnsi="Times New Roman" w:eastAsia="宋体" w:cs="Times New Roman"/>
                <w:bCs/>
                <w:snapToGrid w:val="0"/>
                <w:color w:val="auto"/>
                <w:kern w:val="0"/>
                <w:sz w:val="24"/>
                <w:highlight w:val="none"/>
                <w:lang w:val="en-US" w:eastAsia="zh-CN"/>
              </w:rPr>
              <w:t>、转运过程中存在的风险，若</w:t>
            </w:r>
            <w:r>
              <w:rPr>
                <w:rFonts w:hint="eastAsia" w:cs="Times New Roman"/>
                <w:bCs/>
                <w:snapToGrid w:val="0"/>
                <w:color w:val="auto"/>
                <w:kern w:val="0"/>
                <w:sz w:val="24"/>
                <w:highlight w:val="none"/>
                <w:lang w:val="en-US" w:eastAsia="zh-CN"/>
              </w:rPr>
              <w:t>操作不当、</w:t>
            </w:r>
            <w:r>
              <w:rPr>
                <w:rFonts w:hint="default" w:ascii="Times New Roman" w:hAnsi="Times New Roman" w:eastAsia="宋体" w:cs="Times New Roman"/>
                <w:bCs/>
                <w:snapToGrid w:val="0"/>
                <w:color w:val="auto"/>
                <w:kern w:val="0"/>
                <w:sz w:val="24"/>
                <w:highlight w:val="none"/>
                <w:lang w:val="en-US" w:eastAsia="zh-CN"/>
              </w:rPr>
              <w:t>未采取相应措施，可能会影响</w:t>
            </w:r>
            <w:r>
              <w:rPr>
                <w:rFonts w:hint="eastAsia" w:cs="Times New Roman"/>
                <w:bCs/>
                <w:snapToGrid w:val="0"/>
                <w:color w:val="auto"/>
                <w:kern w:val="0"/>
                <w:sz w:val="24"/>
                <w:highlight w:val="none"/>
                <w:lang w:val="en-US" w:eastAsia="zh-CN"/>
              </w:rPr>
              <w:t>周边</w:t>
            </w:r>
            <w:r>
              <w:rPr>
                <w:rFonts w:hint="default" w:ascii="Times New Roman" w:hAnsi="Times New Roman" w:eastAsia="宋体" w:cs="Times New Roman"/>
                <w:bCs/>
                <w:snapToGrid w:val="0"/>
                <w:color w:val="auto"/>
                <w:kern w:val="0"/>
                <w:sz w:val="24"/>
                <w:highlight w:val="none"/>
                <w:lang w:val="en-US" w:eastAsia="zh-CN"/>
              </w:rPr>
              <w:t>环境、人群健康等。本项目风险源分布情况及可能影响环境的途径见下表。</w:t>
            </w:r>
          </w:p>
          <w:p w14:paraId="75C60260">
            <w:pPr>
              <w:numPr>
                <w:ilvl w:val="0"/>
                <w:numId w:val="40"/>
              </w:numPr>
              <w:adjustRightInd w:val="0"/>
              <w:spacing w:line="360" w:lineRule="auto"/>
              <w:ind w:left="425" w:leftChars="0" w:hanging="425" w:firstLineChars="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kern w:val="0"/>
                <w:sz w:val="24"/>
                <w:szCs w:val="24"/>
                <w:lang w:val="en-US" w:eastAsia="zh-CN" w:bidi="ar"/>
              </w:rPr>
              <w:t>风险源分布及危险性分析一览表</w:t>
            </w:r>
          </w:p>
          <w:tbl>
            <w:tblPr>
              <w:tblStyle w:val="24"/>
              <w:tblW w:w="7568"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1516"/>
              <w:gridCol w:w="1495"/>
              <w:gridCol w:w="3110"/>
            </w:tblGrid>
            <w:tr w14:paraId="44648A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7" w:type="dxa"/>
                  <w:tcBorders>
                    <w:tl2br w:val="nil"/>
                    <w:tr2bl w:val="nil"/>
                  </w:tcBorders>
                  <w:vAlign w:val="center"/>
                </w:tcPr>
                <w:p w14:paraId="32E5DFBE">
                  <w:pPr>
                    <w:keepNext w:val="0"/>
                    <w:keepLines w:val="0"/>
                    <w:widowControl/>
                    <w:suppressLineNumbers w:val="0"/>
                    <w:ind w:firstLine="211" w:firstLineChars="100"/>
                    <w:jc w:val="center"/>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lang w:val="en-US" w:eastAsia="zh-CN" w:bidi="ar"/>
                    </w:rPr>
                    <w:t>风险物质</w:t>
                  </w:r>
                </w:p>
              </w:tc>
              <w:tc>
                <w:tcPr>
                  <w:tcW w:w="1516" w:type="dxa"/>
                  <w:tcBorders>
                    <w:tl2br w:val="nil"/>
                    <w:tr2bl w:val="nil"/>
                  </w:tcBorders>
                  <w:vAlign w:val="center"/>
                </w:tcPr>
                <w:p w14:paraId="522DB61A">
                  <w:pPr>
                    <w:keepNext w:val="0"/>
                    <w:keepLines w:val="0"/>
                    <w:widowControl/>
                    <w:suppressLineNumbers w:val="0"/>
                    <w:ind w:firstLine="211" w:firstLineChars="100"/>
                    <w:jc w:val="center"/>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lang w:val="en-US" w:eastAsia="zh-CN" w:bidi="ar"/>
                    </w:rPr>
                    <w:t>分布情况</w:t>
                  </w:r>
                </w:p>
              </w:tc>
              <w:tc>
                <w:tcPr>
                  <w:tcW w:w="1495" w:type="dxa"/>
                  <w:tcBorders>
                    <w:tl2br w:val="nil"/>
                    <w:tr2bl w:val="nil"/>
                  </w:tcBorders>
                  <w:vAlign w:val="center"/>
                </w:tcPr>
                <w:p w14:paraId="57D5DA54">
                  <w:pPr>
                    <w:numPr>
                      <w:ilvl w:val="0"/>
                      <w:numId w:val="0"/>
                    </w:numPr>
                    <w:adjustRightInd w:val="0"/>
                    <w:spacing w:line="360" w:lineRule="auto"/>
                    <w:jc w:val="center"/>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lang w:val="en-US" w:eastAsia="zh-CN" w:bidi="ar"/>
                    </w:rPr>
                    <w:t>产生事故模式</w:t>
                  </w:r>
                </w:p>
              </w:tc>
              <w:tc>
                <w:tcPr>
                  <w:tcW w:w="3110" w:type="dxa"/>
                  <w:tcBorders>
                    <w:tl2br w:val="nil"/>
                    <w:tr2bl w:val="nil"/>
                  </w:tcBorders>
                  <w:vAlign w:val="center"/>
                </w:tcPr>
                <w:p w14:paraId="757750E4">
                  <w:pPr>
                    <w:keepNext w:val="0"/>
                    <w:keepLines w:val="0"/>
                    <w:widowControl/>
                    <w:suppressLineNumbers w:val="0"/>
                    <w:ind w:firstLine="632" w:firstLineChars="300"/>
                    <w:jc w:val="center"/>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lang w:val="en-US" w:eastAsia="zh-CN" w:bidi="ar"/>
                    </w:rPr>
                    <w:t>影响环境的</w:t>
                  </w:r>
                  <w:r>
                    <w:rPr>
                      <w:rFonts w:hint="eastAsia" w:ascii="Times New Roman" w:hAnsi="Times New Roman" w:eastAsia="宋体" w:cs="Times New Roman"/>
                      <w:b/>
                      <w:bCs/>
                      <w:color w:val="auto"/>
                      <w:kern w:val="0"/>
                      <w:sz w:val="21"/>
                      <w:szCs w:val="21"/>
                      <w:lang w:val="en-US" w:eastAsia="zh-CN" w:bidi="ar"/>
                    </w:rPr>
                    <w:t>途径</w:t>
                  </w:r>
                </w:p>
              </w:tc>
            </w:tr>
            <w:tr w14:paraId="20F4C4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7" w:type="dxa"/>
                  <w:vMerge w:val="restart"/>
                  <w:tcBorders>
                    <w:tl2br w:val="nil"/>
                    <w:tr2bl w:val="nil"/>
                  </w:tcBorders>
                  <w:vAlign w:val="center"/>
                </w:tcPr>
                <w:p w14:paraId="0F7B0194">
                  <w:pPr>
                    <w:keepNext w:val="0"/>
                    <w:keepLines w:val="0"/>
                    <w:widowControl/>
                    <w:suppressLineNumbers w:val="0"/>
                    <w:ind w:firstLine="210" w:firstLineChars="100"/>
                    <w:jc w:val="center"/>
                    <w:rPr>
                      <w:rFonts w:hint="default" w:ascii="Times New Roman" w:hAnsi="Times New Roman" w:eastAsia="宋体" w:cs="Times New Roman"/>
                      <w:color w:val="auto"/>
                    </w:rPr>
                  </w:pPr>
                  <w:r>
                    <w:rPr>
                      <w:rFonts w:hint="eastAsia" w:cs="Times New Roman"/>
                      <w:color w:val="auto"/>
                      <w:kern w:val="0"/>
                      <w:sz w:val="21"/>
                      <w:szCs w:val="21"/>
                      <w:lang w:val="en-US" w:eastAsia="zh-CN" w:bidi="ar"/>
                    </w:rPr>
                    <w:t>化学物品、</w:t>
                  </w:r>
                  <w:r>
                    <w:rPr>
                      <w:rFonts w:hint="default" w:ascii="Times New Roman" w:hAnsi="Times New Roman" w:eastAsia="宋体" w:cs="Times New Roman"/>
                      <w:color w:val="auto"/>
                      <w:kern w:val="0"/>
                      <w:sz w:val="21"/>
                      <w:szCs w:val="21"/>
                      <w:lang w:val="en-US" w:eastAsia="zh-CN" w:bidi="ar"/>
                    </w:rPr>
                    <w:t>危险废物</w:t>
                  </w:r>
                </w:p>
                <w:p w14:paraId="106727B8">
                  <w:pPr>
                    <w:numPr>
                      <w:ilvl w:val="0"/>
                      <w:numId w:val="0"/>
                    </w:numPr>
                    <w:adjustRightInd w:val="0"/>
                    <w:spacing w:line="360" w:lineRule="auto"/>
                    <w:jc w:val="center"/>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p>
              </w:tc>
              <w:tc>
                <w:tcPr>
                  <w:tcW w:w="1516" w:type="dxa"/>
                  <w:vMerge w:val="restart"/>
                  <w:tcBorders>
                    <w:tl2br w:val="nil"/>
                    <w:tr2bl w:val="nil"/>
                  </w:tcBorders>
                  <w:vAlign w:val="center"/>
                </w:tcPr>
                <w:p w14:paraId="5E6689F1">
                  <w:pPr>
                    <w:keepNext w:val="0"/>
                    <w:keepLines w:val="0"/>
                    <w:widowControl/>
                    <w:suppressLineNumbers w:val="0"/>
                    <w:jc w:val="left"/>
                    <w:rPr>
                      <w:rFonts w:hint="eastAsia" w:cs="Times New Roman"/>
                      <w:color w:val="auto"/>
                      <w:kern w:val="0"/>
                      <w:sz w:val="21"/>
                      <w:szCs w:val="21"/>
                      <w:lang w:val="en-US" w:eastAsia="zh-CN" w:bidi="ar"/>
                    </w:rPr>
                  </w:pPr>
                  <w:r>
                    <w:rPr>
                      <w:rFonts w:hint="eastAsia" w:cs="Times New Roman"/>
                      <w:color w:val="auto"/>
                      <w:kern w:val="0"/>
                      <w:sz w:val="21"/>
                      <w:szCs w:val="21"/>
                      <w:lang w:val="en-US" w:eastAsia="zh-CN" w:bidi="ar"/>
                    </w:rPr>
                    <w:t>2-4层</w:t>
                  </w:r>
                  <w:r>
                    <w:rPr>
                      <w:rFonts w:hint="default" w:ascii="Times New Roman" w:hAnsi="Times New Roman" w:eastAsia="宋体" w:cs="Times New Roman"/>
                      <w:color w:val="auto"/>
                      <w:kern w:val="0"/>
                      <w:sz w:val="21"/>
                      <w:szCs w:val="21"/>
                      <w:lang w:val="en-US" w:eastAsia="zh-CN" w:bidi="ar"/>
                    </w:rPr>
                    <w:t>实验室</w:t>
                  </w:r>
                  <w:r>
                    <w:rPr>
                      <w:rFonts w:hint="eastAsia" w:cs="Times New Roman"/>
                      <w:color w:val="auto"/>
                      <w:kern w:val="0"/>
                      <w:sz w:val="21"/>
                      <w:szCs w:val="21"/>
                      <w:lang w:val="en-US" w:eastAsia="zh-CN" w:bidi="ar"/>
                    </w:rPr>
                    <w:t>、</w:t>
                  </w:r>
                </w:p>
                <w:p w14:paraId="3299E9B8">
                  <w:pPr>
                    <w:keepNext w:val="0"/>
                    <w:keepLines w:val="0"/>
                    <w:widowControl/>
                    <w:suppressLineNumbers w:val="0"/>
                    <w:jc w:val="left"/>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eastAsia" w:cs="Times New Roman"/>
                      <w:color w:val="auto"/>
                      <w:kern w:val="0"/>
                      <w:sz w:val="21"/>
                      <w:szCs w:val="21"/>
                      <w:lang w:val="en-US" w:eastAsia="zh-CN" w:bidi="ar"/>
                    </w:rPr>
                    <w:t>危险废物</w:t>
                  </w:r>
                  <w:r>
                    <w:rPr>
                      <w:rFonts w:hint="default" w:ascii="Times New Roman" w:hAnsi="Times New Roman" w:eastAsia="宋体" w:cs="Times New Roman"/>
                      <w:color w:val="auto"/>
                      <w:kern w:val="0"/>
                      <w:sz w:val="21"/>
                      <w:szCs w:val="21"/>
                      <w:lang w:val="en-US" w:eastAsia="zh-CN" w:bidi="ar"/>
                    </w:rPr>
                    <w:t>暂存间</w:t>
                  </w:r>
                  <w:r>
                    <w:rPr>
                      <w:rFonts w:hint="eastAsia" w:cs="Times New Roman"/>
                      <w:color w:val="auto"/>
                      <w:kern w:val="0"/>
                      <w:sz w:val="21"/>
                      <w:szCs w:val="21"/>
                      <w:lang w:val="en-US" w:eastAsia="zh-CN" w:bidi="ar"/>
                    </w:rPr>
                    <w:t>、试剂室、易制毒室、标物室。</w:t>
                  </w:r>
                </w:p>
              </w:tc>
              <w:tc>
                <w:tcPr>
                  <w:tcW w:w="1495" w:type="dxa"/>
                  <w:tcBorders>
                    <w:tl2br w:val="nil"/>
                    <w:tr2bl w:val="nil"/>
                  </w:tcBorders>
                  <w:vAlign w:val="center"/>
                </w:tcPr>
                <w:p w14:paraId="78028846">
                  <w:pPr>
                    <w:numPr>
                      <w:ilvl w:val="0"/>
                      <w:numId w:val="0"/>
                    </w:numPr>
                    <w:adjustRightInd w:val="0"/>
                    <w:spacing w:line="360" w:lineRule="auto"/>
                    <w:jc w:val="center"/>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泄露</w:t>
                  </w:r>
                </w:p>
              </w:tc>
              <w:tc>
                <w:tcPr>
                  <w:tcW w:w="3110" w:type="dxa"/>
                  <w:tcBorders>
                    <w:tl2br w:val="nil"/>
                    <w:tr2bl w:val="nil"/>
                  </w:tcBorders>
                  <w:vAlign w:val="center"/>
                </w:tcPr>
                <w:p w14:paraId="77275E3C">
                  <w:pPr>
                    <w:keepNext w:val="0"/>
                    <w:keepLines w:val="0"/>
                    <w:widowControl/>
                    <w:suppressLineNumbers w:val="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21"/>
                      <w:szCs w:val="21"/>
                      <w:lang w:val="en-US" w:eastAsia="zh-CN" w:bidi="ar"/>
                    </w:rPr>
                    <w:t>①化学品、危险废物泄漏，挥发性化学物质污染大气环境。</w:t>
                  </w:r>
                </w:p>
                <w:p w14:paraId="6196AAB1">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lang w:val="en-US" w:eastAsia="zh-CN" w:bidi="ar"/>
                    </w:rPr>
                    <w:t>②化学品、危险废物泄漏，污染地表水、地下水、土壤环境。</w:t>
                  </w:r>
                </w:p>
              </w:tc>
            </w:tr>
            <w:tr w14:paraId="146BD3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7" w:type="dxa"/>
                  <w:vMerge w:val="continue"/>
                  <w:tcBorders>
                    <w:tl2br w:val="nil"/>
                    <w:tr2bl w:val="nil"/>
                  </w:tcBorders>
                  <w:vAlign w:val="center"/>
                </w:tcPr>
                <w:p w14:paraId="77507C33">
                  <w:pPr>
                    <w:numPr>
                      <w:ilvl w:val="0"/>
                      <w:numId w:val="0"/>
                    </w:numPr>
                    <w:adjustRightInd w:val="0"/>
                    <w:spacing w:line="360" w:lineRule="auto"/>
                    <w:jc w:val="center"/>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p>
              </w:tc>
              <w:tc>
                <w:tcPr>
                  <w:tcW w:w="1516" w:type="dxa"/>
                  <w:vMerge w:val="continue"/>
                  <w:tcBorders>
                    <w:tl2br w:val="nil"/>
                    <w:tr2bl w:val="nil"/>
                  </w:tcBorders>
                  <w:vAlign w:val="center"/>
                </w:tcPr>
                <w:p w14:paraId="6771FBA7">
                  <w:pPr>
                    <w:numPr>
                      <w:ilvl w:val="0"/>
                      <w:numId w:val="0"/>
                    </w:numPr>
                    <w:adjustRightInd w:val="0"/>
                    <w:spacing w:line="360" w:lineRule="auto"/>
                    <w:jc w:val="center"/>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p>
              </w:tc>
              <w:tc>
                <w:tcPr>
                  <w:tcW w:w="1495" w:type="dxa"/>
                  <w:tcBorders>
                    <w:tl2br w:val="nil"/>
                    <w:tr2bl w:val="nil"/>
                  </w:tcBorders>
                  <w:vAlign w:val="center"/>
                </w:tcPr>
                <w:p w14:paraId="11C31DBB">
                  <w:pPr>
                    <w:numPr>
                      <w:ilvl w:val="0"/>
                      <w:numId w:val="0"/>
                    </w:numPr>
                    <w:adjustRightInd w:val="0"/>
                    <w:spacing w:line="360" w:lineRule="auto"/>
                    <w:jc w:val="center"/>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火灾</w:t>
                  </w:r>
                  <w:r>
                    <w:rPr>
                      <w:rFonts w:hint="eastAsia" w:cs="Times New Roman"/>
                      <w:b w:val="0"/>
                      <w:bCs w:val="0"/>
                      <w:snapToGrid w:val="0"/>
                      <w:color w:val="auto"/>
                      <w:kern w:val="0"/>
                      <w:sz w:val="21"/>
                      <w:szCs w:val="21"/>
                      <w:highlight w:val="none"/>
                      <w:vertAlign w:val="baseline"/>
                      <w:lang w:val="en-US" w:eastAsia="zh-CN"/>
                    </w:rPr>
                    <w:t>、</w:t>
                  </w: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爆炸</w:t>
                  </w:r>
                </w:p>
              </w:tc>
              <w:tc>
                <w:tcPr>
                  <w:tcW w:w="3110" w:type="dxa"/>
                  <w:tcBorders>
                    <w:tl2br w:val="nil"/>
                    <w:tr2bl w:val="nil"/>
                  </w:tcBorders>
                  <w:vAlign w:val="center"/>
                </w:tcPr>
                <w:p w14:paraId="1369EDD2">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lang w:val="en-US" w:eastAsia="zh-CN" w:bidi="ar"/>
                    </w:rPr>
                    <w:t>化学品泄漏，遇明火，引起火灾、爆炸事故，火灾、爆炸时伴生烟雾进入大气环境</w:t>
                  </w:r>
                  <w:r>
                    <w:rPr>
                      <w:rFonts w:hint="eastAsia" w:cs="Times New Roman"/>
                      <w:color w:val="auto"/>
                      <w:kern w:val="0"/>
                      <w:sz w:val="21"/>
                      <w:szCs w:val="21"/>
                      <w:lang w:val="en-US" w:eastAsia="zh-CN" w:bidi="ar"/>
                    </w:rPr>
                    <w:t>污染大气</w:t>
                  </w:r>
                  <w:r>
                    <w:rPr>
                      <w:rFonts w:hint="default" w:ascii="Times New Roman" w:hAnsi="Times New Roman" w:eastAsia="宋体" w:cs="Times New Roman"/>
                      <w:color w:val="auto"/>
                      <w:kern w:val="0"/>
                      <w:sz w:val="21"/>
                      <w:szCs w:val="21"/>
                      <w:lang w:val="en-US" w:eastAsia="zh-CN" w:bidi="ar"/>
                    </w:rPr>
                    <w:t>，次生的消防废水进入</w:t>
                  </w:r>
                  <w:r>
                    <w:rPr>
                      <w:rFonts w:hint="eastAsia" w:cs="Times New Roman"/>
                      <w:color w:val="auto"/>
                      <w:kern w:val="0"/>
                      <w:sz w:val="21"/>
                      <w:szCs w:val="21"/>
                      <w:lang w:val="en-US" w:eastAsia="zh-CN" w:bidi="ar"/>
                    </w:rPr>
                    <w:t>水体污染</w:t>
                  </w:r>
                  <w:r>
                    <w:rPr>
                      <w:rFonts w:hint="default" w:ascii="Times New Roman" w:hAnsi="Times New Roman" w:eastAsia="宋体" w:cs="Times New Roman"/>
                      <w:color w:val="auto"/>
                      <w:kern w:val="0"/>
                      <w:sz w:val="21"/>
                      <w:szCs w:val="21"/>
                      <w:lang w:val="en-US" w:eastAsia="zh-CN" w:bidi="ar"/>
                    </w:rPr>
                    <w:t>水环境</w:t>
                  </w:r>
                  <w:r>
                    <w:rPr>
                      <w:rFonts w:hint="eastAsia" w:cs="Times New Roman"/>
                      <w:color w:val="auto"/>
                      <w:kern w:val="0"/>
                      <w:sz w:val="21"/>
                      <w:szCs w:val="21"/>
                      <w:lang w:val="en-US" w:eastAsia="zh-CN" w:bidi="ar"/>
                    </w:rPr>
                    <w:t>、进入土壤或渗入地下污染地下水或土壤</w:t>
                  </w:r>
                  <w:r>
                    <w:rPr>
                      <w:rFonts w:hint="default" w:ascii="Times New Roman" w:hAnsi="Times New Roman" w:eastAsia="宋体" w:cs="Times New Roman"/>
                      <w:color w:val="auto"/>
                      <w:kern w:val="0"/>
                      <w:sz w:val="21"/>
                      <w:szCs w:val="21"/>
                      <w:lang w:val="en-US" w:eastAsia="zh-CN" w:bidi="ar"/>
                    </w:rPr>
                    <w:t>等。</w:t>
                  </w:r>
                </w:p>
              </w:tc>
            </w:tr>
          </w:tbl>
          <w:p w14:paraId="395E8242">
            <w:pPr>
              <w:adjustRightInd w:val="0"/>
              <w:spacing w:line="360" w:lineRule="auto"/>
              <w:ind w:firstLine="465"/>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本项目环境风险可能影响的途径如下：</w:t>
            </w:r>
          </w:p>
          <w:p w14:paraId="618F8CE6">
            <w:pPr>
              <w:numPr>
                <w:ilvl w:val="0"/>
                <w:numId w:val="48"/>
              </w:num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泄漏：</w:t>
            </w:r>
            <w:r>
              <w:rPr>
                <w:rFonts w:hint="eastAsia" w:cs="Times New Roman"/>
                <w:bCs/>
                <w:snapToGrid w:val="0"/>
                <w:color w:val="auto"/>
                <w:kern w:val="0"/>
                <w:sz w:val="24"/>
                <w:highlight w:val="none"/>
                <w:lang w:val="en-US" w:eastAsia="zh-CN"/>
              </w:rPr>
              <w:t>试剂室、易制毒室、标物室贮存的危险化学品、危险废物暂存间贮存的危险废物在操作不当或遇其他事故时发生泄露，如果收集、拦截、吸附不及时，泄露液体进入周边环境污染土壤、地表水、地下水，挥发性物质挥发污染大气环境，同时对周边人员健康造成不良影响</w:t>
            </w:r>
            <w:r>
              <w:rPr>
                <w:rFonts w:hint="default" w:ascii="Times New Roman" w:hAnsi="Times New Roman" w:eastAsia="宋体" w:cs="Times New Roman"/>
                <w:bCs/>
                <w:snapToGrid w:val="0"/>
                <w:color w:val="auto"/>
                <w:kern w:val="0"/>
                <w:sz w:val="24"/>
                <w:highlight w:val="none"/>
              </w:rPr>
              <w:t>。</w:t>
            </w:r>
          </w:p>
          <w:p w14:paraId="34240ED3">
            <w:pPr>
              <w:numPr>
                <w:ilvl w:val="0"/>
                <w:numId w:val="48"/>
              </w:num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火灾</w:t>
            </w:r>
            <w:r>
              <w:rPr>
                <w:rFonts w:hint="eastAsia" w:cs="Times New Roman"/>
                <w:bCs/>
                <w:snapToGrid w:val="0"/>
                <w:color w:val="auto"/>
                <w:kern w:val="0"/>
                <w:sz w:val="24"/>
                <w:highlight w:val="none"/>
                <w:lang w:eastAsia="zh-CN"/>
              </w:rPr>
              <w:t>、</w:t>
            </w:r>
            <w:r>
              <w:rPr>
                <w:rFonts w:hint="eastAsia" w:cs="Times New Roman"/>
                <w:bCs/>
                <w:snapToGrid w:val="0"/>
                <w:color w:val="auto"/>
                <w:kern w:val="0"/>
                <w:sz w:val="24"/>
                <w:highlight w:val="none"/>
                <w:lang w:val="en-US" w:eastAsia="zh-CN"/>
              </w:rPr>
              <w:t>爆炸</w:t>
            </w:r>
            <w:r>
              <w:rPr>
                <w:rFonts w:hint="default" w:ascii="Times New Roman" w:hAnsi="Times New Roman" w:eastAsia="宋体" w:cs="Times New Roman"/>
                <w:bCs/>
                <w:snapToGrid w:val="0"/>
                <w:color w:val="auto"/>
                <w:kern w:val="0"/>
                <w:sz w:val="24"/>
                <w:highlight w:val="none"/>
              </w:rPr>
              <w:t>：本项目乙醇、</w:t>
            </w:r>
            <w:r>
              <w:rPr>
                <w:rFonts w:hint="eastAsia" w:cs="Times New Roman"/>
                <w:bCs/>
                <w:snapToGrid w:val="0"/>
                <w:color w:val="auto"/>
                <w:kern w:val="0"/>
                <w:sz w:val="24"/>
                <w:highlight w:val="none"/>
                <w:lang w:val="en-US" w:eastAsia="zh-CN"/>
              </w:rPr>
              <w:t>乙醚</w:t>
            </w:r>
            <w:r>
              <w:rPr>
                <w:rFonts w:hint="default" w:ascii="Times New Roman" w:hAnsi="Times New Roman" w:eastAsia="宋体" w:cs="Times New Roman"/>
                <w:bCs/>
                <w:snapToGrid w:val="0"/>
                <w:color w:val="auto"/>
                <w:kern w:val="0"/>
                <w:sz w:val="24"/>
                <w:highlight w:val="none"/>
                <w:lang w:val="en-US" w:eastAsia="zh-CN"/>
              </w:rPr>
              <w:t>、</w:t>
            </w:r>
            <w:r>
              <w:rPr>
                <w:rFonts w:hint="eastAsia" w:cs="Times New Roman"/>
                <w:bCs/>
                <w:snapToGrid w:val="0"/>
                <w:color w:val="auto"/>
                <w:kern w:val="0"/>
                <w:sz w:val="24"/>
                <w:highlight w:val="none"/>
                <w:lang w:val="en-US" w:eastAsia="zh-CN"/>
              </w:rPr>
              <w:t>乙酸乙酯、甲苯、甲醇等试剂、部分</w:t>
            </w:r>
            <w:r>
              <w:rPr>
                <w:rFonts w:hint="default" w:ascii="Times New Roman" w:hAnsi="Times New Roman" w:eastAsia="宋体" w:cs="Times New Roman"/>
                <w:bCs/>
                <w:snapToGrid w:val="0"/>
                <w:color w:val="auto"/>
                <w:kern w:val="0"/>
                <w:sz w:val="24"/>
                <w:highlight w:val="none"/>
              </w:rPr>
              <w:t>实验废液</w:t>
            </w:r>
            <w:r>
              <w:rPr>
                <w:rFonts w:hint="eastAsia" w:cs="Times New Roman"/>
                <w:bCs/>
                <w:snapToGrid w:val="0"/>
                <w:color w:val="auto"/>
                <w:kern w:val="0"/>
                <w:sz w:val="24"/>
                <w:highlight w:val="none"/>
                <w:lang w:eastAsia="zh-CN"/>
              </w:rPr>
              <w:t>、</w:t>
            </w:r>
            <w:r>
              <w:rPr>
                <w:rFonts w:hint="eastAsia" w:cs="Times New Roman"/>
                <w:bCs/>
                <w:snapToGrid w:val="0"/>
                <w:color w:val="auto"/>
                <w:kern w:val="0"/>
                <w:sz w:val="24"/>
                <w:highlight w:val="none"/>
                <w:lang w:val="en-US" w:eastAsia="zh-CN"/>
              </w:rPr>
              <w:t>实验过程的实验试液</w:t>
            </w:r>
            <w:r>
              <w:rPr>
                <w:rFonts w:hint="default" w:ascii="Times New Roman" w:hAnsi="Times New Roman" w:eastAsia="宋体" w:cs="Times New Roman"/>
                <w:bCs/>
                <w:snapToGrid w:val="0"/>
                <w:color w:val="auto"/>
                <w:kern w:val="0"/>
                <w:sz w:val="24"/>
                <w:highlight w:val="none"/>
              </w:rPr>
              <w:t>遇高温、高热、明火易引起燃烧而引发火灾</w:t>
            </w:r>
            <w:r>
              <w:rPr>
                <w:rFonts w:hint="eastAsia" w:cs="Times New Roman"/>
                <w:bCs/>
                <w:snapToGrid w:val="0"/>
                <w:color w:val="auto"/>
                <w:kern w:val="0"/>
                <w:sz w:val="24"/>
                <w:highlight w:val="none"/>
                <w:lang w:val="en-US" w:eastAsia="zh-CN"/>
              </w:rPr>
              <w:t>或爆炸</w:t>
            </w:r>
            <w:r>
              <w:rPr>
                <w:rFonts w:hint="default" w:ascii="Times New Roman" w:hAnsi="Times New Roman" w:eastAsia="宋体" w:cs="Times New Roman"/>
                <w:bCs/>
                <w:snapToGrid w:val="0"/>
                <w:color w:val="auto"/>
                <w:kern w:val="0"/>
                <w:sz w:val="24"/>
                <w:highlight w:val="none"/>
              </w:rPr>
              <w:t>，</w:t>
            </w:r>
            <w:r>
              <w:rPr>
                <w:rFonts w:hint="eastAsia" w:cs="Times New Roman"/>
                <w:bCs/>
                <w:snapToGrid w:val="0"/>
                <w:color w:val="auto"/>
                <w:kern w:val="0"/>
                <w:sz w:val="24"/>
                <w:highlight w:val="none"/>
                <w:lang w:val="en-US" w:eastAsia="zh-CN"/>
              </w:rPr>
              <w:t>部分设备在操作不当引发事故可能</w:t>
            </w:r>
            <w:r>
              <w:rPr>
                <w:rFonts w:hint="default" w:ascii="Times New Roman" w:hAnsi="Times New Roman" w:eastAsia="宋体" w:cs="Times New Roman"/>
                <w:bCs/>
                <w:snapToGrid w:val="0"/>
                <w:color w:val="auto"/>
                <w:kern w:val="0"/>
                <w:sz w:val="24"/>
                <w:highlight w:val="none"/>
              </w:rPr>
              <w:t>引发火灾，</w:t>
            </w:r>
            <w:r>
              <w:rPr>
                <w:rFonts w:hint="eastAsia" w:cs="Times New Roman"/>
                <w:bCs/>
                <w:snapToGrid w:val="0"/>
                <w:color w:val="auto"/>
                <w:kern w:val="0"/>
                <w:sz w:val="24"/>
                <w:highlight w:val="none"/>
                <w:lang w:val="en-US" w:eastAsia="zh-CN"/>
              </w:rPr>
              <w:t>火灾</w:t>
            </w:r>
            <w:r>
              <w:rPr>
                <w:rFonts w:hint="default" w:ascii="Times New Roman" w:hAnsi="Times New Roman" w:eastAsia="宋体" w:cs="Times New Roman"/>
                <w:bCs/>
                <w:snapToGrid w:val="0"/>
                <w:color w:val="auto"/>
                <w:kern w:val="0"/>
                <w:sz w:val="24"/>
                <w:highlight w:val="none"/>
              </w:rPr>
              <w:t>次生污染物主要为CO、烟尘，会对环境空气带来污染。CO、烟尘等扩散到实验室外，会对厂区周边一定区域内的居民身体健康造成影响。</w:t>
            </w:r>
          </w:p>
          <w:p w14:paraId="23C82985">
            <w:pPr>
              <w:numPr>
                <w:ilvl w:val="0"/>
                <w:numId w:val="48"/>
              </w:num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eastAsia" w:cs="Times New Roman"/>
                <w:bCs/>
                <w:snapToGrid w:val="0"/>
                <w:color w:val="auto"/>
                <w:kern w:val="0"/>
                <w:sz w:val="24"/>
                <w:highlight w:val="none"/>
                <w:lang w:val="en-US" w:eastAsia="zh-CN"/>
              </w:rPr>
              <w:t>操作事故：本项目危险废物类别较多，如果操作不当，不相容危险废物在一起可能发生放热、释放气体或其他事故等。</w:t>
            </w:r>
          </w:p>
          <w:p w14:paraId="263C562B">
            <w:pPr>
              <w:numPr>
                <w:ilvl w:val="0"/>
                <w:numId w:val="48"/>
              </w:numPr>
              <w:adjustRightInd w:val="0"/>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bCs/>
                <w:snapToGrid w:val="0"/>
                <w:color w:val="auto"/>
                <w:kern w:val="0"/>
                <w:sz w:val="24"/>
                <w:highlight w:val="none"/>
              </w:rPr>
              <w:t>火灾</w:t>
            </w:r>
            <w:r>
              <w:rPr>
                <w:rFonts w:hint="eastAsia" w:cs="Times New Roman"/>
                <w:bCs/>
                <w:snapToGrid w:val="0"/>
                <w:color w:val="auto"/>
                <w:kern w:val="0"/>
                <w:sz w:val="24"/>
                <w:highlight w:val="none"/>
                <w:lang w:eastAsia="zh-CN"/>
              </w:rPr>
              <w:t>、</w:t>
            </w:r>
            <w:r>
              <w:rPr>
                <w:rFonts w:hint="eastAsia" w:cs="Times New Roman"/>
                <w:bCs/>
                <w:snapToGrid w:val="0"/>
                <w:color w:val="auto"/>
                <w:kern w:val="0"/>
                <w:sz w:val="24"/>
                <w:highlight w:val="none"/>
                <w:lang w:val="en-US" w:eastAsia="zh-CN"/>
              </w:rPr>
              <w:t>爆炸等</w:t>
            </w:r>
            <w:r>
              <w:rPr>
                <w:rFonts w:hint="default" w:ascii="Times New Roman" w:hAnsi="Times New Roman" w:eastAsia="宋体" w:cs="Times New Roman"/>
                <w:bCs/>
                <w:snapToGrid w:val="0"/>
                <w:color w:val="auto"/>
                <w:kern w:val="0"/>
                <w:sz w:val="24"/>
                <w:highlight w:val="none"/>
              </w:rPr>
              <w:t>事故次生含水环境风险物质的消防废水，可能会经雨水排放</w:t>
            </w:r>
            <w:r>
              <w:rPr>
                <w:rFonts w:hint="eastAsia" w:cs="Times New Roman"/>
                <w:bCs/>
                <w:snapToGrid w:val="0"/>
                <w:color w:val="auto"/>
                <w:kern w:val="0"/>
                <w:sz w:val="24"/>
                <w:highlight w:val="none"/>
                <w:lang w:val="en-US" w:eastAsia="zh-CN"/>
              </w:rPr>
              <w:t>系统</w:t>
            </w:r>
            <w:r>
              <w:rPr>
                <w:rFonts w:hint="default" w:ascii="Times New Roman" w:hAnsi="Times New Roman" w:eastAsia="宋体" w:cs="Times New Roman"/>
                <w:bCs/>
                <w:snapToGrid w:val="0"/>
                <w:color w:val="auto"/>
                <w:kern w:val="0"/>
                <w:sz w:val="24"/>
                <w:highlight w:val="none"/>
              </w:rPr>
              <w:t>进入</w:t>
            </w:r>
            <w:r>
              <w:rPr>
                <w:rFonts w:hint="eastAsia" w:cs="Times New Roman"/>
                <w:bCs/>
                <w:snapToGrid w:val="0"/>
                <w:color w:val="auto"/>
                <w:kern w:val="0"/>
                <w:sz w:val="24"/>
                <w:highlight w:val="none"/>
                <w:lang w:val="en-US" w:eastAsia="zh-CN"/>
              </w:rPr>
              <w:t>地表水环境污染地表水、进入土壤或渗入地下污染土壤或地下水</w:t>
            </w:r>
            <w:r>
              <w:rPr>
                <w:rFonts w:hint="default" w:ascii="Times New Roman" w:hAnsi="Times New Roman" w:eastAsia="宋体" w:cs="Times New Roman"/>
                <w:bCs/>
                <w:snapToGrid w:val="0"/>
                <w:color w:val="auto"/>
                <w:kern w:val="0"/>
                <w:sz w:val="24"/>
                <w:highlight w:val="none"/>
              </w:rPr>
              <w:t>。</w:t>
            </w:r>
          </w:p>
          <w:p w14:paraId="3C832BA9">
            <w:pPr>
              <w:adjustRightInd w:val="0"/>
              <w:spacing w:line="360" w:lineRule="auto"/>
              <w:ind w:firstLine="465"/>
              <w:rPr>
                <w:rFonts w:hint="default" w:ascii="Times New Roman" w:hAnsi="Times New Roman" w:eastAsia="宋体" w:cs="Times New Roman"/>
                <w:b w:val="0"/>
                <w:bCs/>
                <w:color w:val="auto"/>
                <w:spacing w:val="-2"/>
                <w:sz w:val="24"/>
                <w:szCs w:val="32"/>
                <w:highlight w:val="none"/>
              </w:rPr>
            </w:pPr>
            <w:r>
              <w:rPr>
                <w:rFonts w:hint="default" w:ascii="Times New Roman" w:hAnsi="Times New Roman" w:eastAsia="宋体" w:cs="Times New Roman"/>
                <w:b w:val="0"/>
                <w:bCs/>
                <w:snapToGrid w:val="0"/>
                <w:color w:val="auto"/>
                <w:kern w:val="0"/>
                <w:sz w:val="24"/>
                <w:highlight w:val="none"/>
              </w:rPr>
              <w:t>（3）</w:t>
            </w:r>
            <w:r>
              <w:rPr>
                <w:rFonts w:hint="default" w:ascii="Times New Roman" w:hAnsi="Times New Roman" w:eastAsia="宋体" w:cs="Times New Roman"/>
                <w:b w:val="0"/>
                <w:bCs/>
                <w:color w:val="auto"/>
                <w:spacing w:val="-2"/>
                <w:sz w:val="24"/>
                <w:szCs w:val="32"/>
                <w:highlight w:val="none"/>
              </w:rPr>
              <w:t>环境风险防范措施</w:t>
            </w:r>
          </w:p>
          <w:p w14:paraId="09A19D79">
            <w:pPr>
              <w:widowControl/>
              <w:numPr>
                <w:ilvl w:val="0"/>
                <w:numId w:val="49"/>
              </w:numPr>
              <w:spacing w:line="360" w:lineRule="auto"/>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建设单位应制定突发环境事件应急预案</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备齐应急物资</w:t>
            </w:r>
            <w:r>
              <w:rPr>
                <w:rFonts w:hint="default" w:ascii="Times New Roman" w:hAnsi="Times New Roman" w:eastAsia="宋体" w:cs="Times New Roman"/>
                <w:color w:val="auto"/>
                <w:kern w:val="0"/>
                <w:sz w:val="24"/>
                <w:highlight w:val="none"/>
              </w:rPr>
              <w:t>。</w:t>
            </w:r>
          </w:p>
          <w:p w14:paraId="6F5C1928">
            <w:pPr>
              <w:widowControl/>
              <w:numPr>
                <w:ilvl w:val="0"/>
                <w:numId w:val="49"/>
              </w:numPr>
              <w:spacing w:line="360" w:lineRule="auto"/>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定期检查危险化学品和</w:t>
            </w:r>
            <w:r>
              <w:rPr>
                <w:rFonts w:hint="eastAsia" w:cs="Times New Roman"/>
                <w:color w:val="auto"/>
                <w:kern w:val="0"/>
                <w:sz w:val="24"/>
                <w:highlight w:val="none"/>
                <w:lang w:val="en-US" w:eastAsia="zh-CN"/>
              </w:rPr>
              <w:t>危险废物贮存</w:t>
            </w:r>
            <w:r>
              <w:rPr>
                <w:rFonts w:hint="default" w:ascii="Times New Roman" w:hAnsi="Times New Roman" w:eastAsia="宋体" w:cs="Times New Roman"/>
                <w:color w:val="auto"/>
                <w:kern w:val="0"/>
                <w:sz w:val="24"/>
                <w:highlight w:val="none"/>
              </w:rPr>
              <w:t>状态，禁止跑、冒、滴、漏。</w:t>
            </w:r>
          </w:p>
          <w:p w14:paraId="2BA269BB">
            <w:pPr>
              <w:widowControl/>
              <w:numPr>
                <w:ilvl w:val="0"/>
                <w:numId w:val="49"/>
              </w:numPr>
              <w:spacing w:line="360" w:lineRule="auto"/>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在风险源场所设置消防栓、灭火器</w:t>
            </w:r>
            <w:r>
              <w:rPr>
                <w:rFonts w:hint="eastAsia" w:cs="Times New Roman"/>
                <w:color w:val="auto"/>
                <w:kern w:val="0"/>
                <w:sz w:val="24"/>
                <w:highlight w:val="none"/>
                <w:lang w:val="en-US" w:eastAsia="zh-CN"/>
              </w:rPr>
              <w:t>等灭火设施</w:t>
            </w:r>
            <w:r>
              <w:rPr>
                <w:rFonts w:hint="default" w:ascii="Times New Roman" w:hAnsi="Times New Roman" w:eastAsia="宋体" w:cs="Times New Roman"/>
                <w:color w:val="auto"/>
                <w:kern w:val="0"/>
                <w:sz w:val="24"/>
                <w:highlight w:val="none"/>
              </w:rPr>
              <w:t>，配备一定数量的自给式呼吸器、消防防护服、消防沙等，并设置明显的</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危险</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警示标识和</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禁止吸烟</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的警示标识。</w:t>
            </w:r>
          </w:p>
          <w:p w14:paraId="75F5F184">
            <w:pPr>
              <w:widowControl/>
              <w:numPr>
                <w:ilvl w:val="0"/>
                <w:numId w:val="49"/>
              </w:numPr>
              <w:spacing w:line="360" w:lineRule="auto"/>
              <w:ind w:firstLine="480" w:firstLineChars="200"/>
              <w:jc w:val="left"/>
              <w:rPr>
                <w:rFonts w:hint="default" w:ascii="Times New Roman" w:hAnsi="Times New Roman" w:eastAsia="宋体" w:cs="Times New Roman"/>
                <w:color w:val="auto"/>
                <w:kern w:val="0"/>
                <w:sz w:val="24"/>
                <w:highlight w:val="none"/>
              </w:rPr>
            </w:pPr>
            <w:r>
              <w:rPr>
                <w:rFonts w:hint="eastAsia" w:cs="Times New Roman"/>
                <w:color w:val="auto"/>
                <w:kern w:val="0"/>
                <w:sz w:val="24"/>
                <w:highlight w:val="none"/>
                <w:lang w:val="en-US" w:eastAsia="zh-CN"/>
              </w:rPr>
              <w:t>加强教育和培训，严禁将危险废物随便倾倒，严格按照危险废物的类别分类收集，做好危险废物识别标志和台账。</w:t>
            </w:r>
          </w:p>
          <w:p w14:paraId="1A1BFCAD">
            <w:pPr>
              <w:widowControl/>
              <w:numPr>
                <w:ilvl w:val="0"/>
                <w:numId w:val="49"/>
              </w:numPr>
              <w:spacing w:line="360" w:lineRule="auto"/>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制定操作规程，</w:t>
            </w:r>
            <w:r>
              <w:rPr>
                <w:rFonts w:hint="eastAsia" w:cs="Times New Roman"/>
                <w:color w:val="auto"/>
                <w:kern w:val="0"/>
                <w:sz w:val="24"/>
                <w:highlight w:val="none"/>
                <w:lang w:val="en-US" w:eastAsia="zh-CN"/>
              </w:rPr>
              <w:t>严格按照规程进行各项实验操作，密切关注实验现象，实验期间不得擅自离岗，发现问题及时处理。</w:t>
            </w:r>
            <w:r>
              <w:rPr>
                <w:rFonts w:hint="default" w:ascii="Times New Roman" w:hAnsi="Times New Roman" w:eastAsia="宋体" w:cs="Times New Roman"/>
                <w:color w:val="auto"/>
                <w:kern w:val="0"/>
                <w:sz w:val="24"/>
                <w:highlight w:val="none"/>
              </w:rPr>
              <w:t>定期进行消防安全知识培训，重点培训岗位防火技术、灭火器的使用办法、疏散逃生知识等，加强员工防火意识，确保每位员工都掌握安全防火技能，一旦发生事故能采取正确的应急措施。</w:t>
            </w:r>
          </w:p>
          <w:p w14:paraId="2E5D4DB6">
            <w:pPr>
              <w:widowControl/>
              <w:numPr>
                <w:ilvl w:val="0"/>
                <w:numId w:val="49"/>
              </w:numPr>
              <w:spacing w:line="360" w:lineRule="auto"/>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建立安全管理制度，制定岗位责任制度，定期对设备</w:t>
            </w:r>
            <w:r>
              <w:rPr>
                <w:rFonts w:hint="eastAsia" w:cs="Times New Roman"/>
                <w:color w:val="auto"/>
                <w:kern w:val="0"/>
                <w:sz w:val="24"/>
                <w:highlight w:val="none"/>
                <w:lang w:val="en-US" w:eastAsia="zh-CN"/>
              </w:rPr>
              <w:t>设施检查维护</w:t>
            </w:r>
            <w:r>
              <w:rPr>
                <w:rFonts w:hint="default" w:ascii="Times New Roman" w:hAnsi="Times New Roman" w:eastAsia="宋体" w:cs="Times New Roman"/>
                <w:color w:val="auto"/>
                <w:kern w:val="0"/>
                <w:sz w:val="24"/>
                <w:highlight w:val="none"/>
              </w:rPr>
              <w:t>，发现</w:t>
            </w:r>
            <w:r>
              <w:rPr>
                <w:rFonts w:hint="eastAsia" w:cs="Times New Roman"/>
                <w:color w:val="auto"/>
                <w:kern w:val="0"/>
                <w:sz w:val="24"/>
                <w:highlight w:val="none"/>
                <w:lang w:val="en-US" w:eastAsia="zh-CN"/>
              </w:rPr>
              <w:t>问题及时处理</w:t>
            </w:r>
            <w:r>
              <w:rPr>
                <w:rFonts w:hint="default" w:ascii="Times New Roman" w:hAnsi="Times New Roman" w:eastAsia="宋体" w:cs="Times New Roman"/>
                <w:color w:val="auto"/>
                <w:kern w:val="0"/>
                <w:sz w:val="24"/>
                <w:highlight w:val="none"/>
              </w:rPr>
              <w:t>。</w:t>
            </w:r>
          </w:p>
          <w:p w14:paraId="0A4D7FCB">
            <w:pPr>
              <w:widowControl/>
              <w:numPr>
                <w:ilvl w:val="0"/>
                <w:numId w:val="49"/>
              </w:numPr>
              <w:spacing w:line="360" w:lineRule="auto"/>
              <w:ind w:firstLine="480" w:firstLineChars="200"/>
              <w:jc w:val="left"/>
              <w:rPr>
                <w:rFonts w:hint="default" w:ascii="Times New Roman" w:hAnsi="Times New Roman" w:eastAsia="宋体" w:cs="Times New Roman"/>
                <w:color w:val="auto"/>
                <w:kern w:val="0"/>
                <w:sz w:val="24"/>
                <w:highlight w:val="none"/>
              </w:rPr>
            </w:pPr>
            <w:r>
              <w:rPr>
                <w:rFonts w:hint="eastAsia" w:cs="Times New Roman"/>
                <w:color w:val="auto"/>
                <w:kern w:val="0"/>
                <w:sz w:val="24"/>
                <w:highlight w:val="none"/>
                <w:lang w:val="en-US" w:eastAsia="zh-CN"/>
              </w:rPr>
              <w:t>定期做好安全风险辨识评估和隐患排查，明确隐患排查的责任人，做好排查记录</w:t>
            </w:r>
            <w:r>
              <w:rPr>
                <w:rFonts w:hint="default" w:ascii="Times New Roman" w:hAnsi="Times New Roman" w:eastAsia="宋体" w:cs="Times New Roman"/>
                <w:color w:val="auto"/>
                <w:kern w:val="0"/>
                <w:sz w:val="24"/>
                <w:highlight w:val="none"/>
              </w:rPr>
              <w:t>。</w:t>
            </w:r>
          </w:p>
          <w:p w14:paraId="5CF5A97B">
            <w:pPr>
              <w:adjustRightInd w:val="0"/>
              <w:spacing w:line="360" w:lineRule="auto"/>
              <w:ind w:firstLine="465"/>
              <w:rPr>
                <w:rFonts w:hint="default" w:ascii="Times New Roman" w:hAnsi="Times New Roman" w:eastAsia="宋体" w:cs="Times New Roman"/>
                <w:b w:val="0"/>
                <w:bCs w:val="0"/>
                <w:color w:val="auto"/>
                <w:spacing w:val="-2"/>
                <w:sz w:val="24"/>
                <w:szCs w:val="32"/>
                <w:highlight w:val="none"/>
              </w:rPr>
            </w:pPr>
            <w:r>
              <w:rPr>
                <w:rFonts w:hint="default" w:ascii="Times New Roman" w:hAnsi="Times New Roman" w:eastAsia="宋体" w:cs="Times New Roman"/>
                <w:b w:val="0"/>
                <w:bCs w:val="0"/>
                <w:color w:val="auto"/>
                <w:spacing w:val="-2"/>
                <w:sz w:val="24"/>
                <w:szCs w:val="32"/>
                <w:highlight w:val="none"/>
              </w:rPr>
              <w:t>（</w:t>
            </w:r>
            <w:r>
              <w:rPr>
                <w:rFonts w:hint="default" w:ascii="Times New Roman" w:hAnsi="Times New Roman" w:eastAsia="宋体" w:cs="Times New Roman"/>
                <w:b w:val="0"/>
                <w:bCs w:val="0"/>
                <w:color w:val="auto"/>
                <w:spacing w:val="-2"/>
                <w:sz w:val="24"/>
                <w:szCs w:val="32"/>
                <w:highlight w:val="none"/>
                <w:lang w:val="en-US" w:eastAsia="zh-CN"/>
              </w:rPr>
              <w:t>4</w:t>
            </w:r>
            <w:r>
              <w:rPr>
                <w:rFonts w:hint="default" w:ascii="Times New Roman" w:hAnsi="Times New Roman" w:eastAsia="宋体" w:cs="Times New Roman"/>
                <w:b w:val="0"/>
                <w:bCs w:val="0"/>
                <w:color w:val="auto"/>
                <w:spacing w:val="-2"/>
                <w:sz w:val="24"/>
                <w:szCs w:val="32"/>
                <w:highlight w:val="none"/>
              </w:rPr>
              <w:t>）环境风险评价结论</w:t>
            </w:r>
          </w:p>
          <w:p w14:paraId="38F7328F">
            <w:pPr>
              <w:adjustRightInd w:val="0"/>
              <w:spacing w:line="360" w:lineRule="auto"/>
              <w:ind w:firstLine="465"/>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综上分析，本项目环境风险潜势为I级，风险评价等级为简单分析，存在泄漏、火灾</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爆炸</w:t>
            </w:r>
            <w:r>
              <w:rPr>
                <w:rFonts w:hint="default" w:ascii="Times New Roman" w:hAnsi="Times New Roman" w:eastAsia="宋体" w:cs="Times New Roman"/>
                <w:color w:val="auto"/>
                <w:kern w:val="0"/>
                <w:sz w:val="24"/>
                <w:highlight w:val="none"/>
              </w:rPr>
              <w:t>事故类型，本</w:t>
            </w:r>
            <w:r>
              <w:rPr>
                <w:rFonts w:hint="eastAsia" w:cs="Times New Roman"/>
                <w:color w:val="auto"/>
                <w:kern w:val="0"/>
                <w:sz w:val="24"/>
                <w:highlight w:val="none"/>
                <w:lang w:val="en-US" w:eastAsia="zh-CN"/>
              </w:rPr>
              <w:t>项目定期开展安全风险辨识评估，制定操作规程并加强培训，定期开展隐患排查</w:t>
            </w:r>
            <w:r>
              <w:rPr>
                <w:rFonts w:hint="default" w:ascii="Times New Roman" w:hAnsi="Times New Roman" w:eastAsia="宋体" w:cs="Times New Roman"/>
                <w:color w:val="auto"/>
                <w:kern w:val="0"/>
                <w:sz w:val="24"/>
                <w:highlight w:val="none"/>
              </w:rPr>
              <w:t>，确保</w:t>
            </w:r>
            <w:r>
              <w:rPr>
                <w:rFonts w:hint="eastAsia" w:cs="Times New Roman"/>
                <w:color w:val="auto"/>
                <w:kern w:val="0"/>
                <w:sz w:val="24"/>
                <w:highlight w:val="none"/>
                <w:lang w:val="en-US" w:eastAsia="zh-CN"/>
              </w:rPr>
              <w:t>项目</w:t>
            </w:r>
            <w:r>
              <w:rPr>
                <w:rFonts w:hint="default" w:ascii="Times New Roman" w:hAnsi="Times New Roman" w:eastAsia="宋体" w:cs="Times New Roman"/>
                <w:color w:val="auto"/>
                <w:kern w:val="0"/>
                <w:sz w:val="24"/>
                <w:highlight w:val="none"/>
              </w:rPr>
              <w:t>运行的安全性；同时在严格执行国家相关法律、法规</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规范</w:t>
            </w:r>
            <w:r>
              <w:rPr>
                <w:rFonts w:hint="eastAsia" w:cs="Times New Roman"/>
                <w:color w:val="auto"/>
                <w:kern w:val="0"/>
                <w:sz w:val="24"/>
                <w:highlight w:val="none"/>
                <w:lang w:val="en-US" w:eastAsia="zh-CN"/>
              </w:rPr>
              <w:t>和标准</w:t>
            </w:r>
            <w:r>
              <w:rPr>
                <w:rFonts w:hint="default" w:ascii="Times New Roman" w:hAnsi="Times New Roman" w:eastAsia="宋体" w:cs="Times New Roman"/>
                <w:color w:val="auto"/>
                <w:kern w:val="0"/>
                <w:sz w:val="24"/>
                <w:highlight w:val="none"/>
              </w:rPr>
              <w:t>，</w:t>
            </w:r>
            <w:r>
              <w:rPr>
                <w:rFonts w:hint="eastAsia" w:cs="Times New Roman"/>
                <w:color w:val="auto"/>
                <w:kern w:val="0"/>
                <w:sz w:val="24"/>
                <w:highlight w:val="none"/>
                <w:lang w:val="en-US" w:eastAsia="zh-CN"/>
              </w:rPr>
              <w:t>严格</w:t>
            </w:r>
            <w:r>
              <w:rPr>
                <w:rFonts w:hint="default" w:ascii="Times New Roman" w:hAnsi="Times New Roman" w:eastAsia="宋体" w:cs="Times New Roman"/>
                <w:color w:val="auto"/>
                <w:kern w:val="0"/>
                <w:sz w:val="24"/>
                <w:highlight w:val="none"/>
              </w:rPr>
              <w:t>按相关操作规章操作的前提下，通过采用相应的控制措施后，本项目环境风险可控。本项目环境风险简单分析内容表见下表。</w:t>
            </w:r>
          </w:p>
          <w:p w14:paraId="108E83FA">
            <w:pPr>
              <w:numPr>
                <w:ilvl w:val="0"/>
                <w:numId w:val="40"/>
              </w:numPr>
              <w:adjustRightInd w:val="0"/>
              <w:spacing w:line="360" w:lineRule="auto"/>
              <w:ind w:left="425" w:leftChars="0" w:hanging="425" w:firstLineChars="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color w:val="auto"/>
                <w:sz w:val="24"/>
                <w:highlight w:val="none"/>
              </w:rPr>
              <w:t>建设</w:t>
            </w:r>
            <w:r>
              <w:rPr>
                <w:rFonts w:hint="default" w:ascii="Times New Roman" w:hAnsi="Times New Roman" w:eastAsia="宋体" w:cs="Times New Roman"/>
                <w:b/>
                <w:bCs/>
                <w:color w:val="auto"/>
                <w:kern w:val="0"/>
                <w:sz w:val="24"/>
                <w:highlight w:val="none"/>
              </w:rPr>
              <w:t>项目环境风险简单分析内容表</w:t>
            </w:r>
          </w:p>
          <w:tbl>
            <w:tblPr>
              <w:tblStyle w:val="50"/>
              <w:tblW w:w="7599" w:type="dxa"/>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117"/>
              <w:gridCol w:w="666"/>
              <w:gridCol w:w="2089"/>
              <w:gridCol w:w="564"/>
              <w:gridCol w:w="2163"/>
            </w:tblGrid>
            <w:tr w14:paraId="7FFB0CD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2117" w:type="dxa"/>
                  <w:tcBorders>
                    <w:tl2br w:val="nil"/>
                    <w:tr2bl w:val="nil"/>
                  </w:tcBorders>
                  <w:vAlign w:val="center"/>
                </w:tcPr>
                <w:p w14:paraId="6C1B6770">
                  <w:pPr>
                    <w:snapToGrid w:val="0"/>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建设项目名称</w:t>
                  </w:r>
                </w:p>
              </w:tc>
              <w:tc>
                <w:tcPr>
                  <w:tcW w:w="5482" w:type="dxa"/>
                  <w:gridSpan w:val="4"/>
                  <w:tcBorders>
                    <w:tl2br w:val="nil"/>
                    <w:tr2bl w:val="nil"/>
                  </w:tcBorders>
                  <w:vAlign w:val="center"/>
                </w:tcPr>
                <w:p w14:paraId="71E16A55">
                  <w:pPr>
                    <w:snapToGrid w:val="0"/>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检测实验室建设项目</w:t>
                  </w:r>
                </w:p>
              </w:tc>
            </w:tr>
            <w:tr w14:paraId="48FC6AC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117" w:type="dxa"/>
                  <w:tcBorders>
                    <w:tl2br w:val="nil"/>
                    <w:tr2bl w:val="nil"/>
                  </w:tcBorders>
                  <w:vAlign w:val="center"/>
                </w:tcPr>
                <w:p w14:paraId="5DCE80A3">
                  <w:pPr>
                    <w:snapToGrid w:val="0"/>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建设地点</w:t>
                  </w:r>
                </w:p>
              </w:tc>
              <w:tc>
                <w:tcPr>
                  <w:tcW w:w="5482" w:type="dxa"/>
                  <w:gridSpan w:val="4"/>
                  <w:tcBorders>
                    <w:tl2br w:val="nil"/>
                    <w:tr2bl w:val="nil"/>
                  </w:tcBorders>
                  <w:vAlign w:val="center"/>
                </w:tcPr>
                <w:p w14:paraId="3D39ED7A">
                  <w:pPr>
                    <w:snapToGrid w:val="0"/>
                    <w:jc w:val="center"/>
                    <w:rPr>
                      <w:rFonts w:hint="default" w:ascii="Times New Roman" w:hAnsi="Times New Roman" w:eastAsia="宋体" w:cs="Times New Roman"/>
                      <w:color w:val="auto"/>
                      <w:szCs w:val="21"/>
                      <w:highlight w:val="none"/>
                      <w:lang w:val="en-US"/>
                    </w:rPr>
                  </w:pPr>
                  <w:r>
                    <w:rPr>
                      <w:rFonts w:hint="eastAsia" w:cs="Times New Roman"/>
                      <w:color w:val="auto"/>
                      <w:szCs w:val="21"/>
                      <w:highlight w:val="none"/>
                      <w:lang w:val="en-US" w:eastAsia="zh-CN"/>
                    </w:rPr>
                    <w:t>北京经济技术开发区(通州)环科中路16号23幢1至4层。</w:t>
                  </w:r>
                </w:p>
              </w:tc>
            </w:tr>
            <w:tr w14:paraId="33E81BF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2117" w:type="dxa"/>
                  <w:tcBorders>
                    <w:tl2br w:val="nil"/>
                    <w:tr2bl w:val="nil"/>
                  </w:tcBorders>
                  <w:vAlign w:val="center"/>
                </w:tcPr>
                <w:p w14:paraId="0510BA63">
                  <w:pPr>
                    <w:snapToGrid w:val="0"/>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地理坐标</w:t>
                  </w:r>
                </w:p>
              </w:tc>
              <w:tc>
                <w:tcPr>
                  <w:tcW w:w="666" w:type="dxa"/>
                  <w:tcBorders>
                    <w:tl2br w:val="nil"/>
                    <w:tr2bl w:val="nil"/>
                  </w:tcBorders>
                  <w:vAlign w:val="center"/>
                </w:tcPr>
                <w:p w14:paraId="6B0882C0">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经度</w:t>
                  </w:r>
                </w:p>
              </w:tc>
              <w:tc>
                <w:tcPr>
                  <w:tcW w:w="2089" w:type="dxa"/>
                  <w:tcBorders>
                    <w:tl2br w:val="nil"/>
                    <w:tr2bl w:val="nil"/>
                  </w:tcBorders>
                  <w:vAlign w:val="center"/>
                </w:tcPr>
                <w:p w14:paraId="5CF0CBFA">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东经116°</w:t>
                  </w:r>
                  <w:r>
                    <w:rPr>
                      <w:rFonts w:hint="eastAsia" w:cs="Times New Roman"/>
                      <w:color w:val="auto"/>
                      <w:szCs w:val="21"/>
                      <w:highlight w:val="none"/>
                      <w:lang w:val="en-US" w:eastAsia="zh-CN"/>
                    </w:rPr>
                    <w:t>33</w:t>
                  </w: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8.196</w:t>
                  </w:r>
                  <w:r>
                    <w:rPr>
                      <w:rFonts w:hint="default" w:ascii="Times New Roman" w:hAnsi="Times New Roman" w:eastAsia="宋体" w:cs="Times New Roman"/>
                      <w:color w:val="auto"/>
                      <w:szCs w:val="21"/>
                      <w:highlight w:val="none"/>
                    </w:rPr>
                    <w:t>″</w:t>
                  </w:r>
                </w:p>
              </w:tc>
              <w:tc>
                <w:tcPr>
                  <w:tcW w:w="564" w:type="dxa"/>
                  <w:tcBorders>
                    <w:tl2br w:val="nil"/>
                    <w:tr2bl w:val="nil"/>
                  </w:tcBorders>
                  <w:vAlign w:val="center"/>
                </w:tcPr>
                <w:p w14:paraId="74EF9973">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纬度</w:t>
                  </w:r>
                </w:p>
              </w:tc>
              <w:tc>
                <w:tcPr>
                  <w:tcW w:w="2163" w:type="dxa"/>
                  <w:tcBorders>
                    <w:tl2br w:val="nil"/>
                    <w:tr2bl w:val="nil"/>
                  </w:tcBorders>
                  <w:vAlign w:val="center"/>
                </w:tcPr>
                <w:p w14:paraId="2E6D3D63">
                  <w:pPr>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北纬39°</w:t>
                  </w:r>
                  <w:r>
                    <w:rPr>
                      <w:rFonts w:hint="default" w:ascii="Times New Roman" w:hAnsi="Times New Roman" w:eastAsia="宋体" w:cs="Times New Roman"/>
                      <w:color w:val="auto"/>
                      <w:szCs w:val="21"/>
                      <w:highlight w:val="none"/>
                      <w:lang w:eastAsia="zh-CN"/>
                    </w:rPr>
                    <w:t>4</w:t>
                  </w:r>
                  <w:r>
                    <w:rPr>
                      <w:rFonts w:hint="eastAsia" w:cs="Times New Roman"/>
                      <w:color w:val="auto"/>
                      <w:szCs w:val="21"/>
                      <w:highlight w:val="none"/>
                      <w:lang w:val="en-US" w:eastAsia="zh-CN"/>
                    </w:rPr>
                    <w:t>3</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 xml:space="preserve"> </w:t>
                  </w:r>
                  <w:r>
                    <w:rPr>
                      <w:rFonts w:hint="eastAsia" w:cs="Times New Roman"/>
                      <w:color w:val="auto"/>
                      <w:szCs w:val="21"/>
                      <w:highlight w:val="none"/>
                      <w:lang w:val="en-US" w:eastAsia="zh-CN"/>
                    </w:rPr>
                    <w:t>48.078</w:t>
                  </w:r>
                  <w:r>
                    <w:rPr>
                      <w:rFonts w:hint="default" w:ascii="Times New Roman" w:hAnsi="Times New Roman" w:eastAsia="宋体" w:cs="Times New Roman"/>
                      <w:color w:val="auto"/>
                      <w:szCs w:val="21"/>
                      <w:highlight w:val="none"/>
                      <w:lang w:eastAsia="zh-CN"/>
                    </w:rPr>
                    <w:t>''</w:t>
                  </w:r>
                </w:p>
              </w:tc>
            </w:tr>
            <w:tr w14:paraId="1EF986B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6" w:hRule="atLeast"/>
                <w:jc w:val="center"/>
              </w:trPr>
              <w:tc>
                <w:tcPr>
                  <w:tcW w:w="2117" w:type="dxa"/>
                  <w:tcBorders>
                    <w:tl2br w:val="nil"/>
                    <w:tr2bl w:val="nil"/>
                  </w:tcBorders>
                  <w:vAlign w:val="center"/>
                </w:tcPr>
                <w:p w14:paraId="79BA2A5C">
                  <w:pPr>
                    <w:snapToGrid w:val="0"/>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主要危险物质及分布</w:t>
                  </w:r>
                </w:p>
              </w:tc>
              <w:tc>
                <w:tcPr>
                  <w:tcW w:w="5482" w:type="dxa"/>
                  <w:gridSpan w:val="4"/>
                  <w:tcBorders>
                    <w:tl2br w:val="nil"/>
                    <w:tr2bl w:val="nil"/>
                  </w:tcBorders>
                  <w:vAlign w:val="center"/>
                </w:tcPr>
                <w:p w14:paraId="0591A3B5">
                  <w:pPr>
                    <w:snapToGrid w:val="0"/>
                    <w:jc w:val="left"/>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试剂室、易制毒室、标物间</w:t>
                  </w:r>
                  <w:r>
                    <w:rPr>
                      <w:rFonts w:hint="default" w:ascii="Times New Roman" w:hAnsi="Times New Roman" w:eastAsia="宋体" w:cs="Times New Roman"/>
                      <w:color w:val="auto"/>
                      <w:szCs w:val="21"/>
                      <w:highlight w:val="none"/>
                      <w:lang w:val="en-US" w:eastAsia="zh-CN"/>
                    </w:rPr>
                    <w:t>贮存的各类试剂</w:t>
                  </w:r>
                  <w:r>
                    <w:rPr>
                      <w:rFonts w:hint="eastAsia" w:cs="Times New Roman"/>
                      <w:color w:val="auto"/>
                      <w:szCs w:val="21"/>
                      <w:highlight w:val="none"/>
                      <w:lang w:val="en-US" w:eastAsia="zh-CN"/>
                    </w:rPr>
                    <w:t>、标准品</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危险废物暂存间贮存的危险废物。</w:t>
                  </w:r>
                </w:p>
              </w:tc>
            </w:tr>
            <w:tr w14:paraId="3F698D0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60" w:hRule="atLeast"/>
                <w:jc w:val="center"/>
              </w:trPr>
              <w:tc>
                <w:tcPr>
                  <w:tcW w:w="2117" w:type="dxa"/>
                  <w:tcBorders>
                    <w:tl2br w:val="nil"/>
                    <w:tr2bl w:val="nil"/>
                  </w:tcBorders>
                  <w:vAlign w:val="center"/>
                </w:tcPr>
                <w:p w14:paraId="407FA49D">
                  <w:pPr>
                    <w:snapToGrid w:val="0"/>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环境影响途径及危害后果（大气、地表水、地下水）</w:t>
                  </w:r>
                </w:p>
              </w:tc>
              <w:tc>
                <w:tcPr>
                  <w:tcW w:w="5482" w:type="dxa"/>
                  <w:gridSpan w:val="4"/>
                  <w:tcBorders>
                    <w:tl2br w:val="nil"/>
                    <w:tr2bl w:val="nil"/>
                  </w:tcBorders>
                  <w:vAlign w:val="center"/>
                </w:tcPr>
                <w:p w14:paraId="6D5A8B01">
                  <w:pPr>
                    <w:snapToGrid w:val="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影响途径：泄漏后挥发进入大气环境或者火灾事故时伴生烟雾进入大气环境，次生的消防废水进入水环境</w:t>
                  </w:r>
                  <w:r>
                    <w:rPr>
                      <w:rFonts w:hint="eastAsia" w:cs="Times New Roman"/>
                      <w:color w:val="auto"/>
                      <w:szCs w:val="21"/>
                      <w:highlight w:val="none"/>
                      <w:lang w:val="en-US" w:eastAsia="zh-CN"/>
                    </w:rPr>
                    <w:t>污染地表水，污染物质进入土壤或渗入地下污染土壤、地下水</w:t>
                  </w:r>
                  <w:r>
                    <w:rPr>
                      <w:rFonts w:hint="default" w:ascii="Times New Roman" w:hAnsi="Times New Roman" w:eastAsia="宋体" w:cs="Times New Roman"/>
                      <w:color w:val="auto"/>
                      <w:szCs w:val="21"/>
                      <w:highlight w:val="none"/>
                    </w:rPr>
                    <w:t>等。</w:t>
                  </w:r>
                </w:p>
                <w:p w14:paraId="50B600E2">
                  <w:pPr>
                    <w:snapToGrid w:val="0"/>
                    <w:jc w:val="both"/>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危害后果：造成环境空气、地表水</w:t>
                  </w:r>
                  <w:r>
                    <w:rPr>
                      <w:rFonts w:hint="eastAsia" w:cs="Times New Roman"/>
                      <w:color w:val="auto"/>
                      <w:szCs w:val="21"/>
                      <w:highlight w:val="none"/>
                      <w:lang w:eastAsia="zh-CN"/>
                    </w:rPr>
                    <w:t>、</w:t>
                  </w:r>
                  <w:r>
                    <w:rPr>
                      <w:rFonts w:hint="eastAsia" w:cs="Times New Roman"/>
                      <w:color w:val="auto"/>
                      <w:szCs w:val="21"/>
                      <w:highlight w:val="none"/>
                      <w:lang w:val="en-US" w:eastAsia="zh-CN"/>
                    </w:rPr>
                    <w:t>土壤、地下水</w:t>
                  </w:r>
                  <w:r>
                    <w:rPr>
                      <w:rFonts w:hint="default" w:ascii="Times New Roman" w:hAnsi="Times New Roman" w:eastAsia="宋体" w:cs="Times New Roman"/>
                      <w:color w:val="auto"/>
                      <w:szCs w:val="21"/>
                      <w:highlight w:val="none"/>
                    </w:rPr>
                    <w:t>等污染。</w:t>
                  </w:r>
                </w:p>
              </w:tc>
            </w:tr>
          </w:tbl>
          <w:p w14:paraId="02F0AD83">
            <w:pPr>
              <w:numPr>
                <w:ilvl w:val="0"/>
                <w:numId w:val="38"/>
              </w:numPr>
              <w:adjustRightInd w:val="0"/>
              <w:snapToGrid w:val="0"/>
              <w:spacing w:line="360" w:lineRule="auto"/>
              <w:rPr>
                <w:rFonts w:hint="default" w:ascii="Times New Roman" w:hAnsi="Times New Roman" w:eastAsia="宋体" w:cs="Times New Roman"/>
                <w:b/>
                <w:color w:val="auto"/>
                <w:spacing w:val="-4"/>
                <w:kern w:val="0"/>
                <w:sz w:val="24"/>
                <w:highlight w:val="none"/>
              </w:rPr>
            </w:pPr>
            <w:r>
              <w:rPr>
                <w:rFonts w:hint="default" w:ascii="Times New Roman" w:hAnsi="Times New Roman" w:eastAsia="宋体" w:cs="Times New Roman"/>
                <w:b/>
                <w:color w:val="auto"/>
                <w:spacing w:val="-4"/>
                <w:kern w:val="0"/>
                <w:sz w:val="24"/>
                <w:highlight w:val="none"/>
              </w:rPr>
              <w:t>环保投资</w:t>
            </w:r>
          </w:p>
          <w:p w14:paraId="6B949421">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本项目总投资</w:t>
            </w:r>
            <w:r>
              <w:rPr>
                <w:rFonts w:hint="eastAsia" w:cs="Times New Roman"/>
                <w:color w:val="auto"/>
                <w:sz w:val="24"/>
                <w:highlight w:val="none"/>
                <w:lang w:val="en-US" w:eastAsia="zh-CN"/>
              </w:rPr>
              <w:t>1096</w:t>
            </w:r>
            <w:r>
              <w:rPr>
                <w:rFonts w:hint="default" w:ascii="Times New Roman" w:hAnsi="Times New Roman" w:eastAsia="宋体" w:cs="Times New Roman"/>
                <w:color w:val="auto"/>
                <w:sz w:val="24"/>
                <w:highlight w:val="none"/>
              </w:rPr>
              <w:t>万元，其中环保投资</w:t>
            </w:r>
            <w:r>
              <w:rPr>
                <w:rFonts w:hint="eastAsia" w:cs="Times New Roman"/>
                <w:color w:val="auto"/>
                <w:sz w:val="24"/>
                <w:highlight w:val="none"/>
                <w:lang w:val="en-US" w:eastAsia="zh-CN"/>
              </w:rPr>
              <w:t>60</w:t>
            </w:r>
            <w:r>
              <w:rPr>
                <w:rFonts w:hint="default" w:ascii="Times New Roman" w:hAnsi="Times New Roman" w:eastAsia="宋体" w:cs="Times New Roman"/>
                <w:color w:val="auto"/>
                <w:sz w:val="24"/>
                <w:highlight w:val="none"/>
              </w:rPr>
              <w:t>万元，占总投资</w:t>
            </w:r>
            <w:r>
              <w:rPr>
                <w:rFonts w:hint="eastAsia" w:cs="Times New Roman"/>
                <w:color w:val="auto"/>
                <w:sz w:val="24"/>
                <w:highlight w:val="none"/>
                <w:lang w:val="en-US" w:eastAsia="zh-CN"/>
              </w:rPr>
              <w:t>5.47</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。环保投资清单见下表。</w:t>
            </w:r>
          </w:p>
          <w:p w14:paraId="1B3E36B8">
            <w:pPr>
              <w:numPr>
                <w:ilvl w:val="0"/>
                <w:numId w:val="40"/>
              </w:numPr>
              <w:adjustRightInd w:val="0"/>
              <w:spacing w:line="360" w:lineRule="auto"/>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color w:val="auto"/>
                <w:sz w:val="24"/>
                <w:highlight w:val="none"/>
              </w:rPr>
              <w:t>环保</w:t>
            </w:r>
            <w:r>
              <w:rPr>
                <w:rFonts w:hint="default" w:ascii="Times New Roman" w:hAnsi="Times New Roman" w:eastAsia="宋体" w:cs="Times New Roman"/>
                <w:b/>
                <w:bCs/>
                <w:color w:val="auto"/>
                <w:sz w:val="24"/>
                <w:highlight w:val="none"/>
              </w:rPr>
              <w:t>设施及投资清单</w:t>
            </w:r>
          </w:p>
          <w:tbl>
            <w:tblPr>
              <w:tblStyle w:val="23"/>
              <w:tblW w:w="7618"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969"/>
              <w:gridCol w:w="2639"/>
              <w:gridCol w:w="2288"/>
            </w:tblGrid>
            <w:tr w14:paraId="57F228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722" w:type="dxa"/>
                  <w:tcBorders>
                    <w:tl2br w:val="nil"/>
                    <w:tr2bl w:val="nil"/>
                  </w:tcBorders>
                  <w:vAlign w:val="center"/>
                </w:tcPr>
                <w:p w14:paraId="133759A1">
                  <w:pPr>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序号</w:t>
                  </w:r>
                </w:p>
              </w:tc>
              <w:tc>
                <w:tcPr>
                  <w:tcW w:w="1969" w:type="dxa"/>
                  <w:tcBorders>
                    <w:tl2br w:val="nil"/>
                    <w:tr2bl w:val="nil"/>
                  </w:tcBorders>
                  <w:vAlign w:val="center"/>
                </w:tcPr>
                <w:p w14:paraId="43753253">
                  <w:pPr>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项目</w:t>
                  </w:r>
                </w:p>
              </w:tc>
              <w:tc>
                <w:tcPr>
                  <w:tcW w:w="2639" w:type="dxa"/>
                  <w:tcBorders>
                    <w:tl2br w:val="nil"/>
                    <w:tr2bl w:val="nil"/>
                  </w:tcBorders>
                  <w:vAlign w:val="center"/>
                </w:tcPr>
                <w:p w14:paraId="51605AC8">
                  <w:pPr>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治理措施</w:t>
                  </w:r>
                </w:p>
              </w:tc>
              <w:tc>
                <w:tcPr>
                  <w:tcW w:w="2288" w:type="dxa"/>
                  <w:tcBorders>
                    <w:tl2br w:val="nil"/>
                    <w:tr2bl w:val="nil"/>
                  </w:tcBorders>
                  <w:vAlign w:val="center"/>
                </w:tcPr>
                <w:p w14:paraId="78EBE64E">
                  <w:pPr>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投资金额（万元）</w:t>
                  </w:r>
                </w:p>
              </w:tc>
            </w:tr>
            <w:tr w14:paraId="18AC4C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722" w:type="dxa"/>
                  <w:tcBorders>
                    <w:tl2br w:val="nil"/>
                    <w:tr2bl w:val="nil"/>
                  </w:tcBorders>
                  <w:vAlign w:val="center"/>
                </w:tcPr>
                <w:p w14:paraId="4EE5C003">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1969" w:type="dxa"/>
                  <w:tcBorders>
                    <w:tl2br w:val="nil"/>
                    <w:tr2bl w:val="nil"/>
                  </w:tcBorders>
                  <w:vAlign w:val="center"/>
                </w:tcPr>
                <w:p w14:paraId="3DB1883F">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噪声污染防治</w:t>
                  </w:r>
                </w:p>
              </w:tc>
              <w:tc>
                <w:tcPr>
                  <w:tcW w:w="2639" w:type="dxa"/>
                  <w:tcBorders>
                    <w:tl2br w:val="nil"/>
                    <w:tr2bl w:val="nil"/>
                  </w:tcBorders>
                  <w:vAlign w:val="center"/>
                </w:tcPr>
                <w:p w14:paraId="4429FEBA">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基础减振</w:t>
                  </w:r>
                </w:p>
              </w:tc>
              <w:tc>
                <w:tcPr>
                  <w:tcW w:w="2288" w:type="dxa"/>
                  <w:tcBorders>
                    <w:tl2br w:val="nil"/>
                    <w:tr2bl w:val="nil"/>
                  </w:tcBorders>
                  <w:vAlign w:val="center"/>
                </w:tcPr>
                <w:p w14:paraId="78E081A2">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w:t>
                  </w:r>
                </w:p>
              </w:tc>
            </w:tr>
            <w:tr w14:paraId="59F7EA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722" w:type="dxa"/>
                  <w:tcBorders>
                    <w:tl2br w:val="nil"/>
                    <w:tr2bl w:val="nil"/>
                  </w:tcBorders>
                  <w:shd w:val="clear" w:color="auto" w:fill="auto"/>
                  <w:vAlign w:val="center"/>
                </w:tcPr>
                <w:p w14:paraId="4513EEC8">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1969" w:type="dxa"/>
                  <w:tcBorders>
                    <w:tl2br w:val="nil"/>
                    <w:tr2bl w:val="nil"/>
                  </w:tcBorders>
                  <w:vAlign w:val="center"/>
                </w:tcPr>
                <w:p w14:paraId="3DF55EDC">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水污染物防治</w:t>
                  </w:r>
                </w:p>
              </w:tc>
              <w:tc>
                <w:tcPr>
                  <w:tcW w:w="2639" w:type="dxa"/>
                  <w:tcBorders>
                    <w:tl2br w:val="nil"/>
                    <w:tr2bl w:val="nil"/>
                  </w:tcBorders>
                  <w:vAlign w:val="center"/>
                </w:tcPr>
                <w:p w14:paraId="492BBD60">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污水管道铺设、地面防渗</w:t>
                  </w:r>
                </w:p>
              </w:tc>
              <w:tc>
                <w:tcPr>
                  <w:tcW w:w="2288" w:type="dxa"/>
                  <w:tcBorders>
                    <w:tl2br w:val="nil"/>
                    <w:tr2bl w:val="nil"/>
                  </w:tcBorders>
                  <w:vAlign w:val="center"/>
                </w:tcPr>
                <w:p w14:paraId="29D5DA99">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w:t>
                  </w:r>
                </w:p>
              </w:tc>
            </w:tr>
            <w:tr w14:paraId="131276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722" w:type="dxa"/>
                  <w:tcBorders>
                    <w:tl2br w:val="nil"/>
                    <w:tr2bl w:val="nil"/>
                  </w:tcBorders>
                  <w:shd w:val="clear" w:color="auto" w:fill="auto"/>
                  <w:vAlign w:val="center"/>
                </w:tcPr>
                <w:p w14:paraId="279B81A3">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w:t>
                  </w:r>
                </w:p>
              </w:tc>
              <w:tc>
                <w:tcPr>
                  <w:tcW w:w="1969" w:type="dxa"/>
                  <w:tcBorders>
                    <w:tl2br w:val="nil"/>
                    <w:tr2bl w:val="nil"/>
                  </w:tcBorders>
                  <w:vAlign w:val="center"/>
                </w:tcPr>
                <w:p w14:paraId="54644B84">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大气污染物防治</w:t>
                  </w:r>
                </w:p>
              </w:tc>
              <w:tc>
                <w:tcPr>
                  <w:tcW w:w="2639" w:type="dxa"/>
                  <w:tcBorders>
                    <w:tl2br w:val="nil"/>
                    <w:tr2bl w:val="nil"/>
                  </w:tcBorders>
                  <w:vAlign w:val="center"/>
                </w:tcPr>
                <w:p w14:paraId="696C10D3">
                  <w:pPr>
                    <w:snapToGrid w:val="0"/>
                    <w:jc w:val="center"/>
                    <w:rPr>
                      <w:rFonts w:hint="default" w:ascii="Times New Roman" w:hAnsi="Times New Roman" w:eastAsia="宋体" w:cs="Times New Roman"/>
                      <w:color w:val="auto"/>
                      <w:szCs w:val="21"/>
                      <w:highlight w:val="none"/>
                      <w:lang w:val="en-US"/>
                    </w:rPr>
                  </w:pPr>
                  <w:r>
                    <w:rPr>
                      <w:rFonts w:hint="eastAsia" w:cs="Times New Roman"/>
                      <w:color w:val="auto"/>
                      <w:szCs w:val="21"/>
                      <w:highlight w:val="none"/>
                      <w:lang w:val="en-US" w:eastAsia="zh-CN"/>
                    </w:rPr>
                    <w:t>废气收集设施</w:t>
                  </w:r>
                </w:p>
              </w:tc>
              <w:tc>
                <w:tcPr>
                  <w:tcW w:w="2288" w:type="dxa"/>
                  <w:tcBorders>
                    <w:tl2br w:val="nil"/>
                    <w:tr2bl w:val="nil"/>
                  </w:tcBorders>
                  <w:vAlign w:val="center"/>
                </w:tcPr>
                <w:p w14:paraId="20853AD4">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30</w:t>
                  </w:r>
                </w:p>
              </w:tc>
            </w:tr>
            <w:tr w14:paraId="2E1EDC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722" w:type="dxa"/>
                  <w:tcBorders>
                    <w:tl2br w:val="nil"/>
                    <w:tr2bl w:val="nil"/>
                  </w:tcBorders>
                  <w:shd w:val="clear" w:color="auto" w:fill="auto"/>
                  <w:vAlign w:val="center"/>
                </w:tcPr>
                <w:p w14:paraId="578660B2">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4</w:t>
                  </w:r>
                </w:p>
              </w:tc>
              <w:tc>
                <w:tcPr>
                  <w:tcW w:w="1969" w:type="dxa"/>
                  <w:tcBorders>
                    <w:tl2br w:val="nil"/>
                    <w:tr2bl w:val="nil"/>
                  </w:tcBorders>
                  <w:vAlign w:val="center"/>
                </w:tcPr>
                <w:p w14:paraId="0C19CC80">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固体废物防治</w:t>
                  </w:r>
                </w:p>
              </w:tc>
              <w:tc>
                <w:tcPr>
                  <w:tcW w:w="2639" w:type="dxa"/>
                  <w:tcBorders>
                    <w:tl2br w:val="nil"/>
                    <w:tr2bl w:val="nil"/>
                  </w:tcBorders>
                  <w:vAlign w:val="center"/>
                </w:tcPr>
                <w:p w14:paraId="2D1762CA">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规范的危险废物暂存间、一般固废间</w:t>
                  </w:r>
                </w:p>
              </w:tc>
              <w:tc>
                <w:tcPr>
                  <w:tcW w:w="2288" w:type="dxa"/>
                  <w:tcBorders>
                    <w:tl2br w:val="nil"/>
                    <w:tr2bl w:val="nil"/>
                  </w:tcBorders>
                  <w:vAlign w:val="center"/>
                </w:tcPr>
                <w:p w14:paraId="772933B0">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15</w:t>
                  </w:r>
                </w:p>
              </w:tc>
            </w:tr>
            <w:tr w14:paraId="0050DC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691" w:type="dxa"/>
                  <w:gridSpan w:val="2"/>
                  <w:tcBorders>
                    <w:tl2br w:val="nil"/>
                    <w:tr2bl w:val="nil"/>
                  </w:tcBorders>
                  <w:vAlign w:val="center"/>
                </w:tcPr>
                <w:p w14:paraId="5D8BF5F0">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总计</w:t>
                  </w:r>
                </w:p>
              </w:tc>
              <w:tc>
                <w:tcPr>
                  <w:tcW w:w="2639" w:type="dxa"/>
                  <w:tcBorders>
                    <w:tl2br w:val="nil"/>
                    <w:tr2bl w:val="nil"/>
                  </w:tcBorders>
                  <w:vAlign w:val="center"/>
                </w:tcPr>
                <w:p w14:paraId="7BFA1528">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2288" w:type="dxa"/>
                  <w:tcBorders>
                    <w:tl2br w:val="nil"/>
                    <w:tr2bl w:val="nil"/>
                  </w:tcBorders>
                  <w:vAlign w:val="center"/>
                </w:tcPr>
                <w:p w14:paraId="59C2BD0D">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60</w:t>
                  </w:r>
                </w:p>
              </w:tc>
            </w:tr>
          </w:tbl>
          <w:p w14:paraId="4A34AA4D">
            <w:pPr>
              <w:widowControl/>
              <w:numPr>
                <w:ilvl w:val="0"/>
                <w:numId w:val="0"/>
              </w:numPr>
              <w:spacing w:line="360" w:lineRule="auto"/>
              <w:ind w:firstLine="480" w:firstLineChars="200"/>
              <w:jc w:val="left"/>
              <w:rPr>
                <w:rFonts w:hint="default" w:ascii="Times New Roman" w:hAnsi="Times New Roman" w:eastAsia="宋体" w:cs="Times New Roman"/>
                <w:color w:val="auto"/>
                <w:sz w:val="24"/>
                <w:highlight w:val="none"/>
                <w:lang w:val="en-US" w:eastAsia="zh-CN"/>
              </w:rPr>
            </w:pPr>
          </w:p>
        </w:tc>
      </w:tr>
    </w:tbl>
    <w:p w14:paraId="4AFAE51A">
      <w:pPr>
        <w:widowControl/>
        <w:jc w:val="left"/>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br w:type="page"/>
      </w:r>
    </w:p>
    <w:p w14:paraId="1633F30F">
      <w:pPr>
        <w:pStyle w:val="2"/>
        <w:jc w:val="center"/>
        <w:rPr>
          <w:rFonts w:hint="default" w:ascii="Times New Roman" w:hAnsi="Times New Roman" w:eastAsia="宋体" w:cs="Times New Roman"/>
          <w:b w:val="0"/>
          <w:bCs w:val="0"/>
          <w:color w:val="auto"/>
          <w:sz w:val="36"/>
          <w:szCs w:val="36"/>
          <w:highlight w:val="none"/>
        </w:rPr>
      </w:pPr>
      <w:r>
        <w:rPr>
          <w:rFonts w:hint="default" w:ascii="Times New Roman" w:hAnsi="Times New Roman" w:eastAsia="宋体" w:cs="Times New Roman"/>
          <w:b w:val="0"/>
          <w:bCs w:val="0"/>
          <w:color w:val="auto"/>
          <w:sz w:val="36"/>
          <w:szCs w:val="36"/>
          <w:highlight w:val="none"/>
        </w:rPr>
        <w:t>五、</w:t>
      </w:r>
      <w:bookmarkStart w:id="2" w:name="_Hlk54167917"/>
      <w:r>
        <w:rPr>
          <w:rFonts w:hint="default" w:ascii="Times New Roman" w:hAnsi="Times New Roman" w:eastAsia="宋体" w:cs="Times New Roman"/>
          <w:b w:val="0"/>
          <w:bCs w:val="0"/>
          <w:color w:val="auto"/>
          <w:sz w:val="36"/>
          <w:szCs w:val="36"/>
          <w:highlight w:val="none"/>
        </w:rPr>
        <w:t>环境保护措施监督检查清单</w:t>
      </w:r>
      <w:bookmarkEnd w:id="2"/>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1419"/>
        <w:gridCol w:w="2080"/>
        <w:gridCol w:w="2310"/>
        <w:gridCol w:w="1762"/>
      </w:tblGrid>
      <w:tr w14:paraId="1D40B0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229" w:type="dxa"/>
            <w:tcBorders>
              <w:tl2br w:val="single" w:color="auto" w:sz="4" w:space="0"/>
            </w:tcBorders>
          </w:tcPr>
          <w:p w14:paraId="40A66925">
            <w:pPr>
              <w:adjustRightInd w:val="0"/>
              <w:snapToGrid w:val="0"/>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内容</w:t>
            </w:r>
          </w:p>
          <w:p w14:paraId="18C88CF6">
            <w:pPr>
              <w:adjustRightInd w:val="0"/>
              <w:snapToGrid w:val="0"/>
              <w:rPr>
                <w:rFonts w:hint="default" w:ascii="Times New Roman" w:hAnsi="Times New Roman" w:eastAsia="宋体" w:cs="Times New Roman"/>
                <w:b/>
                <w:color w:val="auto"/>
                <w:sz w:val="24"/>
                <w:highlight w:val="none"/>
              </w:rPr>
            </w:pPr>
          </w:p>
          <w:p w14:paraId="4B1C8C87">
            <w:pPr>
              <w:adjustRightInd w:val="0"/>
              <w:snapToGrid w:val="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要素</w:t>
            </w:r>
          </w:p>
        </w:tc>
        <w:tc>
          <w:tcPr>
            <w:tcW w:w="1419" w:type="dxa"/>
            <w:vAlign w:val="center"/>
          </w:tcPr>
          <w:p w14:paraId="2147F9F3">
            <w:pPr>
              <w:adjustRightInd w:val="0"/>
              <w:snapToGrid w:val="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排放口(编号、名称)/污染源</w:t>
            </w:r>
          </w:p>
        </w:tc>
        <w:tc>
          <w:tcPr>
            <w:tcW w:w="2080" w:type="dxa"/>
            <w:vAlign w:val="center"/>
          </w:tcPr>
          <w:p w14:paraId="614CB020">
            <w:pPr>
              <w:adjustRightInd w:val="0"/>
              <w:snapToGrid w:val="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污染物项目</w:t>
            </w:r>
          </w:p>
        </w:tc>
        <w:tc>
          <w:tcPr>
            <w:tcW w:w="2310" w:type="dxa"/>
            <w:vAlign w:val="center"/>
          </w:tcPr>
          <w:p w14:paraId="560D9517">
            <w:pPr>
              <w:adjustRightInd w:val="0"/>
              <w:snapToGrid w:val="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环境保护措施</w:t>
            </w:r>
          </w:p>
        </w:tc>
        <w:tc>
          <w:tcPr>
            <w:tcW w:w="1762" w:type="dxa"/>
            <w:vAlign w:val="center"/>
          </w:tcPr>
          <w:p w14:paraId="621D688C">
            <w:pPr>
              <w:adjustRightInd w:val="0"/>
              <w:snapToGrid w:val="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执行标准</w:t>
            </w:r>
          </w:p>
        </w:tc>
      </w:tr>
      <w:tr w14:paraId="52E974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9" w:type="dxa"/>
            <w:vAlign w:val="center"/>
          </w:tcPr>
          <w:p w14:paraId="421C7C61">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大气环境</w:t>
            </w:r>
          </w:p>
        </w:tc>
        <w:tc>
          <w:tcPr>
            <w:tcW w:w="1419" w:type="dxa"/>
            <w:vAlign w:val="center"/>
          </w:tcPr>
          <w:p w14:paraId="78D7A159">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DA00</w:t>
            </w:r>
            <w:r>
              <w:rPr>
                <w:rFonts w:hint="default" w:ascii="Times New Roman" w:hAnsi="Times New Roman" w:eastAsia="宋体" w:cs="Times New Roman"/>
                <w:color w:val="auto"/>
                <w:szCs w:val="21"/>
                <w:highlight w:val="none"/>
                <w:lang w:val="en-US" w:eastAsia="zh-CN"/>
              </w:rPr>
              <w:t>1</w:t>
            </w:r>
          </w:p>
        </w:tc>
        <w:tc>
          <w:tcPr>
            <w:tcW w:w="2080" w:type="dxa"/>
            <w:shd w:val="clear" w:color="auto" w:fill="auto"/>
            <w:vAlign w:val="center"/>
          </w:tcPr>
          <w:p w14:paraId="0DB54B20">
            <w:pP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highlight w:val="none"/>
                <w:vertAlign w:val="baseline"/>
                <w:lang w:val="en-US" w:eastAsia="zh-CN"/>
              </w:rPr>
              <w:t>非甲烷总烃、甲醇、其他A类物质（乙酸）、其他C类物质（乙酸乙酯、乙醚）、</w:t>
            </w:r>
            <w:r>
              <w:rPr>
                <w:rFonts w:hint="eastAsia" w:cs="Times New Roman"/>
                <w:b w:val="0"/>
                <w:bCs w:val="0"/>
                <w:color w:val="auto"/>
                <w:kern w:val="0"/>
                <w:sz w:val="21"/>
                <w:szCs w:val="21"/>
                <w:highlight w:val="none"/>
                <w:vertAlign w:val="baseline"/>
                <w:lang w:val="en-US" w:eastAsia="zh-CN"/>
              </w:rPr>
              <w:t>氯化氢、</w:t>
            </w:r>
            <w:r>
              <w:rPr>
                <w:rFonts w:hint="eastAsia" w:cs="Times New Roman"/>
                <w:b w:val="0"/>
                <w:bCs w:val="0"/>
                <w:color w:val="auto"/>
                <w:kern w:val="0"/>
                <w:sz w:val="21"/>
                <w:szCs w:val="21"/>
                <w:highlight w:val="none"/>
                <w:vertAlign w:val="baseline"/>
                <w:lang w:val="en-US" w:eastAsia="zh-CN" w:bidi="ar-SA"/>
              </w:rPr>
              <w:t>氮氧化物、硫酸雾</w:t>
            </w:r>
            <w:r>
              <w:rPr>
                <w:rFonts w:hint="eastAsia" w:cs="Times New Roman"/>
                <w:b w:val="0"/>
                <w:bCs w:val="0"/>
                <w:color w:val="auto"/>
                <w:kern w:val="0"/>
                <w:sz w:val="21"/>
                <w:szCs w:val="21"/>
                <w:highlight w:val="none"/>
                <w:vertAlign w:val="baseline"/>
                <w:lang w:val="en-US" w:eastAsia="zh-CN"/>
              </w:rPr>
              <w:t>、氨</w:t>
            </w:r>
          </w:p>
        </w:tc>
        <w:tc>
          <w:tcPr>
            <w:tcW w:w="2310" w:type="dxa"/>
            <w:vAlign w:val="center"/>
          </w:tcPr>
          <w:p w14:paraId="30EF6325">
            <w:pPr>
              <w:rPr>
                <w:rFonts w:hint="default" w:ascii="Times New Roman" w:hAnsi="Times New Roman" w:eastAsia="宋体" w:cs="Times New Roman"/>
                <w:color w:val="auto"/>
                <w:szCs w:val="21"/>
                <w:highlight w:val="none"/>
              </w:rPr>
            </w:pPr>
            <w:r>
              <w:rPr>
                <w:rFonts w:hint="eastAsia" w:cs="Times New Roman"/>
                <w:color w:val="auto"/>
                <w:kern w:val="0"/>
                <w:sz w:val="21"/>
                <w:szCs w:val="21"/>
                <w:lang w:val="en-US" w:eastAsia="zh-CN" w:bidi="ar"/>
              </w:rPr>
              <w:t>通风橱与万向罩</w:t>
            </w:r>
            <w:r>
              <w:rPr>
                <w:rFonts w:hint="default" w:ascii="Times New Roman" w:hAnsi="Times New Roman" w:eastAsia="宋体" w:cs="Times New Roman"/>
                <w:color w:val="auto"/>
                <w:kern w:val="0"/>
                <w:sz w:val="21"/>
                <w:szCs w:val="21"/>
                <w:lang w:val="en-US" w:eastAsia="zh-CN" w:bidi="ar"/>
              </w:rPr>
              <w:t>收集后进</w:t>
            </w:r>
            <w:r>
              <w:rPr>
                <w:rFonts w:hint="eastAsia" w:cs="Times New Roman"/>
                <w:color w:val="auto"/>
                <w:kern w:val="0"/>
                <w:sz w:val="21"/>
                <w:szCs w:val="21"/>
                <w:lang w:val="en-US" w:eastAsia="zh-CN" w:bidi="ar"/>
              </w:rPr>
              <w:t>活性炭</w:t>
            </w:r>
            <w:r>
              <w:rPr>
                <w:rFonts w:hint="default" w:ascii="Times New Roman" w:hAnsi="Times New Roman" w:eastAsia="宋体" w:cs="Times New Roman"/>
                <w:color w:val="auto"/>
                <w:kern w:val="0"/>
                <w:sz w:val="21"/>
                <w:szCs w:val="21"/>
                <w:lang w:val="en-US" w:eastAsia="zh-CN" w:bidi="ar"/>
              </w:rPr>
              <w:t>处理</w:t>
            </w:r>
            <w:r>
              <w:rPr>
                <w:rFonts w:hint="eastAsia" w:cs="Times New Roman"/>
                <w:color w:val="auto"/>
                <w:kern w:val="0"/>
                <w:sz w:val="21"/>
                <w:szCs w:val="21"/>
                <w:lang w:val="en-US" w:eastAsia="zh-CN" w:bidi="ar"/>
              </w:rPr>
              <w:t>设施处理后</w:t>
            </w:r>
            <w:r>
              <w:rPr>
                <w:rFonts w:hint="default" w:ascii="Times New Roman" w:hAnsi="Times New Roman" w:eastAsia="宋体" w:cs="Times New Roman"/>
                <w:color w:val="auto"/>
                <w:kern w:val="0"/>
                <w:sz w:val="21"/>
                <w:szCs w:val="21"/>
                <w:lang w:val="en-US" w:eastAsia="zh-CN" w:bidi="ar"/>
              </w:rPr>
              <w:t>后经</w:t>
            </w:r>
            <w:r>
              <w:rPr>
                <w:rFonts w:hint="eastAsia" w:cs="Times New Roman"/>
                <w:color w:val="auto"/>
                <w:kern w:val="0"/>
                <w:sz w:val="21"/>
                <w:szCs w:val="21"/>
                <w:lang w:val="en-US" w:eastAsia="zh-CN" w:bidi="ar"/>
              </w:rPr>
              <w:t>18</w:t>
            </w:r>
            <w:r>
              <w:rPr>
                <w:rFonts w:hint="default" w:ascii="Times New Roman" w:hAnsi="Times New Roman" w:eastAsia="宋体" w:cs="Times New Roman"/>
                <w:color w:val="auto"/>
                <w:kern w:val="0"/>
                <w:sz w:val="21"/>
                <w:szCs w:val="21"/>
                <w:lang w:val="en-US" w:eastAsia="zh-CN" w:bidi="ar"/>
              </w:rPr>
              <w:t>米的DA001排放。</w:t>
            </w:r>
          </w:p>
        </w:tc>
        <w:tc>
          <w:tcPr>
            <w:tcW w:w="1762" w:type="dxa"/>
            <w:vAlign w:val="center"/>
          </w:tcPr>
          <w:p w14:paraId="19DD1E8B">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北京市《大气污染物综合排放标准》（DB11/501-2017）中Ⅱ时段相应</w:t>
            </w:r>
            <w:r>
              <w:rPr>
                <w:rFonts w:hint="eastAsia" w:cs="Times New Roman"/>
                <w:color w:val="auto"/>
                <w:szCs w:val="21"/>
                <w:highlight w:val="none"/>
                <w:lang w:val="en-US" w:eastAsia="zh-CN"/>
              </w:rPr>
              <w:t>最高允许排放浓度、20米高度排气筒对应的最高允许排放速率的50%</w:t>
            </w:r>
            <w:r>
              <w:rPr>
                <w:rFonts w:hint="default" w:ascii="Times New Roman" w:hAnsi="Times New Roman" w:eastAsia="宋体" w:cs="Times New Roman"/>
                <w:color w:val="auto"/>
                <w:szCs w:val="21"/>
                <w:highlight w:val="none"/>
                <w:lang w:val="zh-CN"/>
              </w:rPr>
              <w:t>限值要求。</w:t>
            </w:r>
          </w:p>
        </w:tc>
      </w:tr>
      <w:tr w14:paraId="799105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2" w:hRule="atLeast"/>
          <w:jc w:val="center"/>
        </w:trPr>
        <w:tc>
          <w:tcPr>
            <w:tcW w:w="1229" w:type="dxa"/>
            <w:shd w:val="clear" w:color="auto" w:fill="auto"/>
            <w:vAlign w:val="center"/>
          </w:tcPr>
          <w:p w14:paraId="7F6E6DBA">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highlight w:val="none"/>
              </w:rPr>
              <w:t>地表水环境</w:t>
            </w:r>
          </w:p>
        </w:tc>
        <w:tc>
          <w:tcPr>
            <w:tcW w:w="1419" w:type="dxa"/>
            <w:shd w:val="clear" w:color="auto" w:fill="auto"/>
            <w:vAlign w:val="center"/>
          </w:tcPr>
          <w:p w14:paraId="24275F7D">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DW001</w:t>
            </w:r>
          </w:p>
        </w:tc>
        <w:tc>
          <w:tcPr>
            <w:tcW w:w="2080" w:type="dxa"/>
            <w:shd w:val="clear" w:color="auto" w:fill="auto"/>
            <w:vAlign w:val="center"/>
          </w:tcPr>
          <w:p w14:paraId="476680AD">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pH</w:t>
            </w:r>
            <w:r>
              <w:rPr>
                <w:rFonts w:hint="default" w:ascii="Times New Roman" w:hAnsi="Times New Roman" w:eastAsia="宋体" w:cs="Times New Roman"/>
                <w:color w:val="auto"/>
                <w:szCs w:val="21"/>
                <w:highlight w:val="none"/>
              </w:rPr>
              <w:t>、COD</w:t>
            </w:r>
            <w:r>
              <w:rPr>
                <w:rFonts w:hint="default" w:ascii="Times New Roman" w:hAnsi="Times New Roman" w:eastAsia="宋体" w:cs="Times New Roman"/>
                <w:color w:val="auto"/>
                <w:szCs w:val="21"/>
                <w:highlight w:val="none"/>
                <w:vertAlign w:val="subscript"/>
              </w:rPr>
              <w:t>Cr</w:t>
            </w:r>
            <w:r>
              <w:rPr>
                <w:rFonts w:hint="default" w:ascii="Times New Roman" w:hAnsi="Times New Roman" w:eastAsia="宋体" w:cs="Times New Roman"/>
                <w:color w:val="auto"/>
                <w:szCs w:val="21"/>
                <w:highlight w:val="none"/>
              </w:rPr>
              <w:t>、</w:t>
            </w:r>
          </w:p>
          <w:p w14:paraId="451953AF">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BOD</w:t>
            </w:r>
            <w:r>
              <w:rPr>
                <w:rFonts w:hint="default" w:ascii="Times New Roman" w:hAnsi="Times New Roman" w:eastAsia="宋体" w:cs="Times New Roman"/>
                <w:color w:val="auto"/>
                <w:szCs w:val="21"/>
                <w:highlight w:val="none"/>
                <w:vertAlign w:val="subscript"/>
              </w:rPr>
              <w:t>5</w:t>
            </w:r>
            <w:r>
              <w:rPr>
                <w:rFonts w:hint="default" w:ascii="Times New Roman" w:hAnsi="Times New Roman" w:eastAsia="宋体" w:cs="Times New Roman"/>
                <w:color w:val="auto"/>
                <w:szCs w:val="21"/>
                <w:highlight w:val="none"/>
              </w:rPr>
              <w:t>、SS、氨氮、可溶性固体总</w:t>
            </w:r>
            <w:r>
              <w:rPr>
                <w:rFonts w:hint="eastAsia" w:cs="Times New Roman"/>
                <w:color w:val="auto"/>
                <w:szCs w:val="21"/>
                <w:highlight w:val="none"/>
                <w:lang w:val="en-US" w:eastAsia="zh-CN"/>
              </w:rPr>
              <w:t>量</w:t>
            </w:r>
          </w:p>
        </w:tc>
        <w:tc>
          <w:tcPr>
            <w:tcW w:w="2310" w:type="dxa"/>
            <w:shd w:val="clear" w:color="auto" w:fill="auto"/>
            <w:vAlign w:val="center"/>
          </w:tcPr>
          <w:p w14:paraId="31FCBA6A">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容器设备第三遍及以后清洗废水</w:t>
            </w:r>
            <w:r>
              <w:rPr>
                <w:rFonts w:hint="eastAsia"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生活污水</w:t>
            </w:r>
            <w:r>
              <w:rPr>
                <w:rFonts w:hint="eastAsia" w:eastAsia="宋体" w:cs="Times New Roman"/>
                <w:color w:val="auto"/>
                <w:szCs w:val="21"/>
                <w:highlight w:val="none"/>
                <w:lang w:val="en-US" w:eastAsia="zh-CN"/>
              </w:rPr>
              <w:t>、纯水制备废水</w:t>
            </w:r>
            <w:r>
              <w:rPr>
                <w:rFonts w:hint="eastAsia" w:cs="Times New Roman"/>
                <w:color w:val="auto"/>
                <w:szCs w:val="21"/>
                <w:highlight w:val="none"/>
                <w:lang w:val="en-US" w:eastAsia="zh-CN"/>
              </w:rPr>
              <w:t>、高压蒸汽灭菌废水、地面清洗废水</w:t>
            </w:r>
            <w:r>
              <w:rPr>
                <w:rFonts w:hint="eastAsia" w:ascii="Times New Roman" w:hAnsi="Times New Roman" w:eastAsia="宋体" w:cs="Times New Roman"/>
                <w:color w:val="auto"/>
                <w:szCs w:val="21"/>
                <w:highlight w:val="none"/>
                <w:lang w:val="en-US" w:eastAsia="zh-CN"/>
              </w:rPr>
              <w:t>一起进园区化粪池进一步处理，最后经市政管网排入</w:t>
            </w:r>
            <w:r>
              <w:rPr>
                <w:rFonts w:hint="eastAsia" w:cs="Times New Roman"/>
                <w:color w:val="auto"/>
                <w:szCs w:val="21"/>
                <w:highlight w:val="none"/>
                <w:lang w:eastAsia="zh-CN"/>
              </w:rPr>
              <w:t>北京新城禹潞环保科技有限责任公司</w:t>
            </w:r>
            <w:r>
              <w:rPr>
                <w:rFonts w:hint="eastAsia" w:cs="Times New Roman"/>
                <w:color w:val="auto"/>
                <w:szCs w:val="21"/>
                <w:highlight w:val="none"/>
                <w:lang w:val="en-US" w:eastAsia="zh-CN"/>
              </w:rPr>
              <w:t>-</w:t>
            </w:r>
            <w:r>
              <w:rPr>
                <w:rFonts w:hint="eastAsia" w:cs="Times New Roman"/>
                <w:color w:val="auto"/>
                <w:szCs w:val="21"/>
                <w:highlight w:val="none"/>
                <w:lang w:eastAsia="zh-CN"/>
              </w:rPr>
              <w:t>金桥基地第一污水处理厂</w:t>
            </w:r>
            <w:r>
              <w:rPr>
                <w:rFonts w:hint="eastAsia" w:ascii="Times New Roman" w:hAnsi="Times New Roman" w:eastAsia="宋体" w:cs="Times New Roman"/>
                <w:color w:val="auto"/>
                <w:szCs w:val="21"/>
                <w:highlight w:val="none"/>
                <w:lang w:eastAsia="zh-CN"/>
              </w:rPr>
              <w:t>。</w:t>
            </w:r>
          </w:p>
        </w:tc>
        <w:tc>
          <w:tcPr>
            <w:tcW w:w="1762" w:type="dxa"/>
            <w:shd w:val="clear" w:color="auto" w:fill="auto"/>
            <w:vAlign w:val="center"/>
          </w:tcPr>
          <w:p w14:paraId="7DFF8898">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北京市《水污染物综合排放标准》（DB11/307-2013）</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表3 排入公共污水处理系统的水污染物排放限值</w:t>
            </w:r>
            <w:r>
              <w:rPr>
                <w:rFonts w:hint="eastAsia" w:cs="Times New Roman"/>
                <w:color w:val="auto"/>
                <w:szCs w:val="21"/>
                <w:highlight w:val="none"/>
                <w:lang w:eastAsia="zh-CN"/>
              </w:rPr>
              <w:t>”</w:t>
            </w:r>
          </w:p>
        </w:tc>
      </w:tr>
      <w:tr w14:paraId="4B7823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9" w:type="dxa"/>
            <w:vAlign w:val="center"/>
          </w:tcPr>
          <w:p w14:paraId="6129AFBF">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声环境</w:t>
            </w:r>
          </w:p>
        </w:tc>
        <w:tc>
          <w:tcPr>
            <w:tcW w:w="1419" w:type="dxa"/>
            <w:vAlign w:val="center"/>
          </w:tcPr>
          <w:p w14:paraId="53D9FAB2">
            <w:pPr>
              <w:adjustRightInd w:val="0"/>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厂界噪声</w:t>
            </w:r>
          </w:p>
        </w:tc>
        <w:tc>
          <w:tcPr>
            <w:tcW w:w="2080" w:type="dxa"/>
            <w:vAlign w:val="center"/>
          </w:tcPr>
          <w:p w14:paraId="451D7B4F">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等效连续A声级</w:t>
            </w:r>
          </w:p>
        </w:tc>
        <w:tc>
          <w:tcPr>
            <w:tcW w:w="2310" w:type="dxa"/>
            <w:vAlign w:val="center"/>
          </w:tcPr>
          <w:p w14:paraId="17104E75">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低噪声设备</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基础减震、</w:t>
            </w:r>
            <w:r>
              <w:rPr>
                <w:rFonts w:hint="default" w:ascii="Times New Roman" w:hAnsi="Times New Roman" w:eastAsia="宋体" w:cs="Times New Roman"/>
                <w:color w:val="auto"/>
                <w:szCs w:val="21"/>
                <w:highlight w:val="none"/>
              </w:rPr>
              <w:t>墙体隔音</w:t>
            </w:r>
            <w:r>
              <w:rPr>
                <w:rFonts w:hint="default" w:ascii="Times New Roman" w:hAnsi="Times New Roman" w:eastAsia="宋体" w:cs="Times New Roman"/>
                <w:color w:val="auto"/>
                <w:szCs w:val="21"/>
                <w:highlight w:val="none"/>
                <w:lang w:eastAsia="zh-CN"/>
              </w:rPr>
              <w:t>。</w:t>
            </w:r>
          </w:p>
        </w:tc>
        <w:tc>
          <w:tcPr>
            <w:tcW w:w="1762" w:type="dxa"/>
            <w:vAlign w:val="center"/>
          </w:tcPr>
          <w:p w14:paraId="679EA04A">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《工业企业厂界环境噪声排放标准》（GB12348-2008）3</w:t>
            </w:r>
            <w:r>
              <w:rPr>
                <w:rFonts w:hint="default" w:ascii="Times New Roman" w:hAnsi="Times New Roman" w:eastAsia="宋体" w:cs="Times New Roman"/>
                <w:color w:val="auto"/>
                <w:szCs w:val="21"/>
                <w:highlight w:val="none"/>
                <w:lang w:val="en-US" w:eastAsia="zh-CN"/>
              </w:rPr>
              <w:t>类</w:t>
            </w:r>
            <w:r>
              <w:rPr>
                <w:rFonts w:hint="default" w:ascii="Times New Roman" w:hAnsi="Times New Roman" w:eastAsia="宋体" w:cs="Times New Roman"/>
                <w:color w:val="auto"/>
                <w:szCs w:val="21"/>
                <w:highlight w:val="none"/>
              </w:rPr>
              <w:t>标准</w:t>
            </w:r>
          </w:p>
        </w:tc>
      </w:tr>
      <w:tr w14:paraId="7A30A0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229" w:type="dxa"/>
            <w:vAlign w:val="center"/>
          </w:tcPr>
          <w:p w14:paraId="5AE97B10">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电磁辐射</w:t>
            </w:r>
          </w:p>
        </w:tc>
        <w:tc>
          <w:tcPr>
            <w:tcW w:w="1419" w:type="dxa"/>
            <w:vAlign w:val="center"/>
          </w:tcPr>
          <w:p w14:paraId="4A23043B">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2080" w:type="dxa"/>
            <w:vAlign w:val="center"/>
          </w:tcPr>
          <w:p w14:paraId="3C662918">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2310" w:type="dxa"/>
            <w:vAlign w:val="center"/>
          </w:tcPr>
          <w:p w14:paraId="36435982">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762" w:type="dxa"/>
            <w:vAlign w:val="center"/>
          </w:tcPr>
          <w:p w14:paraId="50CD9742">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14:paraId="28AD82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29" w:type="dxa"/>
            <w:vAlign w:val="center"/>
          </w:tcPr>
          <w:p w14:paraId="3682CEAA">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固体废物</w:t>
            </w:r>
          </w:p>
        </w:tc>
        <w:tc>
          <w:tcPr>
            <w:tcW w:w="7571" w:type="dxa"/>
            <w:gridSpan w:val="4"/>
            <w:vAlign w:val="center"/>
          </w:tcPr>
          <w:p w14:paraId="3E11427F">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项目产生的一般工业固体废物统一收集后交由物资部门回收再利用；危险废物统一收集后暂存于危险废物暂存间，定期交由有资质单位处置</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生活垃圾统一收集后交环卫部门定期清运。</w:t>
            </w:r>
          </w:p>
          <w:p w14:paraId="3A9B93B3">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生活垃圾处理执行《中华人民共和国固体废物污染环境防治法》（2020年版）及《北京市生活垃圾管理条例》（2020年5月1日起施行，2020年9月25日第二次修正）中的有关规定。</w:t>
            </w:r>
          </w:p>
          <w:p w14:paraId="7D7E1D01">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一般工业固体废物处置执行《中华人民共和国固体废物污染环境防治法》（2020年9月1日起施行）、《一般工业固体废物贮存和填埋污染控制标准》（GB18599-2020）中的有关规定。</w:t>
            </w:r>
          </w:p>
          <w:p w14:paraId="6A2BAD8A">
            <w:pPr>
              <w:snapToGrid w:val="0"/>
              <w:spacing w:line="360" w:lineRule="auto"/>
              <w:ind w:firstLine="48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4"/>
                <w:highlight w:val="none"/>
              </w:rPr>
              <w:t>危险废物收集、储存、转运执行《北京市危险废物污染环境防治条例》、（2020年9月1日实施）、《危险废物收集贮存运输技术规范》（HJ2025-2012）、《危险废物贮存污染控制标准》（GB18597-2023）、《危险废物污染防治技术政策》（环发[2021]199号）和《危险废物转移管理办法》（2022年1月1日起施行）、《实验室危险废物污染防治技术规范》（DB11 /T 1368—2016）中的有关规定。</w:t>
            </w:r>
          </w:p>
        </w:tc>
      </w:tr>
      <w:tr w14:paraId="014B44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9" w:type="dxa"/>
            <w:vAlign w:val="center"/>
          </w:tcPr>
          <w:p w14:paraId="238147AD">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土壤及地下水污染防治措施</w:t>
            </w:r>
          </w:p>
        </w:tc>
        <w:tc>
          <w:tcPr>
            <w:tcW w:w="7571" w:type="dxa"/>
            <w:gridSpan w:val="4"/>
            <w:vAlign w:val="center"/>
          </w:tcPr>
          <w:p w14:paraId="31A77BF5">
            <w:pPr>
              <w:snapToGrid w:val="0"/>
              <w:spacing w:line="360" w:lineRule="auto"/>
              <w:ind w:firstLine="48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4"/>
                <w:highlight w:val="none"/>
                <w:lang w:val="en-US" w:eastAsia="zh-CN"/>
              </w:rPr>
              <w:t>本项目防渗分区划分为重点防渗区、一般防渗区和简单防渗区。危险废物暂存间、</w:t>
            </w:r>
            <w:r>
              <w:rPr>
                <w:rFonts w:hint="eastAsia" w:ascii="Times New Roman" w:hAnsi="Times New Roman" w:eastAsia="宋体" w:cs="Times New Roman"/>
                <w:color w:val="auto"/>
                <w:sz w:val="24"/>
                <w:highlight w:val="none"/>
                <w:lang w:val="en-US" w:eastAsia="zh-CN"/>
              </w:rPr>
              <w:t>试剂室、易制毒室</w:t>
            </w:r>
            <w:r>
              <w:rPr>
                <w:rFonts w:hint="default" w:ascii="Times New Roman" w:hAnsi="Times New Roman" w:eastAsia="宋体" w:cs="Times New Roman"/>
                <w:color w:val="auto"/>
                <w:sz w:val="24"/>
                <w:highlight w:val="none"/>
                <w:lang w:val="en-US" w:eastAsia="zh-CN"/>
              </w:rPr>
              <w:t>、实验室为重点防渗区</w:t>
            </w:r>
            <w:r>
              <w:rPr>
                <w:rFonts w:hint="default" w:ascii="Times New Roman" w:hAnsi="Times New Roman" w:eastAsia="宋体" w:cs="Times New Roman"/>
                <w:color w:val="auto"/>
                <w:sz w:val="24"/>
                <w:highlight w:val="none"/>
                <w:lang w:val="en-US" w:eastAsia="zh-CN"/>
              </w:rPr>
              <w:t>，危险废物暂存间地面与裙脚采取表面防渗措施，使用2mm厚高密度聚乙烯膜或其他防渗材料（渗透系数不大于 10-10</w:t>
            </w:r>
            <w:r>
              <w:rPr>
                <w:rFonts w:hint="default" w:ascii="Times New Roman" w:hAnsi="Times New Roman" w:eastAsia="宋体" w:cs="Times New Roman"/>
                <w:color w:val="auto"/>
                <w:sz w:val="24"/>
                <w:highlight w:val="none"/>
                <w:lang w:val="en-US" w:eastAsia="zh-CN"/>
              </w:rPr>
              <w:t>cm/s）；其他实验贮存区域为一般防渗区，采取等效黏土防渗层 Mb≥1.5m，K≤1.0×10</w:t>
            </w:r>
            <w:r>
              <w:rPr>
                <w:rFonts w:hint="default" w:ascii="Times New Roman" w:hAnsi="Times New Roman" w:eastAsia="宋体" w:cs="Times New Roman"/>
                <w:color w:val="auto"/>
                <w:sz w:val="24"/>
                <w:highlight w:val="none"/>
                <w:vertAlign w:val="superscript"/>
                <w:lang w:val="en-US" w:eastAsia="zh-CN"/>
              </w:rPr>
              <w:t>-7</w:t>
            </w:r>
            <w:r>
              <w:rPr>
                <w:rFonts w:hint="default" w:ascii="Times New Roman" w:hAnsi="Times New Roman" w:eastAsia="宋体" w:cs="Times New Roman"/>
                <w:color w:val="auto"/>
                <w:sz w:val="24"/>
                <w:highlight w:val="none"/>
                <w:lang w:val="en-US" w:eastAsia="zh-CN"/>
              </w:rPr>
              <w:t>cm/s</w:t>
            </w:r>
            <w:r>
              <w:rPr>
                <w:rFonts w:hint="eastAsia" w:cs="Times New Roman"/>
                <w:color w:val="auto"/>
                <w:sz w:val="24"/>
                <w:highlight w:val="none"/>
                <w:lang w:val="en-US" w:eastAsia="zh-CN"/>
              </w:rPr>
              <w:t>进行防渗</w:t>
            </w:r>
            <w:r>
              <w:rPr>
                <w:rFonts w:hint="default" w:ascii="Times New Roman" w:hAnsi="Times New Roman" w:eastAsia="宋体" w:cs="Times New Roman"/>
                <w:color w:val="auto"/>
                <w:sz w:val="24"/>
                <w:highlight w:val="none"/>
                <w:lang w:val="en-US" w:eastAsia="zh-CN"/>
              </w:rPr>
              <w:t>；办公区域为简单防渗区，防渗要求为一般地面硬化。</w:t>
            </w:r>
          </w:p>
        </w:tc>
      </w:tr>
      <w:tr w14:paraId="218C21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229" w:type="dxa"/>
            <w:vAlign w:val="center"/>
          </w:tcPr>
          <w:p w14:paraId="3F80EBC5">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生态保护措施</w:t>
            </w:r>
          </w:p>
        </w:tc>
        <w:tc>
          <w:tcPr>
            <w:tcW w:w="7571" w:type="dxa"/>
            <w:gridSpan w:val="4"/>
            <w:vAlign w:val="center"/>
          </w:tcPr>
          <w:p w14:paraId="4FE1B93C">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p>
        </w:tc>
      </w:tr>
      <w:tr w14:paraId="0279A2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9" w:type="dxa"/>
            <w:vAlign w:val="center"/>
          </w:tcPr>
          <w:p w14:paraId="17FB164A">
            <w:pPr>
              <w:adjustRightInd w:val="0"/>
              <w:snapToGrid w:val="0"/>
              <w:jc w:val="center"/>
              <w:rPr>
                <w:rFonts w:hint="default" w:ascii="Times New Roman" w:hAnsi="Times New Roman" w:eastAsia="宋体" w:cs="Times New Roman"/>
                <w:color w:val="auto"/>
                <w:spacing w:val="-8"/>
                <w:sz w:val="24"/>
                <w:highlight w:val="none"/>
              </w:rPr>
            </w:pPr>
            <w:r>
              <w:rPr>
                <w:rFonts w:hint="default" w:ascii="Times New Roman" w:hAnsi="Times New Roman" w:eastAsia="宋体" w:cs="Times New Roman"/>
                <w:color w:val="auto"/>
                <w:spacing w:val="-8"/>
                <w:sz w:val="24"/>
                <w:highlight w:val="none"/>
              </w:rPr>
              <w:t>环境风险防范措施</w:t>
            </w:r>
          </w:p>
        </w:tc>
        <w:tc>
          <w:tcPr>
            <w:tcW w:w="7571" w:type="dxa"/>
            <w:gridSpan w:val="4"/>
            <w:vAlign w:val="center"/>
          </w:tcPr>
          <w:p w14:paraId="1692DEEA">
            <w:pPr>
              <w:snapToGrid w:val="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泄漏</w:t>
            </w:r>
            <w:r>
              <w:rPr>
                <w:rFonts w:hint="default" w:ascii="Times New Roman" w:hAnsi="Times New Roman" w:eastAsia="宋体" w:cs="Times New Roman"/>
                <w:b/>
                <w:bCs/>
                <w:color w:val="auto"/>
                <w:sz w:val="24"/>
                <w:highlight w:val="none"/>
                <w:lang w:val="en-US" w:eastAsia="zh-CN"/>
              </w:rPr>
              <w:t>防范措施</w:t>
            </w:r>
          </w:p>
          <w:p w14:paraId="1B7E7C2B">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rPr>
              <w:t>、危险废物存入危险废物暂存间时，严格</w:t>
            </w:r>
            <w:r>
              <w:rPr>
                <w:rFonts w:hint="eastAsia" w:cs="Times New Roman"/>
                <w:color w:val="auto"/>
                <w:sz w:val="24"/>
                <w:highlight w:val="none"/>
                <w:lang w:val="en-US" w:eastAsia="zh-CN"/>
              </w:rPr>
              <w:t>按照危险废物的类别分类贮存，严禁不相容的危险废物混合收集贮存，</w:t>
            </w:r>
            <w:r>
              <w:rPr>
                <w:rFonts w:hint="default" w:ascii="Times New Roman" w:hAnsi="Times New Roman" w:eastAsia="宋体" w:cs="Times New Roman"/>
                <w:color w:val="auto"/>
                <w:sz w:val="24"/>
                <w:highlight w:val="none"/>
              </w:rPr>
              <w:t>检验危险废物的</w:t>
            </w:r>
            <w:r>
              <w:rPr>
                <w:rFonts w:hint="eastAsia" w:cs="Times New Roman"/>
                <w:color w:val="auto"/>
                <w:sz w:val="24"/>
                <w:highlight w:val="none"/>
                <w:lang w:val="en-US" w:eastAsia="zh-CN"/>
              </w:rPr>
              <w:t>类别</w:t>
            </w:r>
            <w:r>
              <w:rPr>
                <w:rFonts w:hint="default" w:ascii="Times New Roman" w:hAnsi="Times New Roman" w:eastAsia="宋体" w:cs="Times New Roman"/>
                <w:color w:val="auto"/>
                <w:sz w:val="24"/>
                <w:highlight w:val="none"/>
              </w:rPr>
              <w:t>、数量、包装情况、有无泄漏</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在贮存期内，定期检查，发现其包装破损、渗漏等状况，及时处理；</w:t>
            </w:r>
          </w:p>
          <w:p w14:paraId="5E6E4A32">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b</w:t>
            </w:r>
            <w:r>
              <w:rPr>
                <w:rFonts w:hint="default" w:ascii="Times New Roman" w:hAnsi="Times New Roman" w:eastAsia="宋体" w:cs="Times New Roman"/>
                <w:color w:val="auto"/>
                <w:sz w:val="24"/>
                <w:highlight w:val="none"/>
              </w:rPr>
              <w:t>、危险废物暂存间</w:t>
            </w:r>
            <w:r>
              <w:rPr>
                <w:rFonts w:hint="default" w:ascii="Times New Roman" w:hAnsi="Times New Roman" w:eastAsia="宋体" w:cs="Times New Roman"/>
                <w:color w:val="auto"/>
                <w:sz w:val="24"/>
                <w:highlight w:val="none"/>
                <w:lang w:eastAsia="zh-CN"/>
              </w:rPr>
              <w:t>做好</w:t>
            </w:r>
            <w:r>
              <w:rPr>
                <w:rFonts w:hint="default" w:ascii="Times New Roman" w:hAnsi="Times New Roman" w:eastAsia="宋体" w:cs="Times New Roman"/>
                <w:color w:val="auto"/>
                <w:sz w:val="24"/>
                <w:highlight w:val="none"/>
              </w:rPr>
              <w:t>行防渗；一旦发生泄漏，应及时将泄漏物收集至专用桶内，并用活性炭或其他惰性材料吸附，吸附后的材料和清洗废水收集至专用容器内，放于危险废物暂存间内交由有资质单位处理；</w:t>
            </w:r>
          </w:p>
          <w:p w14:paraId="4821526E">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c</w:t>
            </w:r>
            <w:r>
              <w:rPr>
                <w:rFonts w:hint="default" w:ascii="Times New Roman" w:hAnsi="Times New Roman" w:eastAsia="宋体" w:cs="Times New Roman"/>
                <w:color w:val="auto"/>
                <w:sz w:val="24"/>
                <w:highlight w:val="none"/>
              </w:rPr>
              <w:t>、禁止向危险废物贮存场所以外的区域抛撒、倾倒、堆放、填埋或排放危险废物；</w:t>
            </w:r>
          </w:p>
          <w:p w14:paraId="41641FE0">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d</w:t>
            </w:r>
            <w:r>
              <w:rPr>
                <w:rFonts w:hint="default" w:ascii="Times New Roman" w:hAnsi="Times New Roman" w:eastAsia="宋体" w:cs="Times New Roman"/>
                <w:color w:val="auto"/>
                <w:sz w:val="24"/>
                <w:highlight w:val="none"/>
              </w:rPr>
              <w:t>、制定</w:t>
            </w:r>
            <w:r>
              <w:rPr>
                <w:rFonts w:hint="default" w:ascii="Times New Roman" w:hAnsi="Times New Roman" w:eastAsia="宋体" w:cs="Times New Roman"/>
                <w:color w:val="auto"/>
                <w:sz w:val="24"/>
                <w:highlight w:val="none"/>
                <w:lang w:val="en-US" w:eastAsia="zh-CN"/>
              </w:rPr>
              <w:t>突发</w:t>
            </w:r>
            <w:r>
              <w:rPr>
                <w:rFonts w:hint="default" w:ascii="Times New Roman" w:hAnsi="Times New Roman" w:eastAsia="宋体" w:cs="Times New Roman"/>
                <w:color w:val="auto"/>
                <w:sz w:val="24"/>
                <w:highlight w:val="none"/>
              </w:rPr>
              <w:t>环境风险</w:t>
            </w:r>
            <w:r>
              <w:rPr>
                <w:rFonts w:hint="default" w:ascii="Times New Roman" w:hAnsi="Times New Roman" w:eastAsia="宋体" w:cs="Times New Roman"/>
                <w:color w:val="auto"/>
                <w:sz w:val="24"/>
                <w:highlight w:val="none"/>
                <w:lang w:val="en-US" w:eastAsia="zh-CN"/>
              </w:rPr>
              <w:t>事故</w:t>
            </w:r>
            <w:r>
              <w:rPr>
                <w:rFonts w:hint="default" w:ascii="Times New Roman" w:hAnsi="Times New Roman" w:eastAsia="宋体" w:cs="Times New Roman"/>
                <w:color w:val="auto"/>
                <w:sz w:val="24"/>
                <w:highlight w:val="none"/>
              </w:rPr>
              <w:t>应急预案。</w:t>
            </w:r>
          </w:p>
          <w:p w14:paraId="3927AD04">
            <w:pPr>
              <w:snapToGrid w:val="0"/>
              <w:spacing w:line="360" w:lineRule="auto"/>
              <w:ind w:firstLine="482" w:firstLineChars="200"/>
              <w:rPr>
                <w:rFonts w:hint="eastAsia"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火灾</w:t>
            </w:r>
            <w:r>
              <w:rPr>
                <w:rFonts w:hint="eastAsia" w:cs="Times New Roman"/>
                <w:b/>
                <w:bCs/>
                <w:color w:val="auto"/>
                <w:sz w:val="24"/>
                <w:highlight w:val="none"/>
                <w:lang w:val="en-US" w:eastAsia="zh-CN"/>
              </w:rPr>
              <w:t>风险防范</w:t>
            </w:r>
          </w:p>
          <w:p w14:paraId="422547B9">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一旦发生火灾事故，建设单位应及时疏散</w:t>
            </w:r>
            <w:r>
              <w:rPr>
                <w:rFonts w:hint="eastAsia" w:cs="Times New Roman"/>
                <w:color w:val="auto"/>
                <w:sz w:val="24"/>
                <w:highlight w:val="none"/>
                <w:lang w:val="en-US" w:eastAsia="zh-CN"/>
              </w:rPr>
              <w:t>公司</w:t>
            </w:r>
            <w:r>
              <w:rPr>
                <w:rFonts w:hint="default" w:ascii="Times New Roman" w:hAnsi="Times New Roman" w:eastAsia="宋体" w:cs="Times New Roman"/>
                <w:color w:val="auto"/>
                <w:sz w:val="24"/>
                <w:highlight w:val="none"/>
              </w:rPr>
              <w:t>内员工，负责救援的人员，应及时佩戴呼吸器，以免浓烟损害健康。同时，应通知周围人群对人员进行疏散，避免人群长时间在 CO、烟尘浓度较高的条件下活动，出现刺激症状。建设单位在日常工作中应采取如下措施：</w:t>
            </w:r>
          </w:p>
          <w:p w14:paraId="2B3D52CF">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定期</w:t>
            </w:r>
            <w:r>
              <w:rPr>
                <w:rFonts w:hint="default" w:ascii="Times New Roman" w:hAnsi="Times New Roman" w:eastAsia="宋体" w:cs="Times New Roman"/>
                <w:color w:val="auto"/>
                <w:sz w:val="24"/>
                <w:highlight w:val="none"/>
              </w:rPr>
              <w:t>检查</w:t>
            </w:r>
            <w:r>
              <w:rPr>
                <w:rFonts w:hint="eastAsia" w:ascii="Times New Roman" w:hAnsi="Times New Roman" w:eastAsia="宋体" w:cs="Times New Roman"/>
                <w:color w:val="auto"/>
                <w:sz w:val="24"/>
                <w:highlight w:val="none"/>
                <w:lang w:val="en-US" w:eastAsia="zh-CN"/>
              </w:rPr>
              <w:t>试剂室</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易制毒室、标物间等风险源，检查</w:t>
            </w:r>
            <w:r>
              <w:rPr>
                <w:rFonts w:hint="default" w:ascii="Times New Roman" w:hAnsi="Times New Roman" w:eastAsia="宋体" w:cs="Times New Roman"/>
                <w:color w:val="auto"/>
                <w:sz w:val="24"/>
                <w:highlight w:val="none"/>
              </w:rPr>
              <w:t>危险物品的</w:t>
            </w:r>
            <w:r>
              <w:rPr>
                <w:rFonts w:hint="eastAsia" w:cs="Times New Roman"/>
                <w:color w:val="auto"/>
                <w:sz w:val="24"/>
                <w:highlight w:val="none"/>
                <w:lang w:val="en-US" w:eastAsia="zh-CN"/>
              </w:rPr>
              <w:t>包装、</w:t>
            </w:r>
            <w:r>
              <w:rPr>
                <w:rFonts w:hint="default" w:ascii="Times New Roman" w:hAnsi="Times New Roman" w:eastAsia="宋体" w:cs="Times New Roman"/>
                <w:color w:val="auto"/>
                <w:sz w:val="24"/>
                <w:highlight w:val="none"/>
              </w:rPr>
              <w:t>使用及贮存情况，</w:t>
            </w:r>
            <w:r>
              <w:rPr>
                <w:rFonts w:hint="eastAsia" w:cs="Times New Roman"/>
                <w:color w:val="auto"/>
                <w:sz w:val="24"/>
                <w:highlight w:val="none"/>
                <w:lang w:val="en-US" w:eastAsia="zh-CN"/>
              </w:rPr>
              <w:t>发现泄露及时处理，做好检查记录</w:t>
            </w:r>
            <w:r>
              <w:rPr>
                <w:rFonts w:hint="default" w:ascii="Times New Roman" w:hAnsi="Times New Roman" w:eastAsia="宋体" w:cs="Times New Roman"/>
                <w:color w:val="auto"/>
                <w:sz w:val="24"/>
                <w:highlight w:val="none"/>
              </w:rPr>
              <w:t>；</w:t>
            </w:r>
          </w:p>
          <w:p w14:paraId="6A9E976E">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b</w:t>
            </w:r>
            <w:r>
              <w:rPr>
                <w:rFonts w:hint="default" w:ascii="Times New Roman" w:hAnsi="Times New Roman" w:eastAsia="宋体" w:cs="Times New Roman"/>
                <w:color w:val="auto"/>
                <w:sz w:val="24"/>
                <w:highlight w:val="none"/>
              </w:rPr>
              <w:t>、加强火源的管理，</w:t>
            </w:r>
            <w:r>
              <w:rPr>
                <w:rFonts w:hint="eastAsia" w:cs="Times New Roman"/>
                <w:color w:val="auto"/>
                <w:sz w:val="24"/>
                <w:highlight w:val="none"/>
                <w:lang w:val="en-US" w:eastAsia="zh-CN"/>
              </w:rPr>
              <w:t>在</w:t>
            </w:r>
            <w:r>
              <w:rPr>
                <w:rFonts w:hint="eastAsia" w:ascii="Times New Roman" w:hAnsi="Times New Roman" w:eastAsia="宋体" w:cs="Times New Roman"/>
                <w:color w:val="auto"/>
                <w:sz w:val="24"/>
                <w:highlight w:val="none"/>
                <w:lang w:val="en-US" w:eastAsia="zh-CN"/>
              </w:rPr>
              <w:t>试剂室</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易制毒室、标物间</w:t>
            </w:r>
            <w:r>
              <w:rPr>
                <w:rFonts w:hint="eastAsia" w:cs="Times New Roman"/>
                <w:color w:val="auto"/>
                <w:sz w:val="24"/>
                <w:highlight w:val="none"/>
                <w:lang w:val="en-US" w:eastAsia="zh-CN"/>
              </w:rPr>
              <w:t>、实验室安装火灾报警装置，并定期校验，确保使用效能，</w:t>
            </w:r>
            <w:r>
              <w:rPr>
                <w:rFonts w:hint="default" w:ascii="Times New Roman" w:hAnsi="Times New Roman" w:eastAsia="宋体" w:cs="Times New Roman"/>
                <w:color w:val="auto"/>
                <w:sz w:val="24"/>
                <w:highlight w:val="none"/>
              </w:rPr>
              <w:t>严禁烟火带入，危险</w:t>
            </w:r>
            <w:r>
              <w:rPr>
                <w:rFonts w:hint="eastAsia" w:cs="Times New Roman"/>
                <w:color w:val="auto"/>
                <w:sz w:val="24"/>
                <w:highlight w:val="none"/>
                <w:lang w:val="en-US" w:eastAsia="zh-CN"/>
              </w:rPr>
              <w:t>物品贮存</w:t>
            </w:r>
            <w:r>
              <w:rPr>
                <w:rFonts w:hint="default" w:ascii="Times New Roman" w:hAnsi="Times New Roman" w:eastAsia="宋体" w:cs="Times New Roman"/>
                <w:color w:val="auto"/>
                <w:sz w:val="24"/>
                <w:highlight w:val="none"/>
              </w:rPr>
              <w:t>场所应设有明显的禁止烟火安全标志；</w:t>
            </w:r>
          </w:p>
          <w:p w14:paraId="612434B2">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c</w:t>
            </w:r>
            <w:r>
              <w:rPr>
                <w:rFonts w:hint="default" w:ascii="Times New Roman" w:hAnsi="Times New Roman" w:eastAsia="宋体" w:cs="Times New Roman"/>
                <w:color w:val="auto"/>
                <w:sz w:val="24"/>
                <w:highlight w:val="none"/>
              </w:rPr>
              <w:t>、制定操作规程，</w:t>
            </w:r>
            <w:r>
              <w:rPr>
                <w:rFonts w:hint="eastAsia" w:cs="Times New Roman"/>
                <w:color w:val="auto"/>
                <w:sz w:val="24"/>
                <w:highlight w:val="none"/>
                <w:lang w:val="en-US" w:eastAsia="zh-CN"/>
              </w:rPr>
              <w:t>严格按照标准规范检验操作，工作人员检测操作期间密切关注检验过程，不可擅自离岗，</w:t>
            </w:r>
            <w:r>
              <w:rPr>
                <w:rFonts w:hint="default" w:ascii="Times New Roman" w:hAnsi="Times New Roman" w:eastAsia="宋体" w:cs="Times New Roman"/>
                <w:color w:val="auto"/>
                <w:sz w:val="24"/>
                <w:highlight w:val="none"/>
              </w:rPr>
              <w:t>在危险</w:t>
            </w:r>
            <w:r>
              <w:rPr>
                <w:rFonts w:hint="eastAsia" w:cs="Times New Roman"/>
                <w:color w:val="auto"/>
                <w:sz w:val="24"/>
                <w:highlight w:val="none"/>
                <w:lang w:val="en-US" w:eastAsia="zh-CN"/>
              </w:rPr>
              <w:t>物品贮存</w:t>
            </w:r>
            <w:r>
              <w:rPr>
                <w:rFonts w:hint="default" w:ascii="Times New Roman" w:hAnsi="Times New Roman" w:eastAsia="宋体" w:cs="Times New Roman"/>
                <w:color w:val="auto"/>
                <w:sz w:val="24"/>
                <w:highlight w:val="none"/>
              </w:rPr>
              <w:t>场所内设置灭火器，并配备一定数量的自给式呼吸器、消防防护服等；</w:t>
            </w:r>
          </w:p>
          <w:p w14:paraId="4506736B">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d</w:t>
            </w:r>
            <w:r>
              <w:rPr>
                <w:rFonts w:hint="default" w:ascii="Times New Roman" w:hAnsi="Times New Roman" w:eastAsia="宋体" w:cs="Times New Roman"/>
                <w:color w:val="auto"/>
                <w:sz w:val="24"/>
                <w:highlight w:val="none"/>
              </w:rPr>
              <w:t>、定期对职工进行消防安全知识培训，一旦发生事故能采取正确的应急措施；</w:t>
            </w:r>
          </w:p>
          <w:p w14:paraId="0CB62FC0">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e</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定期开展安全风险辨识评估，定期组织隐患排查，发现问题及时处理。</w:t>
            </w:r>
          </w:p>
        </w:tc>
      </w:tr>
      <w:tr w14:paraId="757CA5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9" w:type="dxa"/>
            <w:vAlign w:val="center"/>
          </w:tcPr>
          <w:p w14:paraId="24AA0946">
            <w:pPr>
              <w:adjustRightInd w:val="0"/>
              <w:snapToGrid w:val="0"/>
              <w:jc w:val="center"/>
              <w:rPr>
                <w:rFonts w:hint="default" w:ascii="Times New Roman" w:hAnsi="Times New Roman" w:eastAsia="宋体" w:cs="Times New Roman"/>
                <w:color w:val="auto"/>
                <w:spacing w:val="-8"/>
                <w:sz w:val="24"/>
                <w:highlight w:val="none"/>
              </w:rPr>
            </w:pPr>
            <w:r>
              <w:rPr>
                <w:rFonts w:hint="default" w:ascii="Times New Roman" w:hAnsi="Times New Roman" w:eastAsia="宋体" w:cs="Times New Roman"/>
                <w:color w:val="auto"/>
                <w:spacing w:val="-8"/>
                <w:sz w:val="24"/>
                <w:highlight w:val="none"/>
              </w:rPr>
              <w:t>其他环境管理要求</w:t>
            </w:r>
          </w:p>
        </w:tc>
        <w:tc>
          <w:tcPr>
            <w:tcW w:w="7571" w:type="dxa"/>
            <w:gridSpan w:val="4"/>
            <w:vAlign w:val="center"/>
          </w:tcPr>
          <w:p w14:paraId="794D7C00">
            <w:pPr>
              <w:snapToGrid w:val="0"/>
              <w:spacing w:line="360" w:lineRule="auto"/>
              <w:ind w:firstLine="482" w:firstLineChars="200"/>
              <w:rPr>
                <w:rFonts w:hint="default"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与排污许可制衔接要求</w:t>
            </w:r>
          </w:p>
          <w:p w14:paraId="016375BD">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根据《国民经济行业分类》（GB/T4754-2017），本项目属于</w:t>
            </w:r>
            <w:r>
              <w:rPr>
                <w:rFonts w:hint="eastAsia" w:cs="Times New Roman"/>
                <w:color w:val="auto"/>
                <w:sz w:val="24"/>
                <w:highlight w:val="none"/>
                <w:lang w:eastAsia="zh-CN"/>
              </w:rPr>
              <w:t>“</w:t>
            </w:r>
            <w:r>
              <w:rPr>
                <w:rFonts w:hint="eastAsia"/>
                <w:color w:val="auto"/>
                <w:sz w:val="24"/>
                <w:highlight w:val="none"/>
              </w:rPr>
              <w:t>检测服务</w:t>
            </w:r>
            <w:r>
              <w:rPr>
                <w:color w:val="auto"/>
                <w:sz w:val="24"/>
                <w:highlight w:val="none"/>
              </w:rPr>
              <w:t>M7452</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。对照《固定污染源排污许可分类管理名录》（2019版）内，本项目暂无相关要求。</w:t>
            </w:r>
          </w:p>
          <w:p w14:paraId="66F1EE2A">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关于做好环境影响评价制度与排污许可制衔接相关工作的通知》（环办环评[2017]84号）文件要求，需做好建设项目环境影响评价制度与排污许可制有机衔接相关工作。按照该要求，核定建设项目的产排污环节、污染物种类及污染防治设施和措施等基本信息，严格核定排放口数量、位置以及每个排放口的污染物种类、允许排放浓度和允许排放量、排放方式、排放去向、自行监测计划等与污染物排放相关的主要内容。</w:t>
            </w:r>
          </w:p>
          <w:p w14:paraId="7CAA6B5B">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本项目污染物排放相关的主要内容详见下表：</w:t>
            </w:r>
          </w:p>
          <w:p w14:paraId="1FFB3EA3">
            <w:pPr>
              <w:numPr>
                <w:ilvl w:val="0"/>
                <w:numId w:val="0"/>
              </w:numPr>
              <w:adjustRightInd w:val="0"/>
              <w:spacing w:line="360" w:lineRule="auto"/>
              <w:ind w:leftChars="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 xml:space="preserve">表5-1  </w:t>
            </w:r>
            <w:r>
              <w:rPr>
                <w:rFonts w:hint="default" w:ascii="Times New Roman" w:hAnsi="Times New Roman" w:eastAsia="宋体" w:cs="Times New Roman"/>
                <w:b/>
                <w:color w:val="auto"/>
                <w:sz w:val="24"/>
                <w:highlight w:val="none"/>
              </w:rPr>
              <w:t>项目与污染物排放相关内容一览表</w:t>
            </w:r>
          </w:p>
          <w:tbl>
            <w:tblPr>
              <w:tblStyle w:val="24"/>
              <w:tblW w:w="7358" w:type="dxa"/>
              <w:tblInd w:w="5"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3087"/>
              <w:gridCol w:w="3109"/>
            </w:tblGrid>
            <w:tr w14:paraId="7E912BD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162" w:type="dxa"/>
                  <w:tcBorders>
                    <w:tl2br w:val="nil"/>
                    <w:tr2bl w:val="nil"/>
                  </w:tcBorders>
                  <w:tcMar>
                    <w:top w:w="0" w:type="dxa"/>
                    <w:left w:w="0" w:type="dxa"/>
                    <w:bottom w:w="0" w:type="dxa"/>
                    <w:right w:w="0" w:type="dxa"/>
                  </w:tcMar>
                  <w:vAlign w:val="center"/>
                </w:tcPr>
                <w:p w14:paraId="763EE84D">
                  <w:pPr>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类别</w:t>
                  </w:r>
                </w:p>
              </w:tc>
              <w:tc>
                <w:tcPr>
                  <w:tcW w:w="3087" w:type="dxa"/>
                  <w:tcBorders>
                    <w:tl2br w:val="nil"/>
                    <w:tr2bl w:val="nil"/>
                  </w:tcBorders>
                  <w:tcMar>
                    <w:top w:w="0" w:type="dxa"/>
                    <w:left w:w="0" w:type="dxa"/>
                    <w:bottom w:w="0" w:type="dxa"/>
                    <w:right w:w="0" w:type="dxa"/>
                  </w:tcMar>
                  <w:vAlign w:val="center"/>
                </w:tcPr>
                <w:p w14:paraId="325C2909">
                  <w:pPr>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废气</w:t>
                  </w:r>
                </w:p>
              </w:tc>
              <w:tc>
                <w:tcPr>
                  <w:tcW w:w="3109" w:type="dxa"/>
                  <w:tcBorders>
                    <w:tl2br w:val="nil"/>
                    <w:tr2bl w:val="nil"/>
                  </w:tcBorders>
                  <w:tcMar>
                    <w:top w:w="0" w:type="dxa"/>
                    <w:left w:w="0" w:type="dxa"/>
                    <w:bottom w:w="0" w:type="dxa"/>
                    <w:right w:w="0" w:type="dxa"/>
                  </w:tcMar>
                  <w:vAlign w:val="center"/>
                </w:tcPr>
                <w:p w14:paraId="7376D789">
                  <w:pPr>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废水</w:t>
                  </w:r>
                </w:p>
              </w:tc>
            </w:tr>
            <w:tr w14:paraId="49E3E73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162" w:type="dxa"/>
                  <w:tcBorders>
                    <w:tl2br w:val="nil"/>
                    <w:tr2bl w:val="nil"/>
                  </w:tcBorders>
                  <w:tcMar>
                    <w:top w:w="0" w:type="dxa"/>
                    <w:left w:w="0" w:type="dxa"/>
                    <w:bottom w:w="0" w:type="dxa"/>
                    <w:right w:w="0" w:type="dxa"/>
                  </w:tcMar>
                  <w:vAlign w:val="center"/>
                </w:tcPr>
                <w:p w14:paraId="065BA882">
                  <w:pPr>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产排污环节</w:t>
                  </w:r>
                </w:p>
              </w:tc>
              <w:tc>
                <w:tcPr>
                  <w:tcW w:w="3087" w:type="dxa"/>
                  <w:tcBorders>
                    <w:tl2br w:val="nil"/>
                    <w:tr2bl w:val="nil"/>
                  </w:tcBorders>
                  <w:tcMar>
                    <w:top w:w="0" w:type="dxa"/>
                    <w:left w:w="0" w:type="dxa"/>
                    <w:bottom w:w="0" w:type="dxa"/>
                    <w:right w:w="0" w:type="dxa"/>
                  </w:tcMar>
                  <w:vAlign w:val="center"/>
                </w:tcPr>
                <w:p w14:paraId="2CC14788">
                  <w:pPr>
                    <w:jc w:val="center"/>
                    <w:rPr>
                      <w:rFonts w:hint="default" w:ascii="Times New Roman" w:hAnsi="Times New Roman" w:eastAsia="宋体" w:cs="Times New Roman"/>
                      <w:bCs/>
                      <w:color w:val="auto"/>
                      <w:szCs w:val="21"/>
                      <w:highlight w:val="none"/>
                      <w:lang w:val="en-US" w:eastAsia="zh-CN"/>
                    </w:rPr>
                  </w:pPr>
                  <w:r>
                    <w:rPr>
                      <w:rFonts w:hint="eastAsia" w:cs="Times New Roman"/>
                      <w:color w:val="auto"/>
                      <w:kern w:val="0"/>
                      <w:sz w:val="21"/>
                      <w:szCs w:val="21"/>
                      <w:lang w:val="en-US" w:eastAsia="zh-CN" w:bidi="ar"/>
                    </w:rPr>
                    <w:t>试剂配制、样品前处理、检测过程</w:t>
                  </w:r>
                </w:p>
              </w:tc>
              <w:tc>
                <w:tcPr>
                  <w:tcW w:w="3109" w:type="dxa"/>
                  <w:tcBorders>
                    <w:tl2br w:val="nil"/>
                    <w:tr2bl w:val="nil"/>
                  </w:tcBorders>
                  <w:shd w:val="clear" w:color="auto" w:fill="auto"/>
                  <w:tcMar>
                    <w:top w:w="0" w:type="dxa"/>
                    <w:left w:w="0" w:type="dxa"/>
                    <w:bottom w:w="0" w:type="dxa"/>
                    <w:right w:w="0" w:type="dxa"/>
                  </w:tcMar>
                  <w:vAlign w:val="center"/>
                </w:tcPr>
                <w:p w14:paraId="187CAAD7">
                  <w:pPr>
                    <w:snapToGrid w:val="0"/>
                    <w:jc w:val="center"/>
                    <w:rPr>
                      <w:rFonts w:hint="default" w:ascii="Times New Roman" w:hAnsi="Times New Roman" w:eastAsia="宋体" w:cs="Times New Roman"/>
                      <w:bCs/>
                      <w:color w:val="auto"/>
                      <w:szCs w:val="21"/>
                      <w:highlight w:val="none"/>
                    </w:rPr>
                  </w:pPr>
                  <w:r>
                    <w:rPr>
                      <w:rFonts w:hint="eastAsia" w:cs="Times New Roman"/>
                      <w:bCs/>
                      <w:color w:val="auto"/>
                      <w:szCs w:val="21"/>
                      <w:highlight w:val="none"/>
                      <w:lang w:val="en-US" w:eastAsia="zh-CN"/>
                    </w:rPr>
                    <w:t>容器</w:t>
                  </w:r>
                  <w:r>
                    <w:rPr>
                      <w:rFonts w:hint="default" w:ascii="Times New Roman" w:hAnsi="Times New Roman" w:eastAsia="宋体" w:cs="Times New Roman"/>
                      <w:bCs/>
                      <w:color w:val="auto"/>
                      <w:szCs w:val="21"/>
                      <w:highlight w:val="none"/>
                    </w:rPr>
                    <w:t>清洗、纯水制备、</w:t>
                  </w:r>
                  <w:r>
                    <w:rPr>
                      <w:rFonts w:hint="eastAsia" w:cs="Times New Roman"/>
                      <w:color w:val="auto"/>
                      <w:kern w:val="0"/>
                      <w:sz w:val="21"/>
                      <w:szCs w:val="21"/>
                      <w:lang w:val="en-US" w:eastAsia="zh-CN" w:bidi="ar"/>
                    </w:rPr>
                    <w:t>高压蒸汽灭菌、地面清洗、</w:t>
                  </w:r>
                  <w:r>
                    <w:rPr>
                      <w:rFonts w:hint="default" w:ascii="Times New Roman" w:hAnsi="Times New Roman" w:eastAsia="宋体" w:cs="Times New Roman"/>
                      <w:bCs/>
                      <w:color w:val="auto"/>
                      <w:szCs w:val="21"/>
                      <w:highlight w:val="none"/>
                    </w:rPr>
                    <w:t>员工生活</w:t>
                  </w:r>
                </w:p>
              </w:tc>
            </w:tr>
            <w:tr w14:paraId="1C502AD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162" w:type="dxa"/>
                  <w:tcBorders>
                    <w:tl2br w:val="nil"/>
                    <w:tr2bl w:val="nil"/>
                  </w:tcBorders>
                  <w:tcMar>
                    <w:top w:w="0" w:type="dxa"/>
                    <w:left w:w="0" w:type="dxa"/>
                    <w:bottom w:w="0" w:type="dxa"/>
                    <w:right w:w="0" w:type="dxa"/>
                  </w:tcMar>
                  <w:vAlign w:val="center"/>
                </w:tcPr>
                <w:p w14:paraId="1322E61F">
                  <w:pPr>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污染物种类</w:t>
                  </w:r>
                </w:p>
              </w:tc>
              <w:tc>
                <w:tcPr>
                  <w:tcW w:w="3087" w:type="dxa"/>
                  <w:tcBorders>
                    <w:tl2br w:val="nil"/>
                    <w:tr2bl w:val="nil"/>
                  </w:tcBorders>
                  <w:tcMar>
                    <w:top w:w="0" w:type="dxa"/>
                    <w:left w:w="0" w:type="dxa"/>
                    <w:bottom w:w="0" w:type="dxa"/>
                    <w:right w:w="0" w:type="dxa"/>
                  </w:tcMar>
                  <w:vAlign w:val="center"/>
                </w:tcPr>
                <w:p w14:paraId="240995F9">
                  <w:pPr>
                    <w:jc w:val="center"/>
                    <w:rPr>
                      <w:rFonts w:hint="eastAsia" w:eastAsia="宋体" w:cs="Times New Roman"/>
                      <w:color w:val="auto"/>
                      <w:kern w:val="0"/>
                      <w:sz w:val="21"/>
                      <w:szCs w:val="21"/>
                      <w:lang w:val="en-US" w:eastAsia="zh-CN" w:bidi="ar"/>
                    </w:rPr>
                  </w:pPr>
                  <w:r>
                    <w:rPr>
                      <w:rFonts w:hint="eastAsia" w:eastAsia="宋体" w:cs="Times New Roman"/>
                      <w:color w:val="auto"/>
                      <w:kern w:val="0"/>
                      <w:sz w:val="21"/>
                      <w:szCs w:val="21"/>
                      <w:lang w:val="en-US" w:eastAsia="zh-CN" w:bidi="ar"/>
                    </w:rPr>
                    <w:t>非甲烷总烃、甲醇、其他A类物质（乙酸）、其他C类物质（乙酸乙酯</w:t>
                  </w:r>
                  <w:r>
                    <w:rPr>
                      <w:rFonts w:hint="eastAsia" w:cs="Times New Roman"/>
                      <w:color w:val="auto"/>
                      <w:kern w:val="0"/>
                      <w:sz w:val="21"/>
                      <w:szCs w:val="21"/>
                      <w:lang w:val="en-US" w:eastAsia="zh-CN" w:bidi="ar"/>
                    </w:rPr>
                    <w:t>、</w:t>
                  </w:r>
                  <w:r>
                    <w:rPr>
                      <w:rFonts w:hint="eastAsia" w:eastAsia="宋体" w:cs="Times New Roman"/>
                      <w:color w:val="auto"/>
                      <w:kern w:val="0"/>
                      <w:sz w:val="21"/>
                      <w:szCs w:val="21"/>
                      <w:lang w:val="en-US" w:eastAsia="zh-CN" w:bidi="ar"/>
                    </w:rPr>
                    <w:t>乙醚）、氯化氢、氮氧化物、</w:t>
                  </w:r>
                  <w:r>
                    <w:rPr>
                      <w:rFonts w:hint="eastAsia" w:cs="Times New Roman"/>
                      <w:b w:val="0"/>
                      <w:bCs w:val="0"/>
                      <w:color w:val="auto"/>
                      <w:kern w:val="0"/>
                      <w:sz w:val="21"/>
                      <w:szCs w:val="21"/>
                      <w:highlight w:val="none"/>
                      <w:vertAlign w:val="baseline"/>
                      <w:lang w:val="en-US" w:eastAsia="zh-CN" w:bidi="ar-SA"/>
                    </w:rPr>
                    <w:t>硫酸雾</w:t>
                  </w:r>
                  <w:r>
                    <w:rPr>
                      <w:rFonts w:hint="eastAsia" w:eastAsia="宋体" w:cs="Times New Roman"/>
                      <w:color w:val="auto"/>
                      <w:kern w:val="0"/>
                      <w:sz w:val="21"/>
                      <w:szCs w:val="21"/>
                      <w:lang w:val="en-US" w:eastAsia="zh-CN" w:bidi="ar"/>
                    </w:rPr>
                    <w:t>、氨</w:t>
                  </w:r>
                </w:p>
              </w:tc>
              <w:tc>
                <w:tcPr>
                  <w:tcW w:w="3109" w:type="dxa"/>
                  <w:tcBorders>
                    <w:tl2br w:val="nil"/>
                    <w:tr2bl w:val="nil"/>
                  </w:tcBorders>
                  <w:shd w:val="clear" w:color="auto" w:fill="auto"/>
                  <w:tcMar>
                    <w:top w:w="0" w:type="dxa"/>
                    <w:left w:w="0" w:type="dxa"/>
                    <w:bottom w:w="0" w:type="dxa"/>
                    <w:right w:w="0" w:type="dxa"/>
                  </w:tcMar>
                  <w:vAlign w:val="center"/>
                </w:tcPr>
                <w:p w14:paraId="280863D2">
                  <w:pPr>
                    <w:jc w:val="center"/>
                    <w:rPr>
                      <w:rFonts w:hint="default" w:eastAsia="宋体" w:cs="Times New Roman"/>
                      <w:color w:val="auto"/>
                      <w:kern w:val="0"/>
                      <w:sz w:val="21"/>
                      <w:szCs w:val="21"/>
                      <w:lang w:val="en-US" w:eastAsia="zh-CN" w:bidi="ar"/>
                    </w:rPr>
                  </w:pPr>
                  <w:r>
                    <w:rPr>
                      <w:rFonts w:hint="default" w:eastAsia="宋体" w:cs="Times New Roman"/>
                      <w:color w:val="auto"/>
                      <w:kern w:val="0"/>
                      <w:sz w:val="21"/>
                      <w:szCs w:val="21"/>
                      <w:lang w:val="en-US" w:eastAsia="zh-CN" w:bidi="ar"/>
                    </w:rPr>
                    <w:t>pH、COD</w:t>
                  </w:r>
                  <w:r>
                    <w:rPr>
                      <w:rFonts w:hint="default" w:eastAsia="宋体" w:cs="Times New Roman"/>
                      <w:color w:val="auto"/>
                      <w:kern w:val="0"/>
                      <w:sz w:val="21"/>
                      <w:szCs w:val="21"/>
                      <w:vertAlign w:val="subscript"/>
                      <w:lang w:val="en-US" w:eastAsia="zh-CN" w:bidi="ar"/>
                    </w:rPr>
                    <w:t>Cr</w:t>
                  </w:r>
                  <w:r>
                    <w:rPr>
                      <w:rFonts w:hint="default" w:eastAsia="宋体" w:cs="Times New Roman"/>
                      <w:color w:val="auto"/>
                      <w:kern w:val="0"/>
                      <w:sz w:val="21"/>
                      <w:szCs w:val="21"/>
                      <w:lang w:val="en-US" w:eastAsia="zh-CN" w:bidi="ar"/>
                    </w:rPr>
                    <w:t>、BOD</w:t>
                  </w:r>
                  <w:r>
                    <w:rPr>
                      <w:rFonts w:hint="default" w:eastAsia="宋体" w:cs="Times New Roman"/>
                      <w:color w:val="auto"/>
                      <w:kern w:val="0"/>
                      <w:sz w:val="21"/>
                      <w:szCs w:val="21"/>
                      <w:vertAlign w:val="subscript"/>
                      <w:lang w:val="en-US" w:eastAsia="zh-CN" w:bidi="ar"/>
                    </w:rPr>
                    <w:t>5</w:t>
                  </w:r>
                  <w:r>
                    <w:rPr>
                      <w:rFonts w:hint="default" w:eastAsia="宋体" w:cs="Times New Roman"/>
                      <w:color w:val="auto"/>
                      <w:kern w:val="0"/>
                      <w:sz w:val="21"/>
                      <w:szCs w:val="21"/>
                      <w:lang w:val="en-US" w:eastAsia="zh-CN" w:bidi="ar"/>
                    </w:rPr>
                    <w:t>、SS、氨氮</w:t>
                  </w:r>
                  <w:r>
                    <w:rPr>
                      <w:rFonts w:hint="eastAsia" w:cs="Times New Roman"/>
                      <w:color w:val="auto"/>
                      <w:kern w:val="0"/>
                      <w:sz w:val="21"/>
                      <w:szCs w:val="21"/>
                      <w:lang w:val="en-US" w:eastAsia="zh-CN" w:bidi="ar"/>
                    </w:rPr>
                    <w:t>、</w:t>
                  </w:r>
                </w:p>
                <w:p w14:paraId="5AF53A59">
                  <w:pPr>
                    <w:jc w:val="center"/>
                    <w:rPr>
                      <w:rFonts w:hint="default" w:eastAsia="宋体" w:cs="Times New Roman"/>
                      <w:color w:val="auto"/>
                      <w:kern w:val="0"/>
                      <w:sz w:val="21"/>
                      <w:szCs w:val="21"/>
                      <w:lang w:val="en-US" w:eastAsia="zh-CN" w:bidi="ar"/>
                    </w:rPr>
                  </w:pPr>
                  <w:r>
                    <w:rPr>
                      <w:rFonts w:hint="default" w:eastAsia="宋体" w:cs="Times New Roman"/>
                      <w:color w:val="auto"/>
                      <w:kern w:val="0"/>
                      <w:sz w:val="21"/>
                      <w:szCs w:val="21"/>
                      <w:lang w:val="en-US" w:eastAsia="zh-CN" w:bidi="ar"/>
                    </w:rPr>
                    <w:t>可溶性固体总量</w:t>
                  </w:r>
                </w:p>
              </w:tc>
            </w:tr>
            <w:tr w14:paraId="4D016B4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162" w:type="dxa"/>
                  <w:tcBorders>
                    <w:tl2br w:val="nil"/>
                    <w:tr2bl w:val="nil"/>
                  </w:tcBorders>
                  <w:tcMar>
                    <w:top w:w="0" w:type="dxa"/>
                    <w:left w:w="0" w:type="dxa"/>
                    <w:bottom w:w="0" w:type="dxa"/>
                    <w:right w:w="0" w:type="dxa"/>
                  </w:tcMar>
                  <w:vAlign w:val="center"/>
                </w:tcPr>
                <w:p w14:paraId="2C83BC80">
                  <w:pPr>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污染防治措施</w:t>
                  </w:r>
                </w:p>
              </w:tc>
              <w:tc>
                <w:tcPr>
                  <w:tcW w:w="3087" w:type="dxa"/>
                  <w:tcBorders>
                    <w:tl2br w:val="nil"/>
                    <w:tr2bl w:val="nil"/>
                  </w:tcBorders>
                  <w:tcMar>
                    <w:top w:w="0" w:type="dxa"/>
                    <w:left w:w="0" w:type="dxa"/>
                    <w:bottom w:w="0" w:type="dxa"/>
                    <w:right w:w="0" w:type="dxa"/>
                  </w:tcMar>
                  <w:vAlign w:val="center"/>
                </w:tcPr>
                <w:p w14:paraId="4CD4F832">
                  <w:pPr>
                    <w:jc w:val="center"/>
                    <w:rPr>
                      <w:rFonts w:hint="default"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干式过滤器、</w:t>
                  </w:r>
                  <w:r>
                    <w:rPr>
                      <w:rFonts w:hint="eastAsia" w:eastAsia="宋体" w:cs="Times New Roman"/>
                      <w:color w:val="auto"/>
                      <w:kern w:val="0"/>
                      <w:sz w:val="21"/>
                      <w:szCs w:val="21"/>
                      <w:lang w:val="en-US" w:eastAsia="zh-CN" w:bidi="ar"/>
                    </w:rPr>
                    <w:t>活性炭吸附设施</w:t>
                  </w:r>
                </w:p>
              </w:tc>
              <w:tc>
                <w:tcPr>
                  <w:tcW w:w="3109" w:type="dxa"/>
                  <w:tcBorders>
                    <w:tl2br w:val="nil"/>
                    <w:tr2bl w:val="nil"/>
                  </w:tcBorders>
                  <w:shd w:val="clear" w:color="auto" w:fill="auto"/>
                  <w:tcMar>
                    <w:top w:w="0" w:type="dxa"/>
                    <w:left w:w="0" w:type="dxa"/>
                    <w:bottom w:w="0" w:type="dxa"/>
                    <w:right w:w="0" w:type="dxa"/>
                  </w:tcMar>
                  <w:vAlign w:val="center"/>
                </w:tcPr>
                <w:p w14:paraId="2CF2019A">
                  <w:pPr>
                    <w:jc w:val="center"/>
                    <w:rPr>
                      <w:rFonts w:hint="default"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废水处理设施、</w:t>
                  </w:r>
                  <w:r>
                    <w:rPr>
                      <w:rFonts w:hint="default" w:eastAsia="宋体" w:cs="Times New Roman"/>
                      <w:color w:val="auto"/>
                      <w:kern w:val="0"/>
                      <w:sz w:val="21"/>
                      <w:szCs w:val="21"/>
                      <w:lang w:val="en-US" w:eastAsia="zh-CN" w:bidi="ar"/>
                    </w:rPr>
                    <w:t>化粪池</w:t>
                  </w:r>
                </w:p>
              </w:tc>
            </w:tr>
            <w:tr w14:paraId="2395F6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162" w:type="dxa"/>
                  <w:tcBorders>
                    <w:tl2br w:val="nil"/>
                    <w:tr2bl w:val="nil"/>
                  </w:tcBorders>
                  <w:tcMar>
                    <w:top w:w="0" w:type="dxa"/>
                    <w:left w:w="0" w:type="dxa"/>
                    <w:bottom w:w="0" w:type="dxa"/>
                    <w:right w:w="0" w:type="dxa"/>
                  </w:tcMar>
                  <w:vAlign w:val="center"/>
                </w:tcPr>
                <w:p w14:paraId="5A5DAD07">
                  <w:pPr>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排污口数量及位置</w:t>
                  </w:r>
                </w:p>
              </w:tc>
              <w:tc>
                <w:tcPr>
                  <w:tcW w:w="3087" w:type="dxa"/>
                  <w:tcBorders>
                    <w:tl2br w:val="nil"/>
                    <w:tr2bl w:val="nil"/>
                  </w:tcBorders>
                  <w:tcMar>
                    <w:top w:w="0" w:type="dxa"/>
                    <w:left w:w="0" w:type="dxa"/>
                    <w:bottom w:w="0" w:type="dxa"/>
                    <w:right w:w="0" w:type="dxa"/>
                  </w:tcMar>
                  <w:vAlign w:val="center"/>
                </w:tcPr>
                <w:p w14:paraId="1AE5344D">
                  <w:pPr>
                    <w:jc w:val="center"/>
                    <w:rPr>
                      <w:rFonts w:hint="default" w:eastAsia="宋体" w:cs="Times New Roman"/>
                      <w:color w:val="auto"/>
                      <w:kern w:val="0"/>
                      <w:sz w:val="21"/>
                      <w:szCs w:val="21"/>
                      <w:lang w:val="en-US" w:eastAsia="zh-CN" w:bidi="ar"/>
                    </w:rPr>
                  </w:pPr>
                  <w:r>
                    <w:rPr>
                      <w:rFonts w:hint="eastAsia" w:eastAsia="宋体" w:cs="Times New Roman"/>
                      <w:color w:val="auto"/>
                      <w:kern w:val="0"/>
                      <w:sz w:val="21"/>
                      <w:szCs w:val="21"/>
                      <w:lang w:val="en-US" w:eastAsia="zh-CN" w:bidi="ar"/>
                    </w:rPr>
                    <w:t>1</w:t>
                  </w:r>
                  <w:r>
                    <w:rPr>
                      <w:rFonts w:hint="default" w:eastAsia="宋体" w:cs="Times New Roman"/>
                      <w:color w:val="auto"/>
                      <w:kern w:val="0"/>
                      <w:sz w:val="21"/>
                      <w:szCs w:val="21"/>
                      <w:lang w:val="en-US" w:eastAsia="zh-CN" w:bidi="ar"/>
                    </w:rPr>
                    <w:t>个，位于楼顶</w:t>
                  </w:r>
                </w:p>
              </w:tc>
              <w:tc>
                <w:tcPr>
                  <w:tcW w:w="3109" w:type="dxa"/>
                  <w:tcBorders>
                    <w:tl2br w:val="nil"/>
                    <w:tr2bl w:val="nil"/>
                  </w:tcBorders>
                  <w:tcMar>
                    <w:top w:w="0" w:type="dxa"/>
                    <w:left w:w="0" w:type="dxa"/>
                    <w:bottom w:w="0" w:type="dxa"/>
                    <w:right w:w="0" w:type="dxa"/>
                  </w:tcMar>
                  <w:vAlign w:val="center"/>
                </w:tcPr>
                <w:p w14:paraId="71D67AC4">
                  <w:pPr>
                    <w:jc w:val="center"/>
                    <w:rPr>
                      <w:rFonts w:hint="default" w:eastAsia="宋体" w:cs="Times New Roman"/>
                      <w:color w:val="auto"/>
                      <w:kern w:val="0"/>
                      <w:sz w:val="21"/>
                      <w:szCs w:val="21"/>
                      <w:lang w:val="en-US" w:eastAsia="zh-CN" w:bidi="ar"/>
                    </w:rPr>
                  </w:pPr>
                  <w:r>
                    <w:rPr>
                      <w:rFonts w:hint="default" w:eastAsia="宋体" w:cs="Times New Roman"/>
                      <w:color w:val="auto"/>
                      <w:kern w:val="0"/>
                      <w:sz w:val="21"/>
                      <w:szCs w:val="21"/>
                      <w:lang w:val="en-US" w:eastAsia="zh-CN" w:bidi="ar"/>
                    </w:rPr>
                    <w:t>1个，位于</w:t>
                  </w:r>
                  <w:r>
                    <w:rPr>
                      <w:rFonts w:hint="eastAsia" w:cs="Times New Roman"/>
                      <w:color w:val="auto"/>
                      <w:kern w:val="0"/>
                      <w:sz w:val="21"/>
                      <w:szCs w:val="21"/>
                      <w:lang w:val="en-US" w:eastAsia="zh-CN" w:bidi="ar"/>
                    </w:rPr>
                    <w:t>本幢</w:t>
                  </w:r>
                  <w:r>
                    <w:rPr>
                      <w:rFonts w:hint="default" w:eastAsia="宋体" w:cs="Times New Roman"/>
                      <w:color w:val="auto"/>
                      <w:kern w:val="0"/>
                      <w:sz w:val="21"/>
                      <w:szCs w:val="21"/>
                      <w:lang w:val="en-US" w:eastAsia="zh-CN" w:bidi="ar"/>
                    </w:rPr>
                    <w:t>楼</w:t>
                  </w:r>
                  <w:r>
                    <w:rPr>
                      <w:rFonts w:hint="eastAsia" w:cs="Times New Roman"/>
                      <w:color w:val="auto"/>
                      <w:kern w:val="0"/>
                      <w:sz w:val="21"/>
                      <w:szCs w:val="21"/>
                      <w:lang w:val="en-US" w:eastAsia="zh-CN" w:bidi="ar"/>
                    </w:rPr>
                    <w:t>东</w:t>
                  </w:r>
                  <w:r>
                    <w:rPr>
                      <w:rFonts w:hint="default" w:eastAsia="宋体" w:cs="Times New Roman"/>
                      <w:color w:val="auto"/>
                      <w:kern w:val="0"/>
                      <w:sz w:val="21"/>
                      <w:szCs w:val="21"/>
                      <w:lang w:val="en-US" w:eastAsia="zh-CN" w:bidi="ar"/>
                    </w:rPr>
                    <w:t>侧</w:t>
                  </w:r>
                </w:p>
              </w:tc>
            </w:tr>
            <w:tr w14:paraId="1D66C7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162" w:type="dxa"/>
                  <w:tcBorders>
                    <w:tl2br w:val="nil"/>
                    <w:tr2bl w:val="nil"/>
                  </w:tcBorders>
                  <w:tcMar>
                    <w:top w:w="0" w:type="dxa"/>
                    <w:left w:w="0" w:type="dxa"/>
                    <w:bottom w:w="0" w:type="dxa"/>
                    <w:right w:w="0" w:type="dxa"/>
                  </w:tcMar>
                  <w:vAlign w:val="center"/>
                </w:tcPr>
                <w:p w14:paraId="437799FA">
                  <w:pPr>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排放方式及去向</w:t>
                  </w:r>
                </w:p>
              </w:tc>
              <w:tc>
                <w:tcPr>
                  <w:tcW w:w="3087" w:type="dxa"/>
                  <w:tcBorders>
                    <w:tl2br w:val="nil"/>
                    <w:tr2bl w:val="nil"/>
                  </w:tcBorders>
                  <w:tcMar>
                    <w:top w:w="0" w:type="dxa"/>
                    <w:left w:w="0" w:type="dxa"/>
                    <w:bottom w:w="0" w:type="dxa"/>
                    <w:right w:w="0" w:type="dxa"/>
                  </w:tcMar>
                  <w:vAlign w:val="center"/>
                </w:tcPr>
                <w:p w14:paraId="5AAA348A">
                  <w:pPr>
                    <w:jc w:val="center"/>
                    <w:rPr>
                      <w:rFonts w:hint="default" w:eastAsia="宋体" w:cs="Times New Roman"/>
                      <w:color w:val="auto"/>
                      <w:kern w:val="0"/>
                      <w:sz w:val="21"/>
                      <w:szCs w:val="21"/>
                      <w:lang w:val="en-US" w:eastAsia="zh-CN" w:bidi="ar"/>
                    </w:rPr>
                  </w:pPr>
                  <w:r>
                    <w:rPr>
                      <w:rFonts w:hint="default" w:eastAsia="宋体" w:cs="Times New Roman"/>
                      <w:color w:val="auto"/>
                      <w:kern w:val="0"/>
                      <w:sz w:val="21"/>
                      <w:szCs w:val="21"/>
                      <w:lang w:val="en-US" w:eastAsia="zh-CN" w:bidi="ar"/>
                    </w:rPr>
                    <w:t>处理达标后由排气筒排入大气环境</w:t>
                  </w:r>
                </w:p>
              </w:tc>
              <w:tc>
                <w:tcPr>
                  <w:tcW w:w="3109" w:type="dxa"/>
                  <w:tcBorders>
                    <w:tl2br w:val="nil"/>
                    <w:tr2bl w:val="nil"/>
                  </w:tcBorders>
                  <w:tcMar>
                    <w:top w:w="0" w:type="dxa"/>
                    <w:left w:w="0" w:type="dxa"/>
                    <w:bottom w:w="0" w:type="dxa"/>
                    <w:right w:w="0" w:type="dxa"/>
                  </w:tcMar>
                  <w:vAlign w:val="center"/>
                </w:tcPr>
                <w:p w14:paraId="6BF42C06">
                  <w:pPr>
                    <w:jc w:val="center"/>
                    <w:rPr>
                      <w:rFonts w:hint="default" w:eastAsia="宋体" w:cs="Times New Roman"/>
                      <w:color w:val="auto"/>
                      <w:kern w:val="0"/>
                      <w:sz w:val="21"/>
                      <w:szCs w:val="21"/>
                      <w:lang w:val="en-US" w:eastAsia="zh-CN" w:bidi="ar"/>
                    </w:rPr>
                  </w:pPr>
                  <w:r>
                    <w:rPr>
                      <w:rFonts w:hint="eastAsia" w:eastAsia="宋体" w:cs="Times New Roman"/>
                      <w:color w:val="auto"/>
                      <w:kern w:val="0"/>
                      <w:sz w:val="21"/>
                      <w:szCs w:val="21"/>
                      <w:lang w:val="en-US" w:eastAsia="zh-CN" w:bidi="ar"/>
                    </w:rPr>
                    <w:t>容器设备第三遍及以后清洗废水</w:t>
                  </w:r>
                  <w:r>
                    <w:rPr>
                      <w:rFonts w:hint="eastAsia" w:cs="Times New Roman"/>
                      <w:color w:val="auto"/>
                      <w:kern w:val="0"/>
                      <w:sz w:val="21"/>
                      <w:szCs w:val="21"/>
                      <w:lang w:val="en-US" w:eastAsia="zh-CN" w:bidi="ar"/>
                    </w:rPr>
                    <w:t>、</w:t>
                  </w:r>
                  <w:r>
                    <w:rPr>
                      <w:rFonts w:hint="eastAsia" w:eastAsia="宋体" w:cs="Times New Roman"/>
                      <w:color w:val="auto"/>
                      <w:kern w:val="0"/>
                      <w:sz w:val="21"/>
                      <w:szCs w:val="21"/>
                      <w:lang w:val="en-US" w:eastAsia="zh-CN" w:bidi="ar"/>
                    </w:rPr>
                    <w:t>生活污水</w:t>
                  </w:r>
                  <w:r>
                    <w:rPr>
                      <w:rFonts w:hint="eastAsia" w:cs="Times New Roman"/>
                      <w:color w:val="auto"/>
                      <w:kern w:val="0"/>
                      <w:sz w:val="21"/>
                      <w:szCs w:val="21"/>
                      <w:lang w:val="en-US" w:eastAsia="zh-CN" w:bidi="ar"/>
                    </w:rPr>
                    <w:t>、纯水制备废水、高压蒸汽灭菌废水、地面清洗废水</w:t>
                  </w:r>
                  <w:r>
                    <w:rPr>
                      <w:rFonts w:hint="eastAsia" w:eastAsia="宋体" w:cs="Times New Roman"/>
                      <w:color w:val="auto"/>
                      <w:kern w:val="0"/>
                      <w:sz w:val="21"/>
                      <w:szCs w:val="21"/>
                      <w:lang w:val="en-US" w:eastAsia="zh-CN" w:bidi="ar"/>
                    </w:rPr>
                    <w:t>一起进园区化粪池处理，最后经市政管网排入</w:t>
                  </w:r>
                  <w:r>
                    <w:rPr>
                      <w:rFonts w:hint="eastAsia" w:cs="Times New Roman"/>
                      <w:color w:val="auto"/>
                      <w:kern w:val="0"/>
                      <w:sz w:val="21"/>
                      <w:szCs w:val="21"/>
                      <w:lang w:val="en-US" w:eastAsia="zh-CN" w:bidi="ar"/>
                    </w:rPr>
                    <w:t>北京新城禹潞环保科技有限责任公司—金桥基地第一污水处理厂</w:t>
                  </w:r>
                  <w:r>
                    <w:rPr>
                      <w:rFonts w:hint="eastAsia" w:eastAsia="宋体" w:cs="Times New Roman"/>
                      <w:color w:val="auto"/>
                      <w:kern w:val="0"/>
                      <w:sz w:val="21"/>
                      <w:szCs w:val="21"/>
                      <w:lang w:val="en-US" w:eastAsia="zh-CN" w:bidi="ar"/>
                    </w:rPr>
                    <w:t>。</w:t>
                  </w:r>
                </w:p>
              </w:tc>
            </w:tr>
            <w:tr w14:paraId="199EEB8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162" w:type="dxa"/>
                  <w:tcBorders>
                    <w:tl2br w:val="nil"/>
                    <w:tr2bl w:val="nil"/>
                  </w:tcBorders>
                  <w:tcMar>
                    <w:top w:w="0" w:type="dxa"/>
                    <w:left w:w="0" w:type="dxa"/>
                    <w:bottom w:w="0" w:type="dxa"/>
                    <w:right w:w="0" w:type="dxa"/>
                  </w:tcMar>
                  <w:vAlign w:val="center"/>
                </w:tcPr>
                <w:p w14:paraId="50AACDDD">
                  <w:pPr>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自行监测计划</w:t>
                  </w:r>
                </w:p>
              </w:tc>
              <w:tc>
                <w:tcPr>
                  <w:tcW w:w="3087" w:type="dxa"/>
                  <w:tcBorders>
                    <w:tl2br w:val="nil"/>
                    <w:tr2bl w:val="nil"/>
                  </w:tcBorders>
                  <w:tcMar>
                    <w:top w:w="0" w:type="dxa"/>
                    <w:left w:w="0" w:type="dxa"/>
                    <w:bottom w:w="0" w:type="dxa"/>
                    <w:right w:w="0" w:type="dxa"/>
                  </w:tcMar>
                  <w:vAlign w:val="center"/>
                </w:tcPr>
                <w:p w14:paraId="771E0ACA">
                  <w:pPr>
                    <w:snapToGrid w:val="0"/>
                    <w:jc w:val="center"/>
                    <w:rPr>
                      <w:rFonts w:hint="default" w:ascii="Times New Roman" w:hAnsi="Times New Roman" w:eastAsia="宋体" w:cs="Times New Roman"/>
                      <w:bCs/>
                      <w:color w:val="auto"/>
                      <w:szCs w:val="21"/>
                      <w:highlight w:val="none"/>
                      <w:lang w:eastAsia="zh-CN"/>
                    </w:rPr>
                  </w:pPr>
                  <w:r>
                    <w:rPr>
                      <w:rFonts w:hint="eastAsia" w:ascii="Times New Roman" w:hAnsi="Times New Roman" w:eastAsia="宋体" w:cs="Times New Roman"/>
                      <w:bCs/>
                      <w:color w:val="auto"/>
                      <w:szCs w:val="21"/>
                      <w:highlight w:val="none"/>
                      <w:lang w:val="en-US" w:eastAsia="zh-CN"/>
                    </w:rPr>
                    <w:t>非甲烷总烃、甲醇、甲苯、其他A类物质（乙酸）、其他C类物质（乙酸乙酯</w:t>
                  </w:r>
                  <w:r>
                    <w:rPr>
                      <w:rFonts w:hint="eastAsia" w:cs="Times New Roman"/>
                      <w:bCs/>
                      <w:color w:val="auto"/>
                      <w:szCs w:val="21"/>
                      <w:highlight w:val="none"/>
                      <w:lang w:val="en-US" w:eastAsia="zh-CN"/>
                    </w:rPr>
                    <w:t>、</w:t>
                  </w:r>
                  <w:r>
                    <w:rPr>
                      <w:rFonts w:hint="eastAsia" w:ascii="Times New Roman" w:hAnsi="Times New Roman" w:eastAsia="宋体" w:cs="Times New Roman"/>
                      <w:bCs/>
                      <w:color w:val="auto"/>
                      <w:szCs w:val="21"/>
                      <w:highlight w:val="none"/>
                      <w:lang w:val="en-US" w:eastAsia="zh-CN"/>
                    </w:rPr>
                    <w:t>乙醚）、氯化氢、氮氧化物、</w:t>
                  </w:r>
                  <w:r>
                    <w:rPr>
                      <w:rFonts w:hint="eastAsia" w:cs="Times New Roman"/>
                      <w:b w:val="0"/>
                      <w:bCs w:val="0"/>
                      <w:color w:val="auto"/>
                      <w:kern w:val="0"/>
                      <w:sz w:val="21"/>
                      <w:szCs w:val="21"/>
                      <w:highlight w:val="none"/>
                      <w:vertAlign w:val="baseline"/>
                      <w:lang w:val="en-US" w:eastAsia="zh-CN" w:bidi="ar-SA"/>
                    </w:rPr>
                    <w:t>硫酸雾</w:t>
                  </w:r>
                  <w:r>
                    <w:rPr>
                      <w:rFonts w:hint="eastAsia" w:ascii="Times New Roman" w:hAnsi="Times New Roman" w:eastAsia="宋体" w:cs="Times New Roman"/>
                      <w:bCs/>
                      <w:color w:val="auto"/>
                      <w:szCs w:val="21"/>
                      <w:highlight w:val="none"/>
                      <w:lang w:val="en-US" w:eastAsia="zh-CN"/>
                    </w:rPr>
                    <w:t>、氨</w:t>
                  </w:r>
                  <w:r>
                    <w:rPr>
                      <w:rFonts w:hint="default" w:ascii="Times New Roman" w:hAnsi="Times New Roman" w:eastAsia="宋体" w:cs="Times New Roman"/>
                      <w:bCs/>
                      <w:color w:val="auto"/>
                      <w:szCs w:val="21"/>
                      <w:highlight w:val="none"/>
                      <w:lang w:eastAsia="zh-CN"/>
                    </w:rPr>
                    <w:t>每年1次</w:t>
                  </w:r>
                </w:p>
              </w:tc>
              <w:tc>
                <w:tcPr>
                  <w:tcW w:w="3109" w:type="dxa"/>
                  <w:tcBorders>
                    <w:tl2br w:val="nil"/>
                    <w:tr2bl w:val="nil"/>
                  </w:tcBorders>
                  <w:shd w:val="clear" w:color="auto" w:fill="auto"/>
                  <w:tcMar>
                    <w:top w:w="0" w:type="dxa"/>
                    <w:left w:w="0" w:type="dxa"/>
                    <w:bottom w:w="0" w:type="dxa"/>
                    <w:right w:w="0" w:type="dxa"/>
                  </w:tcMar>
                  <w:vAlign w:val="center"/>
                </w:tcPr>
                <w:p w14:paraId="32EF7452">
                  <w:pPr>
                    <w:snapToGrid w:val="0"/>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color w:val="auto"/>
                      <w:szCs w:val="21"/>
                      <w:highlight w:val="none"/>
                    </w:rPr>
                    <w:t>COD</w:t>
                  </w:r>
                  <w:r>
                    <w:rPr>
                      <w:rFonts w:hint="default" w:ascii="Times New Roman" w:hAnsi="Times New Roman" w:eastAsia="宋体" w:cs="Times New Roman"/>
                      <w:color w:val="auto"/>
                      <w:szCs w:val="21"/>
                      <w:highlight w:val="none"/>
                      <w:vertAlign w:val="subscript"/>
                    </w:rPr>
                    <w:t>Cr</w:t>
                  </w:r>
                  <w:r>
                    <w:rPr>
                      <w:rFonts w:hint="default" w:ascii="Times New Roman" w:hAnsi="Times New Roman" w:eastAsia="宋体" w:cs="Times New Roman"/>
                      <w:color w:val="auto"/>
                      <w:szCs w:val="21"/>
                      <w:highlight w:val="none"/>
                    </w:rPr>
                    <w:t>、BOD</w:t>
                  </w:r>
                  <w:r>
                    <w:rPr>
                      <w:rFonts w:hint="default" w:ascii="Times New Roman" w:hAnsi="Times New Roman" w:eastAsia="宋体" w:cs="Times New Roman"/>
                      <w:color w:val="auto"/>
                      <w:szCs w:val="21"/>
                      <w:highlight w:val="none"/>
                      <w:vertAlign w:val="subscript"/>
                    </w:rPr>
                    <w:t>5</w:t>
                  </w:r>
                  <w:r>
                    <w:rPr>
                      <w:rFonts w:hint="default" w:ascii="Times New Roman" w:hAnsi="Times New Roman" w:eastAsia="宋体" w:cs="Times New Roman"/>
                      <w:color w:val="auto"/>
                      <w:szCs w:val="21"/>
                      <w:highlight w:val="none"/>
                    </w:rPr>
                    <w:t>、SS、NH</w:t>
                  </w:r>
                  <w:r>
                    <w:rPr>
                      <w:rFonts w:hint="default" w:ascii="Times New Roman" w:hAnsi="Times New Roman" w:eastAsia="宋体" w:cs="Times New Roman"/>
                      <w:color w:val="auto"/>
                      <w:szCs w:val="21"/>
                      <w:highlight w:val="none"/>
                      <w:vertAlign w:val="subscript"/>
                    </w:rPr>
                    <w:t>3</w:t>
                  </w:r>
                  <w:r>
                    <w:rPr>
                      <w:rFonts w:hint="default" w:ascii="Times New Roman" w:hAnsi="Times New Roman" w:eastAsia="宋体" w:cs="Times New Roman"/>
                      <w:color w:val="auto"/>
                      <w:szCs w:val="21"/>
                      <w:highlight w:val="none"/>
                    </w:rPr>
                    <w:t>-N</w:t>
                  </w:r>
                  <w:r>
                    <w:rPr>
                      <w:rFonts w:hint="default" w:ascii="Times New Roman" w:hAnsi="Times New Roman" w:eastAsia="宋体" w:cs="Times New Roman"/>
                      <w:bCs/>
                      <w:color w:val="auto"/>
                      <w:szCs w:val="21"/>
                      <w:highlight w:val="none"/>
                    </w:rPr>
                    <w:t>每季度</w:t>
                  </w:r>
                  <w:r>
                    <w:rPr>
                      <w:rFonts w:hint="default" w:ascii="Times New Roman" w:hAnsi="Times New Roman" w:eastAsia="宋体" w:cs="Times New Roman"/>
                      <w:bCs/>
                      <w:color w:val="auto"/>
                      <w:szCs w:val="21"/>
                      <w:highlight w:val="none"/>
                      <w:lang w:val="en-US" w:eastAsia="zh-CN"/>
                    </w:rPr>
                    <w:t>检测</w:t>
                  </w:r>
                  <w:r>
                    <w:rPr>
                      <w:rFonts w:hint="default" w:ascii="Times New Roman" w:hAnsi="Times New Roman" w:eastAsia="宋体" w:cs="Times New Roman"/>
                      <w:bCs/>
                      <w:color w:val="auto"/>
                      <w:szCs w:val="21"/>
                      <w:highlight w:val="none"/>
                    </w:rPr>
                    <w:t>1次</w:t>
                  </w:r>
                  <w:r>
                    <w:rPr>
                      <w:rFonts w:hint="default" w:ascii="Times New Roman" w:hAnsi="Times New Roman" w:eastAsia="宋体" w:cs="Times New Roman"/>
                      <w:bCs/>
                      <w:color w:val="auto"/>
                      <w:szCs w:val="21"/>
                      <w:highlight w:val="none"/>
                      <w:lang w:eastAsia="zh-CN"/>
                    </w:rPr>
                    <w:t>；</w:t>
                  </w:r>
                </w:p>
                <w:p w14:paraId="158BA897">
                  <w:pPr>
                    <w:snapToGrid w:val="0"/>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pH、</w:t>
                  </w:r>
                  <w:r>
                    <w:rPr>
                      <w:rFonts w:hint="default" w:ascii="Times New Roman" w:hAnsi="Times New Roman" w:eastAsia="宋体" w:cs="Times New Roman"/>
                      <w:bCs/>
                      <w:color w:val="auto"/>
                      <w:szCs w:val="21"/>
                      <w:highlight w:val="none"/>
                    </w:rPr>
                    <w:t>可溶性固体总量每</w:t>
                  </w:r>
                  <w:r>
                    <w:rPr>
                      <w:rFonts w:hint="default" w:ascii="Times New Roman" w:hAnsi="Times New Roman" w:eastAsia="宋体" w:cs="Times New Roman"/>
                      <w:bCs/>
                      <w:color w:val="auto"/>
                      <w:szCs w:val="21"/>
                      <w:highlight w:val="none"/>
                      <w:lang w:val="en-US" w:eastAsia="zh-CN"/>
                    </w:rPr>
                    <w:t>年</w:t>
                  </w:r>
                  <w:r>
                    <w:rPr>
                      <w:rFonts w:hint="default" w:ascii="Times New Roman" w:hAnsi="Times New Roman" w:eastAsia="宋体" w:cs="Times New Roman"/>
                      <w:bCs/>
                      <w:color w:val="auto"/>
                      <w:szCs w:val="21"/>
                      <w:highlight w:val="none"/>
                    </w:rPr>
                    <w:t>度</w:t>
                  </w:r>
                  <w:r>
                    <w:rPr>
                      <w:rFonts w:hint="default" w:ascii="Times New Roman" w:hAnsi="Times New Roman" w:eastAsia="宋体" w:cs="Times New Roman"/>
                      <w:bCs/>
                      <w:color w:val="auto"/>
                      <w:szCs w:val="21"/>
                      <w:highlight w:val="none"/>
                      <w:lang w:val="en-US" w:eastAsia="zh-CN"/>
                    </w:rPr>
                    <w:t>检测</w:t>
                  </w:r>
                  <w:r>
                    <w:rPr>
                      <w:rFonts w:hint="default" w:ascii="Times New Roman" w:hAnsi="Times New Roman" w:eastAsia="宋体" w:cs="Times New Roman"/>
                      <w:bCs/>
                      <w:color w:val="auto"/>
                      <w:szCs w:val="21"/>
                      <w:highlight w:val="none"/>
                    </w:rPr>
                    <w:t>1次</w:t>
                  </w:r>
                  <w:r>
                    <w:rPr>
                      <w:rFonts w:hint="default" w:ascii="Times New Roman" w:hAnsi="Times New Roman" w:eastAsia="宋体" w:cs="Times New Roman"/>
                      <w:color w:val="auto"/>
                      <w:szCs w:val="21"/>
                      <w:highlight w:val="none"/>
                      <w:lang w:eastAsia="zh-CN"/>
                    </w:rPr>
                    <w:t>。</w:t>
                  </w:r>
                </w:p>
              </w:tc>
            </w:tr>
          </w:tbl>
          <w:p w14:paraId="685561DD">
            <w:pPr>
              <w:snapToGrid w:val="0"/>
              <w:spacing w:before="120" w:beforeLines="50" w:line="360" w:lineRule="auto"/>
              <w:ind w:firstLine="482" w:firstLineChars="200"/>
              <w:rPr>
                <w:rFonts w:hint="default" w:ascii="Times New Roman" w:hAnsi="Times New Roman" w:eastAsia="宋体" w:cs="Times New Roman"/>
                <w:b/>
                <w:bCs w:val="0"/>
                <w:color w:val="auto"/>
                <w:sz w:val="24"/>
                <w:highlight w:val="none"/>
              </w:rPr>
            </w:pPr>
            <w:r>
              <w:rPr>
                <w:rFonts w:hint="eastAsia" w:cs="Times New Roman"/>
                <w:b/>
                <w:bCs w:val="0"/>
                <w:color w:val="auto"/>
                <w:sz w:val="24"/>
                <w:highlight w:val="none"/>
                <w:lang w:val="en-US" w:eastAsia="zh-CN"/>
              </w:rPr>
              <w:t>2、</w:t>
            </w:r>
            <w:r>
              <w:rPr>
                <w:rFonts w:hint="default" w:ascii="Times New Roman" w:hAnsi="Times New Roman" w:eastAsia="宋体" w:cs="Times New Roman"/>
                <w:b/>
                <w:bCs w:val="0"/>
                <w:color w:val="auto"/>
                <w:sz w:val="24"/>
                <w:highlight w:val="none"/>
              </w:rPr>
              <w:t>污染源标志牌设置</w:t>
            </w:r>
          </w:p>
          <w:p w14:paraId="56A26EA5">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本项目排污口主要为废气排口</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个（楼顶）和污水总排口1个（</w:t>
            </w:r>
            <w:r>
              <w:rPr>
                <w:rFonts w:hint="eastAsia" w:cs="Times New Roman"/>
                <w:color w:val="auto"/>
                <w:sz w:val="24"/>
                <w:highlight w:val="none"/>
                <w:lang w:val="en-US" w:eastAsia="zh-CN"/>
              </w:rPr>
              <w:t>本幢楼东</w:t>
            </w:r>
            <w:r>
              <w:rPr>
                <w:rFonts w:hint="default" w:ascii="Times New Roman" w:hAnsi="Times New Roman" w:eastAsia="宋体" w:cs="Times New Roman"/>
                <w:color w:val="auto"/>
                <w:sz w:val="24"/>
                <w:highlight w:val="none"/>
              </w:rPr>
              <w:t>侧）。建设项目设置排污口应符合</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一明显、二合理、三便于</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的要求，即环保标志明显；排污口设置合理，排污去向合理；便于采集样品、便于监测计算、便于公众参与监督管理。</w:t>
            </w:r>
          </w:p>
          <w:p w14:paraId="528A62EA">
            <w:pPr>
              <w:spacing w:line="360" w:lineRule="auto"/>
              <w:ind w:firstLine="480"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color w:val="auto"/>
                <w:sz w:val="24"/>
                <w:highlight w:val="none"/>
              </w:rPr>
              <w:t>污染源排放口应设置专项图标，执行《环境图形标准排污口（源）》（GB15563.1-1995）、《环境保护图形标志—固体废物贮存（处置）场》（GB15562.2-1995）及北京市《固定污染源监测点位设置技术规范》（DB11/1195-2015）的相关要求。要求规定各排污口（源）提示标志形状采用正方形边框，背景颜色采用绿色，图形颜色采用白色。标志牌应设在与之功能相应的醒目处，并保持清晰、完整。</w:t>
            </w:r>
            <w:r>
              <w:rPr>
                <w:rFonts w:hint="eastAsia" w:cs="Times New Roman"/>
                <w:color w:val="auto"/>
                <w:sz w:val="24"/>
                <w:highlight w:val="none"/>
                <w:lang w:val="en-US" w:eastAsia="zh-CN"/>
              </w:rPr>
              <w:t>要定期对标志牌进行检查，发现褪色、悬挂不牢固、标准更新时，及时更换或修理。</w:t>
            </w:r>
            <w:r>
              <w:rPr>
                <w:rFonts w:hint="default" w:ascii="Times New Roman" w:hAnsi="Times New Roman" w:eastAsia="宋体" w:cs="Times New Roman"/>
                <w:color w:val="auto"/>
                <w:sz w:val="24"/>
                <w:highlight w:val="none"/>
              </w:rPr>
              <w:t>具体标志牌示意图详见下表。</w:t>
            </w:r>
          </w:p>
          <w:p w14:paraId="40B2F56B">
            <w:pPr>
              <w:numPr>
                <w:ilvl w:val="0"/>
                <w:numId w:val="0"/>
              </w:numPr>
              <w:adjustRightInd w:val="0"/>
              <w:spacing w:line="360" w:lineRule="auto"/>
              <w:ind w:leftChars="0"/>
              <w:jc w:val="center"/>
              <w:rPr>
                <w:rFonts w:hint="default" w:ascii="Times New Roman" w:hAnsi="Times New Roman" w:eastAsia="宋体" w:cs="Times New Roman"/>
                <w:b/>
                <w:color w:val="auto"/>
                <w:spacing w:val="-4"/>
                <w:kern w:val="0"/>
                <w:sz w:val="24"/>
                <w:highlight w:val="none"/>
              </w:rPr>
            </w:pPr>
            <w:r>
              <w:rPr>
                <w:rFonts w:hint="default" w:ascii="Times New Roman" w:hAnsi="Times New Roman" w:eastAsia="宋体" w:cs="Times New Roman"/>
                <w:b/>
                <w:color w:val="auto"/>
                <w:spacing w:val="-4"/>
                <w:kern w:val="0"/>
                <w:sz w:val="24"/>
                <w:highlight w:val="none"/>
                <w:lang w:val="en-US" w:eastAsia="zh-CN"/>
              </w:rPr>
              <w:t xml:space="preserve">表5-2  </w:t>
            </w:r>
            <w:r>
              <w:rPr>
                <w:rFonts w:hint="default" w:ascii="Times New Roman" w:hAnsi="Times New Roman" w:eastAsia="宋体" w:cs="Times New Roman"/>
                <w:b/>
                <w:color w:val="auto"/>
                <w:spacing w:val="-4"/>
                <w:kern w:val="0"/>
                <w:sz w:val="24"/>
                <w:highlight w:val="none"/>
              </w:rPr>
              <w:t>环境</w:t>
            </w:r>
            <w:r>
              <w:rPr>
                <w:rFonts w:hint="default" w:ascii="Times New Roman" w:hAnsi="Times New Roman" w:eastAsia="宋体" w:cs="Times New Roman"/>
                <w:b/>
                <w:color w:val="auto"/>
                <w:sz w:val="24"/>
                <w:highlight w:val="none"/>
              </w:rPr>
              <w:t>保护</w:t>
            </w:r>
            <w:r>
              <w:rPr>
                <w:rFonts w:hint="default" w:ascii="Times New Roman" w:hAnsi="Times New Roman" w:eastAsia="宋体" w:cs="Times New Roman"/>
                <w:b/>
                <w:color w:val="auto"/>
                <w:spacing w:val="-4"/>
                <w:kern w:val="0"/>
                <w:sz w:val="24"/>
                <w:highlight w:val="none"/>
              </w:rPr>
              <w:t>图形符号一览表</w:t>
            </w:r>
          </w:p>
          <w:tbl>
            <w:tblPr>
              <w:tblStyle w:val="23"/>
              <w:tblW w:w="7617" w:type="dxa"/>
              <w:tblInd w:w="0" w:type="dxa"/>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02"/>
              <w:gridCol w:w="1297"/>
              <w:gridCol w:w="1438"/>
              <w:gridCol w:w="1431"/>
              <w:gridCol w:w="1386"/>
              <w:gridCol w:w="1363"/>
            </w:tblGrid>
            <w:tr w14:paraId="47B3145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PrEx>
              <w:trPr>
                <w:trHeight w:val="90" w:hRule="atLeast"/>
              </w:trPr>
              <w:tc>
                <w:tcPr>
                  <w:tcW w:w="702" w:type="dxa"/>
                  <w:tcBorders>
                    <w:tl2br w:val="nil"/>
                    <w:tr2bl w:val="nil"/>
                  </w:tcBorders>
                  <w:vAlign w:val="center"/>
                </w:tcPr>
                <w:p w14:paraId="43A40C60">
                  <w:pPr>
                    <w:pStyle w:val="20"/>
                    <w:widowControl w:val="0"/>
                    <w:snapToGrid w:val="0"/>
                    <w:spacing w:before="0" w:beforeAutospacing="0" w:after="0" w:afterAutospacing="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1297" w:type="dxa"/>
                  <w:tcBorders>
                    <w:tl2br w:val="nil"/>
                    <w:tr2bl w:val="nil"/>
                  </w:tcBorders>
                  <w:vAlign w:val="center"/>
                </w:tcPr>
                <w:p w14:paraId="4C231FBC">
                  <w:pPr>
                    <w:pStyle w:val="20"/>
                    <w:widowControl w:val="0"/>
                    <w:snapToGrid w:val="0"/>
                    <w:spacing w:before="0" w:beforeAutospacing="0" w:after="0" w:afterAutospacing="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废气排放口</w:t>
                  </w:r>
                </w:p>
              </w:tc>
              <w:tc>
                <w:tcPr>
                  <w:tcW w:w="1438" w:type="dxa"/>
                  <w:tcBorders>
                    <w:tl2br w:val="nil"/>
                    <w:tr2bl w:val="nil"/>
                  </w:tcBorders>
                  <w:vAlign w:val="center"/>
                </w:tcPr>
                <w:p w14:paraId="532B7674">
                  <w:pPr>
                    <w:pStyle w:val="20"/>
                    <w:widowControl w:val="0"/>
                    <w:snapToGrid w:val="0"/>
                    <w:spacing w:before="0" w:beforeAutospacing="0" w:after="0" w:afterAutospacing="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废水排放口</w:t>
                  </w:r>
                </w:p>
              </w:tc>
              <w:tc>
                <w:tcPr>
                  <w:tcW w:w="1431" w:type="dxa"/>
                  <w:tcBorders>
                    <w:tl2br w:val="nil"/>
                    <w:tr2bl w:val="nil"/>
                  </w:tcBorders>
                  <w:vAlign w:val="center"/>
                </w:tcPr>
                <w:p w14:paraId="26CD41E6">
                  <w:pPr>
                    <w:pStyle w:val="20"/>
                    <w:widowControl w:val="0"/>
                    <w:snapToGrid w:val="0"/>
                    <w:spacing w:before="0" w:beforeAutospacing="0" w:after="0" w:afterAutospacing="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噪声排放源</w:t>
                  </w:r>
                </w:p>
              </w:tc>
              <w:tc>
                <w:tcPr>
                  <w:tcW w:w="1386" w:type="dxa"/>
                  <w:tcBorders>
                    <w:tl2br w:val="nil"/>
                    <w:tr2bl w:val="nil"/>
                  </w:tcBorders>
                  <w:vAlign w:val="center"/>
                </w:tcPr>
                <w:p w14:paraId="3D291DAC">
                  <w:pPr>
                    <w:pStyle w:val="20"/>
                    <w:widowControl w:val="0"/>
                    <w:snapToGrid w:val="0"/>
                    <w:spacing w:before="0" w:beforeAutospacing="0" w:after="0" w:afterAutospacing="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一般工业固体废物</w:t>
                  </w:r>
                </w:p>
              </w:tc>
              <w:tc>
                <w:tcPr>
                  <w:tcW w:w="1363" w:type="dxa"/>
                  <w:tcBorders>
                    <w:tl2br w:val="nil"/>
                    <w:tr2bl w:val="nil"/>
                  </w:tcBorders>
                  <w:vAlign w:val="center"/>
                </w:tcPr>
                <w:p w14:paraId="21A1DB0B">
                  <w:pPr>
                    <w:pStyle w:val="20"/>
                    <w:widowControl w:val="0"/>
                    <w:snapToGrid w:val="0"/>
                    <w:spacing w:before="0" w:beforeAutospacing="0" w:after="0" w:afterAutospacing="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w:t>
                  </w:r>
                </w:p>
              </w:tc>
            </w:tr>
            <w:tr w14:paraId="6A54C75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55" w:hRule="atLeast"/>
              </w:trPr>
              <w:tc>
                <w:tcPr>
                  <w:tcW w:w="702" w:type="dxa"/>
                  <w:tcBorders>
                    <w:tl2br w:val="nil"/>
                    <w:tr2bl w:val="nil"/>
                  </w:tcBorders>
                  <w:vAlign w:val="center"/>
                </w:tcPr>
                <w:p w14:paraId="6BB27A29">
                  <w:pPr>
                    <w:pStyle w:val="20"/>
                    <w:widowControl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提示图形符号</w:t>
                  </w:r>
                </w:p>
              </w:tc>
              <w:tc>
                <w:tcPr>
                  <w:tcW w:w="1297" w:type="dxa"/>
                  <w:tcBorders>
                    <w:tl2br w:val="nil"/>
                    <w:tr2bl w:val="nil"/>
                  </w:tcBorders>
                  <w:vAlign w:val="center"/>
                </w:tcPr>
                <w:p w14:paraId="293534E5">
                  <w:pPr>
                    <w:pStyle w:val="20"/>
                    <w:widowControl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0" distR="0">
                        <wp:extent cx="729615" cy="736600"/>
                        <wp:effectExtent l="0" t="0" r="1905" b="10160"/>
                        <wp:docPr id="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5"/>
                                <pic:cNvPicPr>
                                  <a:picLocks noChangeAspect="1" noChangeArrowheads="1"/>
                                </pic:cNvPicPr>
                              </pic:nvPicPr>
                              <pic:blipFill>
                                <a:blip r:embed="rId26"/>
                                <a:srcRect/>
                                <a:stretch>
                                  <a:fillRect/>
                                </a:stretch>
                              </pic:blipFill>
                              <pic:spPr>
                                <a:xfrm>
                                  <a:off x="0" y="0"/>
                                  <a:ext cx="732129" cy="739102"/>
                                </a:xfrm>
                                <a:prstGeom prst="rect">
                                  <a:avLst/>
                                </a:prstGeom>
                                <a:noFill/>
                                <a:ln w="9525">
                                  <a:noFill/>
                                  <a:miter lim="800000"/>
                                  <a:headEnd/>
                                  <a:tailEnd/>
                                </a:ln>
                              </pic:spPr>
                            </pic:pic>
                          </a:graphicData>
                        </a:graphic>
                      </wp:inline>
                    </w:drawing>
                  </w:r>
                </w:p>
              </w:tc>
              <w:tc>
                <w:tcPr>
                  <w:tcW w:w="1438" w:type="dxa"/>
                  <w:tcBorders>
                    <w:tl2br w:val="nil"/>
                    <w:tr2bl w:val="nil"/>
                  </w:tcBorders>
                  <w:vAlign w:val="center"/>
                </w:tcPr>
                <w:p w14:paraId="43E3FA41">
                  <w:pPr>
                    <w:pStyle w:val="20"/>
                    <w:widowControl w:val="0"/>
                    <w:snapToGrid w:val="0"/>
                    <w:spacing w:before="0" w:beforeAutospacing="0" w:after="0" w:afterAutospacing="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drawing>
                      <wp:inline distT="0" distB="0" distL="0" distR="0">
                        <wp:extent cx="737870" cy="709295"/>
                        <wp:effectExtent l="0" t="0" r="8890" b="6985"/>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pic:cNvPicPr>
                                  <a:picLocks noChangeAspect="1" noChangeArrowheads="1"/>
                                </pic:cNvPicPr>
                              </pic:nvPicPr>
                              <pic:blipFill>
                                <a:blip r:embed="rId27"/>
                                <a:srcRect/>
                                <a:stretch>
                                  <a:fillRect/>
                                </a:stretch>
                              </pic:blipFill>
                              <pic:spPr>
                                <a:xfrm>
                                  <a:off x="0" y="0"/>
                                  <a:ext cx="740105" cy="711911"/>
                                </a:xfrm>
                                <a:prstGeom prst="rect">
                                  <a:avLst/>
                                </a:prstGeom>
                                <a:noFill/>
                                <a:ln w="9525">
                                  <a:noFill/>
                                  <a:miter lim="800000"/>
                                  <a:headEnd/>
                                  <a:tailEnd/>
                                </a:ln>
                              </pic:spPr>
                            </pic:pic>
                          </a:graphicData>
                        </a:graphic>
                      </wp:inline>
                    </w:drawing>
                  </w:r>
                </w:p>
              </w:tc>
              <w:tc>
                <w:tcPr>
                  <w:tcW w:w="1431" w:type="dxa"/>
                  <w:tcBorders>
                    <w:tl2br w:val="nil"/>
                    <w:tr2bl w:val="nil"/>
                  </w:tcBorders>
                  <w:vAlign w:val="center"/>
                </w:tcPr>
                <w:p w14:paraId="6CAA688D">
                  <w:pPr>
                    <w:pStyle w:val="20"/>
                    <w:widowControl w:val="0"/>
                    <w:snapToGrid w:val="0"/>
                    <w:spacing w:before="0" w:beforeAutospacing="0" w:after="0" w:afterAutospacing="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drawing>
                      <wp:inline distT="0" distB="0" distL="0" distR="0">
                        <wp:extent cx="753745" cy="746125"/>
                        <wp:effectExtent l="0" t="0" r="8255" b="635"/>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pic:cNvPicPr>
                                  <a:picLocks noChangeAspect="1" noChangeArrowheads="1"/>
                                </pic:cNvPicPr>
                              </pic:nvPicPr>
                              <pic:blipFill>
                                <a:blip r:embed="rId28"/>
                                <a:srcRect/>
                                <a:stretch>
                                  <a:fillRect/>
                                </a:stretch>
                              </pic:blipFill>
                              <pic:spPr>
                                <a:xfrm>
                                  <a:off x="0" y="0"/>
                                  <a:ext cx="756054" cy="748854"/>
                                </a:xfrm>
                                <a:prstGeom prst="rect">
                                  <a:avLst/>
                                </a:prstGeom>
                                <a:noFill/>
                                <a:ln w="9525">
                                  <a:noFill/>
                                  <a:miter lim="800000"/>
                                  <a:headEnd/>
                                  <a:tailEnd/>
                                </a:ln>
                              </pic:spPr>
                            </pic:pic>
                          </a:graphicData>
                        </a:graphic>
                      </wp:inline>
                    </w:drawing>
                  </w:r>
                </w:p>
              </w:tc>
              <w:tc>
                <w:tcPr>
                  <w:tcW w:w="1386" w:type="dxa"/>
                  <w:tcBorders>
                    <w:tl2br w:val="nil"/>
                    <w:tr2bl w:val="nil"/>
                  </w:tcBorders>
                  <w:vAlign w:val="center"/>
                </w:tcPr>
                <w:p w14:paraId="562C0C01">
                  <w:pPr>
                    <w:pStyle w:val="20"/>
                    <w:widowControl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0" distR="0">
                        <wp:extent cx="675640" cy="716280"/>
                        <wp:effectExtent l="0" t="0" r="10160" b="0"/>
                        <wp:docPr id="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noChangeArrowheads="1"/>
                                </pic:cNvPicPr>
                              </pic:nvPicPr>
                              <pic:blipFill>
                                <a:blip r:embed="rId29"/>
                                <a:srcRect/>
                                <a:stretch>
                                  <a:fillRect/>
                                </a:stretch>
                              </pic:blipFill>
                              <pic:spPr>
                                <a:xfrm>
                                  <a:off x="0" y="0"/>
                                  <a:ext cx="678262" cy="719370"/>
                                </a:xfrm>
                                <a:prstGeom prst="rect">
                                  <a:avLst/>
                                </a:prstGeom>
                                <a:noFill/>
                                <a:ln w="9525">
                                  <a:noFill/>
                                  <a:miter lim="800000"/>
                                  <a:headEnd/>
                                  <a:tailEnd/>
                                </a:ln>
                              </pic:spPr>
                            </pic:pic>
                          </a:graphicData>
                        </a:graphic>
                      </wp:inline>
                    </w:drawing>
                  </w:r>
                </w:p>
              </w:tc>
              <w:tc>
                <w:tcPr>
                  <w:tcW w:w="1363" w:type="dxa"/>
                  <w:tcBorders>
                    <w:tl2br w:val="nil"/>
                    <w:tr2bl w:val="nil"/>
                  </w:tcBorders>
                  <w:vAlign w:val="center"/>
                </w:tcPr>
                <w:p w14:paraId="55465423">
                  <w:pPr>
                    <w:pStyle w:val="20"/>
                    <w:widowControl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035DD06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02" w:type="dxa"/>
                  <w:tcBorders>
                    <w:tl2br w:val="nil"/>
                    <w:tr2bl w:val="nil"/>
                  </w:tcBorders>
                  <w:vAlign w:val="center"/>
                </w:tcPr>
                <w:p w14:paraId="77290DDF">
                  <w:pPr>
                    <w:pStyle w:val="20"/>
                    <w:widowControl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警告图形符号</w:t>
                  </w:r>
                </w:p>
              </w:tc>
              <w:tc>
                <w:tcPr>
                  <w:tcW w:w="1297" w:type="dxa"/>
                  <w:tcBorders>
                    <w:tl2br w:val="nil"/>
                    <w:tr2bl w:val="nil"/>
                  </w:tcBorders>
                  <w:vAlign w:val="center"/>
                </w:tcPr>
                <w:p w14:paraId="44F22BFD">
                  <w:pPr>
                    <w:pStyle w:val="20"/>
                    <w:widowControl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0" distR="0">
                        <wp:extent cx="808990" cy="747395"/>
                        <wp:effectExtent l="0" t="0" r="13970" b="14605"/>
                        <wp:docPr id="1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9"/>
                                <pic:cNvPicPr>
                                  <a:picLocks noChangeAspect="1" noChangeArrowheads="1"/>
                                </pic:cNvPicPr>
                              </pic:nvPicPr>
                              <pic:blipFill>
                                <a:blip r:embed="rId30"/>
                                <a:srcRect/>
                                <a:stretch>
                                  <a:fillRect/>
                                </a:stretch>
                              </pic:blipFill>
                              <pic:spPr>
                                <a:xfrm>
                                  <a:off x="0" y="0"/>
                                  <a:ext cx="811881" cy="750023"/>
                                </a:xfrm>
                                <a:prstGeom prst="rect">
                                  <a:avLst/>
                                </a:prstGeom>
                                <a:noFill/>
                                <a:ln w="9525">
                                  <a:noFill/>
                                  <a:miter lim="800000"/>
                                  <a:headEnd/>
                                  <a:tailEnd/>
                                </a:ln>
                              </pic:spPr>
                            </pic:pic>
                          </a:graphicData>
                        </a:graphic>
                      </wp:inline>
                    </w:drawing>
                  </w:r>
                </w:p>
              </w:tc>
              <w:tc>
                <w:tcPr>
                  <w:tcW w:w="1438" w:type="dxa"/>
                  <w:tcBorders>
                    <w:tl2br w:val="nil"/>
                    <w:tr2bl w:val="nil"/>
                  </w:tcBorders>
                  <w:vAlign w:val="center"/>
                </w:tcPr>
                <w:p w14:paraId="2FB31A54">
                  <w:pPr>
                    <w:pStyle w:val="20"/>
                    <w:widowControl w:val="0"/>
                    <w:snapToGrid w:val="0"/>
                    <w:spacing w:before="0" w:beforeAutospacing="0" w:after="0" w:afterAutospacing="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drawing>
                      <wp:inline distT="0" distB="0" distL="0" distR="0">
                        <wp:extent cx="833120" cy="745490"/>
                        <wp:effectExtent l="0" t="0" r="5080" b="1270"/>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8"/>
                                <pic:cNvPicPr>
                                  <a:picLocks noChangeAspect="1" noChangeArrowheads="1"/>
                                </pic:cNvPicPr>
                              </pic:nvPicPr>
                              <pic:blipFill>
                                <a:blip r:embed="rId31"/>
                                <a:srcRect/>
                                <a:stretch>
                                  <a:fillRect/>
                                </a:stretch>
                              </pic:blipFill>
                              <pic:spPr>
                                <a:xfrm>
                                  <a:off x="0" y="0"/>
                                  <a:ext cx="835805" cy="748244"/>
                                </a:xfrm>
                                <a:prstGeom prst="rect">
                                  <a:avLst/>
                                </a:prstGeom>
                                <a:noFill/>
                                <a:ln w="9525">
                                  <a:noFill/>
                                  <a:miter lim="800000"/>
                                  <a:headEnd/>
                                  <a:tailEnd/>
                                </a:ln>
                              </pic:spPr>
                            </pic:pic>
                          </a:graphicData>
                        </a:graphic>
                      </wp:inline>
                    </w:drawing>
                  </w:r>
                </w:p>
              </w:tc>
              <w:tc>
                <w:tcPr>
                  <w:tcW w:w="1431" w:type="dxa"/>
                  <w:tcBorders>
                    <w:tl2br w:val="nil"/>
                    <w:tr2bl w:val="nil"/>
                  </w:tcBorders>
                  <w:vAlign w:val="center"/>
                </w:tcPr>
                <w:p w14:paraId="2A667E9A">
                  <w:pPr>
                    <w:pStyle w:val="20"/>
                    <w:widowControl w:val="0"/>
                    <w:snapToGrid w:val="0"/>
                    <w:spacing w:before="0" w:beforeAutospacing="0" w:after="0" w:afterAutospacing="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drawing>
                      <wp:inline distT="0" distB="0" distL="0" distR="0">
                        <wp:extent cx="808990" cy="739775"/>
                        <wp:effectExtent l="0" t="0" r="13970" b="6985"/>
                        <wp:docPr id="1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0"/>
                                <pic:cNvPicPr>
                                  <a:picLocks noChangeAspect="1" noChangeArrowheads="1"/>
                                </pic:cNvPicPr>
                              </pic:nvPicPr>
                              <pic:blipFill>
                                <a:blip r:embed="rId32"/>
                                <a:srcRect/>
                                <a:stretch>
                                  <a:fillRect/>
                                </a:stretch>
                              </pic:blipFill>
                              <pic:spPr>
                                <a:xfrm>
                                  <a:off x="0" y="0"/>
                                  <a:ext cx="811880" cy="742290"/>
                                </a:xfrm>
                                <a:prstGeom prst="rect">
                                  <a:avLst/>
                                </a:prstGeom>
                                <a:noFill/>
                                <a:ln w="9525">
                                  <a:noFill/>
                                  <a:miter lim="800000"/>
                                  <a:headEnd/>
                                  <a:tailEnd/>
                                </a:ln>
                              </pic:spPr>
                            </pic:pic>
                          </a:graphicData>
                        </a:graphic>
                      </wp:inline>
                    </w:drawing>
                  </w:r>
                </w:p>
              </w:tc>
              <w:tc>
                <w:tcPr>
                  <w:tcW w:w="1386" w:type="dxa"/>
                  <w:tcBorders>
                    <w:tl2br w:val="nil"/>
                    <w:tr2bl w:val="nil"/>
                  </w:tcBorders>
                  <w:vAlign w:val="center"/>
                </w:tcPr>
                <w:p w14:paraId="263665A0">
                  <w:pPr>
                    <w:pStyle w:val="20"/>
                    <w:widowControl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0" distR="0">
                        <wp:extent cx="758190" cy="796925"/>
                        <wp:effectExtent l="0" t="0" r="3810" b="10795"/>
                        <wp:docPr id="1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1"/>
                                <pic:cNvPicPr>
                                  <a:picLocks noChangeAspect="1" noChangeArrowheads="1"/>
                                </pic:cNvPicPr>
                              </pic:nvPicPr>
                              <pic:blipFill>
                                <a:blip r:embed="rId33"/>
                                <a:srcRect/>
                                <a:stretch>
                                  <a:fillRect/>
                                </a:stretch>
                              </pic:blipFill>
                              <pic:spPr>
                                <a:xfrm>
                                  <a:off x="0" y="0"/>
                                  <a:ext cx="761130" cy="799963"/>
                                </a:xfrm>
                                <a:prstGeom prst="rect">
                                  <a:avLst/>
                                </a:prstGeom>
                                <a:noFill/>
                                <a:ln w="9525">
                                  <a:noFill/>
                                  <a:miter lim="800000"/>
                                  <a:headEnd/>
                                  <a:tailEnd/>
                                </a:ln>
                              </pic:spPr>
                            </pic:pic>
                          </a:graphicData>
                        </a:graphic>
                      </wp:inline>
                    </w:drawing>
                  </w:r>
                </w:p>
              </w:tc>
              <w:tc>
                <w:tcPr>
                  <w:tcW w:w="1363" w:type="dxa"/>
                  <w:tcBorders>
                    <w:tl2br w:val="nil"/>
                    <w:tr2bl w:val="nil"/>
                  </w:tcBorders>
                  <w:vAlign w:val="center"/>
                </w:tcPr>
                <w:p w14:paraId="5CDF9FF9">
                  <w:pPr>
                    <w:pStyle w:val="20"/>
                    <w:widowControl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32"/>
                      <w:szCs w:val="22"/>
                      <w:highlight w:val="none"/>
                    </w:rPr>
                    <w:drawing>
                      <wp:inline distT="0" distB="0" distL="114300" distR="114300">
                        <wp:extent cx="728345" cy="608330"/>
                        <wp:effectExtent l="0" t="0" r="3175" b="127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34"/>
                                <a:stretch>
                                  <a:fillRect/>
                                </a:stretch>
                              </pic:blipFill>
                              <pic:spPr>
                                <a:xfrm>
                                  <a:off x="0" y="0"/>
                                  <a:ext cx="728345" cy="608330"/>
                                </a:xfrm>
                                <a:prstGeom prst="rect">
                                  <a:avLst/>
                                </a:prstGeom>
                                <a:noFill/>
                                <a:ln>
                                  <a:noFill/>
                                </a:ln>
                              </pic:spPr>
                            </pic:pic>
                          </a:graphicData>
                        </a:graphic>
                      </wp:inline>
                    </w:drawing>
                  </w:r>
                </w:p>
              </w:tc>
            </w:tr>
            <w:tr w14:paraId="7BA4D52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02" w:type="dxa"/>
                  <w:tcBorders>
                    <w:tl2br w:val="nil"/>
                    <w:tr2bl w:val="nil"/>
                  </w:tcBorders>
                  <w:vAlign w:val="center"/>
                </w:tcPr>
                <w:p w14:paraId="2ACA6D67">
                  <w:pPr>
                    <w:pStyle w:val="20"/>
                    <w:widowControl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功能</w:t>
                  </w:r>
                </w:p>
              </w:tc>
              <w:tc>
                <w:tcPr>
                  <w:tcW w:w="1297" w:type="dxa"/>
                  <w:tcBorders>
                    <w:tl2br w:val="nil"/>
                    <w:tr2bl w:val="nil"/>
                  </w:tcBorders>
                  <w:vAlign w:val="center"/>
                </w:tcPr>
                <w:p w14:paraId="5AE3E1E3">
                  <w:pPr>
                    <w:pStyle w:val="20"/>
                    <w:widowControl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废气向大气环境排放</w:t>
                  </w:r>
                </w:p>
              </w:tc>
              <w:tc>
                <w:tcPr>
                  <w:tcW w:w="1438" w:type="dxa"/>
                  <w:tcBorders>
                    <w:tl2br w:val="nil"/>
                    <w:tr2bl w:val="nil"/>
                  </w:tcBorders>
                  <w:vAlign w:val="center"/>
                </w:tcPr>
                <w:p w14:paraId="0EAD4B98">
                  <w:pPr>
                    <w:pStyle w:val="20"/>
                    <w:widowControl w:val="0"/>
                    <w:snapToGrid w:val="0"/>
                    <w:spacing w:before="0" w:beforeAutospacing="0" w:after="0" w:afterAutospacing="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表示污水向水体排放表示</w:t>
                  </w:r>
                </w:p>
              </w:tc>
              <w:tc>
                <w:tcPr>
                  <w:tcW w:w="1431" w:type="dxa"/>
                  <w:tcBorders>
                    <w:tl2br w:val="nil"/>
                    <w:tr2bl w:val="nil"/>
                  </w:tcBorders>
                  <w:vAlign w:val="center"/>
                </w:tcPr>
                <w:p w14:paraId="6EB708F0">
                  <w:pPr>
                    <w:pStyle w:val="20"/>
                    <w:widowControl w:val="0"/>
                    <w:snapToGrid w:val="0"/>
                    <w:spacing w:before="0" w:beforeAutospacing="0" w:after="0" w:afterAutospacing="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表示噪声向外环境排放</w:t>
                  </w:r>
                </w:p>
              </w:tc>
              <w:tc>
                <w:tcPr>
                  <w:tcW w:w="1386" w:type="dxa"/>
                  <w:tcBorders>
                    <w:tl2br w:val="nil"/>
                    <w:tr2bl w:val="nil"/>
                  </w:tcBorders>
                  <w:vAlign w:val="center"/>
                </w:tcPr>
                <w:p w14:paraId="7D6D6971">
                  <w:pPr>
                    <w:pStyle w:val="20"/>
                    <w:widowControl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表示一般工业固体废物贮存、处置场所</w:t>
                  </w:r>
                </w:p>
              </w:tc>
              <w:tc>
                <w:tcPr>
                  <w:tcW w:w="1363" w:type="dxa"/>
                  <w:tcBorders>
                    <w:tl2br w:val="nil"/>
                    <w:tr2bl w:val="nil"/>
                  </w:tcBorders>
                  <w:vAlign w:val="center"/>
                </w:tcPr>
                <w:p w14:paraId="28C58078">
                  <w:pPr>
                    <w:pStyle w:val="20"/>
                    <w:widowControl w:val="0"/>
                    <w:snapToGrid w:val="0"/>
                    <w:spacing w:before="0" w:beforeAutospacing="0" w:after="0" w:afterAutospacing="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表示危险废物贮存、处置场所</w:t>
                  </w:r>
                </w:p>
              </w:tc>
            </w:tr>
          </w:tbl>
          <w:p w14:paraId="7B78216A">
            <w:pPr>
              <w:snapToGrid w:val="0"/>
              <w:spacing w:before="120" w:beforeLines="50" w:line="360" w:lineRule="auto"/>
              <w:ind w:firstLine="472" w:firstLineChars="196"/>
              <w:rPr>
                <w:rFonts w:hint="default"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lang w:val="en-US" w:eastAsia="zh-CN"/>
              </w:rPr>
              <w:t>监测点位</w:t>
            </w:r>
            <w:r>
              <w:rPr>
                <w:rFonts w:hint="default" w:ascii="Times New Roman" w:hAnsi="Times New Roman" w:eastAsia="宋体" w:cs="Times New Roman"/>
                <w:b/>
                <w:bCs/>
                <w:color w:val="auto"/>
                <w:sz w:val="24"/>
                <w:highlight w:val="none"/>
              </w:rPr>
              <w:t>设置</w:t>
            </w:r>
          </w:p>
          <w:p w14:paraId="0F28084B">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rPr>
              <w:t>按照</w:t>
            </w:r>
            <w:r>
              <w:rPr>
                <w:rFonts w:hint="default" w:ascii="Times New Roman" w:hAnsi="Times New Roman" w:eastAsia="宋体" w:cs="Times New Roman"/>
                <w:b w:val="0"/>
                <w:bCs w:val="0"/>
                <w:color w:val="auto"/>
                <w:sz w:val="24"/>
                <w:szCs w:val="24"/>
                <w:highlight w:val="none"/>
                <w:lang w:val="en-US" w:eastAsia="zh-CN"/>
              </w:rPr>
              <w:t>《排污单位污染物排放口监测点位设置技术规范》（HJ1405-2024）</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《固定污染源监测点位设置技术规范》（DB11/1195-2015）要求</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本项目</w:t>
            </w:r>
            <w:r>
              <w:rPr>
                <w:rFonts w:hint="default" w:ascii="Times New Roman" w:hAnsi="Times New Roman" w:eastAsia="宋体" w:cs="Times New Roman"/>
                <w:bCs/>
                <w:color w:val="auto"/>
                <w:sz w:val="24"/>
                <w:highlight w:val="none"/>
                <w:lang w:val="en-US" w:eastAsia="zh-CN"/>
              </w:rPr>
              <w:t>设置</w:t>
            </w:r>
            <w:r>
              <w:rPr>
                <w:rFonts w:hint="eastAsia" w:cs="Times New Roman"/>
                <w:bCs/>
                <w:color w:val="auto"/>
                <w:sz w:val="24"/>
                <w:highlight w:val="none"/>
                <w:lang w:val="en-US" w:eastAsia="zh-CN"/>
              </w:rPr>
              <w:t>1</w:t>
            </w:r>
            <w:r>
              <w:rPr>
                <w:rFonts w:hint="default" w:ascii="Times New Roman" w:hAnsi="Times New Roman" w:eastAsia="宋体" w:cs="Times New Roman"/>
                <w:bCs/>
                <w:color w:val="auto"/>
                <w:sz w:val="24"/>
                <w:highlight w:val="none"/>
                <w:lang w:val="en-US" w:eastAsia="zh-CN"/>
              </w:rPr>
              <w:t>个废气排放口（DA001）、一个废水排放口（DW001）。</w:t>
            </w:r>
          </w:p>
          <w:p w14:paraId="5866ADE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在排放口设立监测点位标志牌，建立排放口监测点位档案，档案内容应包含监测点位二维码涵盖的信息，以及对监测点位的管理记录，包括对标志牌的标识是否清晰完整，工作平台、梯架是否能正常使用，安全防护装置是否过期失效，防护设施有无破损现象，排放口附近有无堆积物等方面的检查和维修清理</w:t>
            </w:r>
            <w:r>
              <w:rPr>
                <w:rFonts w:hint="eastAsia" w:cs="Times New Roman"/>
                <w:b w:val="0"/>
                <w:bCs w:val="0"/>
                <w:color w:val="auto"/>
                <w:sz w:val="24"/>
                <w:szCs w:val="24"/>
                <w:highlight w:val="none"/>
                <w:lang w:val="en-US" w:eastAsia="zh-CN"/>
              </w:rPr>
              <w:t>的</w:t>
            </w:r>
            <w:r>
              <w:rPr>
                <w:rFonts w:hint="default" w:ascii="Times New Roman" w:hAnsi="Times New Roman" w:eastAsia="宋体" w:cs="Times New Roman"/>
                <w:b w:val="0"/>
                <w:bCs w:val="0"/>
                <w:color w:val="auto"/>
                <w:sz w:val="24"/>
                <w:szCs w:val="24"/>
                <w:highlight w:val="none"/>
                <w:lang w:val="en-US" w:eastAsia="zh-CN"/>
              </w:rPr>
              <w:t>记录，记录周期不少于每半年一次。监测点位标志牌示例图见下图。</w:t>
            </w:r>
          </w:p>
          <w:tbl>
            <w:tblPr>
              <w:tblStyle w:val="24"/>
              <w:tblW w:w="0" w:type="auto"/>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77"/>
              <w:gridCol w:w="3678"/>
            </w:tblGrid>
            <w:tr w14:paraId="574862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7" w:type="dxa"/>
                  <w:tcBorders>
                    <w:tl2br w:val="nil"/>
                    <w:tr2bl w:val="nil"/>
                  </w:tcBorders>
                  <w:vAlign w:val="center"/>
                </w:tcPr>
                <w:p w14:paraId="71F81C09">
                  <w:pPr>
                    <w:spacing w:line="360" w:lineRule="auto"/>
                    <w:jc w:val="center"/>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color w:val="auto"/>
                    </w:rPr>
                    <w:drawing>
                      <wp:inline distT="0" distB="0" distL="114300" distR="114300">
                        <wp:extent cx="1965325" cy="1692275"/>
                        <wp:effectExtent l="0" t="0" r="635" b="1460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35"/>
                                <a:stretch>
                                  <a:fillRect/>
                                </a:stretch>
                              </pic:blipFill>
                              <pic:spPr>
                                <a:xfrm>
                                  <a:off x="0" y="0"/>
                                  <a:ext cx="1965325" cy="1692275"/>
                                </a:xfrm>
                                <a:prstGeom prst="rect">
                                  <a:avLst/>
                                </a:prstGeom>
                                <a:noFill/>
                                <a:ln>
                                  <a:noFill/>
                                </a:ln>
                              </pic:spPr>
                            </pic:pic>
                          </a:graphicData>
                        </a:graphic>
                      </wp:inline>
                    </w:drawing>
                  </w:r>
                </w:p>
              </w:tc>
              <w:tc>
                <w:tcPr>
                  <w:tcW w:w="3678" w:type="dxa"/>
                  <w:tcBorders>
                    <w:tl2br w:val="nil"/>
                    <w:tr2bl w:val="nil"/>
                  </w:tcBorders>
                  <w:vAlign w:val="center"/>
                </w:tcPr>
                <w:p w14:paraId="4A082683">
                  <w:pPr>
                    <w:spacing w:line="360" w:lineRule="auto"/>
                    <w:jc w:val="center"/>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color w:val="auto"/>
                    </w:rPr>
                    <w:drawing>
                      <wp:inline distT="0" distB="0" distL="114300" distR="114300">
                        <wp:extent cx="2138045" cy="1718310"/>
                        <wp:effectExtent l="0" t="0" r="10795" b="381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36"/>
                                <a:stretch>
                                  <a:fillRect/>
                                </a:stretch>
                              </pic:blipFill>
                              <pic:spPr>
                                <a:xfrm>
                                  <a:off x="0" y="0"/>
                                  <a:ext cx="2138045" cy="1718310"/>
                                </a:xfrm>
                                <a:prstGeom prst="rect">
                                  <a:avLst/>
                                </a:prstGeom>
                                <a:noFill/>
                                <a:ln>
                                  <a:noFill/>
                                </a:ln>
                              </pic:spPr>
                            </pic:pic>
                          </a:graphicData>
                        </a:graphic>
                      </wp:inline>
                    </w:drawing>
                  </w:r>
                </w:p>
              </w:tc>
            </w:tr>
          </w:tbl>
          <w:p w14:paraId="7E683327">
            <w:pPr>
              <w:spacing w:line="360" w:lineRule="auto"/>
              <w:ind w:firstLine="2409" w:firstLineChars="10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图5-1 监测点位标志牌示意图</w:t>
            </w:r>
          </w:p>
          <w:p w14:paraId="3A6C8C8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项目竣工环境保护验收</w:t>
            </w:r>
          </w:p>
          <w:p w14:paraId="2B43E64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根据《关于发布&lt;建设项目竣工环境保护验收暂行办法&gt;的公告》（国环规环评[2017]4号）、《关于发布&lt;建设项目竣工环境保护验收技术指南 污染影响类&gt;的公告》（公告2018年第9号），本项目需开展竣工环境保护自主验收工作。本项目竣工环保</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三同时</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验收内容详见下表。</w:t>
            </w:r>
          </w:p>
          <w:p w14:paraId="63CEB925">
            <w:pPr>
              <w:numPr>
                <w:ilvl w:val="0"/>
                <w:numId w:val="0"/>
              </w:numPr>
              <w:adjustRightInd w:val="0"/>
              <w:spacing w:line="360" w:lineRule="auto"/>
              <w:ind w:leftChars="0"/>
              <w:jc w:val="center"/>
              <w:rPr>
                <w:rFonts w:hint="default" w:ascii="Times New Roman" w:hAnsi="Times New Roman" w:eastAsia="宋体" w:cs="Times New Roman"/>
                <w:b/>
                <w:color w:val="auto"/>
                <w:spacing w:val="-4"/>
                <w:kern w:val="0"/>
                <w:sz w:val="24"/>
                <w:highlight w:val="none"/>
                <w:lang w:val="en-US" w:eastAsia="zh-CN"/>
              </w:rPr>
            </w:pPr>
            <w:r>
              <w:rPr>
                <w:rFonts w:hint="default" w:ascii="Times New Roman" w:hAnsi="Times New Roman" w:eastAsia="宋体" w:cs="Times New Roman"/>
                <w:b/>
                <w:color w:val="auto"/>
                <w:spacing w:val="-4"/>
                <w:kern w:val="0"/>
                <w:sz w:val="24"/>
                <w:highlight w:val="none"/>
                <w:lang w:val="en-US" w:eastAsia="zh-CN"/>
              </w:rPr>
              <w:t>表5-3  本项目竣工环保</w:t>
            </w:r>
            <w:r>
              <w:rPr>
                <w:rFonts w:hint="eastAsia" w:cs="Times New Roman"/>
                <w:b/>
                <w:color w:val="auto"/>
                <w:spacing w:val="-4"/>
                <w:kern w:val="0"/>
                <w:sz w:val="24"/>
                <w:highlight w:val="none"/>
                <w:lang w:val="en-US" w:eastAsia="zh-CN"/>
              </w:rPr>
              <w:t>“</w:t>
            </w:r>
            <w:r>
              <w:rPr>
                <w:rFonts w:hint="default" w:ascii="Times New Roman" w:hAnsi="Times New Roman" w:eastAsia="宋体" w:cs="Times New Roman"/>
                <w:b/>
                <w:color w:val="auto"/>
                <w:spacing w:val="-4"/>
                <w:kern w:val="0"/>
                <w:sz w:val="24"/>
                <w:highlight w:val="none"/>
                <w:lang w:val="en-US" w:eastAsia="zh-CN"/>
              </w:rPr>
              <w:t>三同时</w:t>
            </w:r>
            <w:r>
              <w:rPr>
                <w:rFonts w:hint="eastAsia" w:cs="Times New Roman"/>
                <w:b/>
                <w:color w:val="auto"/>
                <w:spacing w:val="-4"/>
                <w:kern w:val="0"/>
                <w:sz w:val="24"/>
                <w:highlight w:val="none"/>
                <w:lang w:val="en-US" w:eastAsia="zh-CN"/>
              </w:rPr>
              <w:t>”</w:t>
            </w:r>
            <w:r>
              <w:rPr>
                <w:rFonts w:hint="default" w:ascii="Times New Roman" w:hAnsi="Times New Roman" w:eastAsia="宋体" w:cs="Times New Roman"/>
                <w:b/>
                <w:color w:val="auto"/>
                <w:spacing w:val="-4"/>
                <w:kern w:val="0"/>
                <w:sz w:val="24"/>
                <w:highlight w:val="none"/>
                <w:lang w:val="en-US" w:eastAsia="zh-CN"/>
              </w:rPr>
              <w:t>验收内容一览表</w:t>
            </w:r>
          </w:p>
          <w:tbl>
            <w:tblPr>
              <w:tblStyle w:val="2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43"/>
              <w:gridCol w:w="958"/>
              <w:gridCol w:w="1619"/>
              <w:gridCol w:w="1942"/>
              <w:gridCol w:w="2393"/>
            </w:tblGrid>
            <w:tr w14:paraId="526402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1" w:type="pct"/>
                  <w:tcBorders>
                    <w:tl2br w:val="nil"/>
                    <w:tr2bl w:val="nil"/>
                  </w:tcBorders>
                  <w:vAlign w:val="center"/>
                </w:tcPr>
                <w:p w14:paraId="7A301AC4">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项目</w:t>
                  </w:r>
                </w:p>
              </w:tc>
              <w:tc>
                <w:tcPr>
                  <w:tcW w:w="651" w:type="pct"/>
                  <w:tcBorders>
                    <w:tl2br w:val="nil"/>
                    <w:tr2bl w:val="nil"/>
                  </w:tcBorders>
                  <w:vAlign w:val="center"/>
                </w:tcPr>
                <w:p w14:paraId="68B83960">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污染源</w:t>
                  </w:r>
                </w:p>
              </w:tc>
              <w:tc>
                <w:tcPr>
                  <w:tcW w:w="1100" w:type="pct"/>
                  <w:tcBorders>
                    <w:tl2br w:val="nil"/>
                    <w:tr2bl w:val="nil"/>
                  </w:tcBorders>
                  <w:vAlign w:val="center"/>
                </w:tcPr>
                <w:p w14:paraId="65CDDB41">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w:t>
                  </w:r>
                </w:p>
              </w:tc>
              <w:tc>
                <w:tcPr>
                  <w:tcW w:w="1320" w:type="pct"/>
                  <w:tcBorders>
                    <w:tl2br w:val="nil"/>
                    <w:tr2bl w:val="nil"/>
                  </w:tcBorders>
                  <w:vAlign w:val="center"/>
                </w:tcPr>
                <w:p w14:paraId="4CEF4A96">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验收设施</w:t>
                  </w:r>
                </w:p>
              </w:tc>
              <w:tc>
                <w:tcPr>
                  <w:tcW w:w="1626" w:type="pct"/>
                  <w:tcBorders>
                    <w:tl2br w:val="nil"/>
                    <w:tr2bl w:val="nil"/>
                  </w:tcBorders>
                  <w:vAlign w:val="center"/>
                </w:tcPr>
                <w:p w14:paraId="448A19D9">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验收标准要求</w:t>
                  </w:r>
                </w:p>
              </w:tc>
            </w:tr>
            <w:tr w14:paraId="1DC866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1" w:type="pct"/>
                  <w:tcBorders>
                    <w:tl2br w:val="nil"/>
                    <w:tr2bl w:val="nil"/>
                  </w:tcBorders>
                  <w:vAlign w:val="center"/>
                </w:tcPr>
                <w:p w14:paraId="09BF504A">
                  <w:pPr>
                    <w:adjustRightIn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废气</w:t>
                  </w:r>
                </w:p>
              </w:tc>
              <w:tc>
                <w:tcPr>
                  <w:tcW w:w="651" w:type="pct"/>
                  <w:tcBorders>
                    <w:tl2br w:val="nil"/>
                    <w:tr2bl w:val="nil"/>
                  </w:tcBorders>
                  <w:vAlign w:val="center"/>
                </w:tcPr>
                <w:p w14:paraId="3FF64FAB">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szCs w:val="21"/>
                      <w:highlight w:val="none"/>
                    </w:rPr>
                    <w:t>DA00</w:t>
                  </w:r>
                  <w:r>
                    <w:rPr>
                      <w:rFonts w:hint="default" w:ascii="Times New Roman" w:hAnsi="Times New Roman" w:eastAsia="宋体" w:cs="Times New Roman"/>
                      <w:color w:val="auto"/>
                      <w:szCs w:val="21"/>
                      <w:highlight w:val="none"/>
                      <w:lang w:val="en-US" w:eastAsia="zh-CN"/>
                    </w:rPr>
                    <w:t>1</w:t>
                  </w:r>
                </w:p>
              </w:tc>
              <w:tc>
                <w:tcPr>
                  <w:tcW w:w="1100" w:type="pct"/>
                  <w:tcBorders>
                    <w:tl2br w:val="nil"/>
                    <w:tr2bl w:val="nil"/>
                  </w:tcBorders>
                  <w:vAlign w:val="center"/>
                </w:tcPr>
                <w:p w14:paraId="1D4BD975">
                  <w:pPr>
                    <w:jc w:val="center"/>
                    <w:rPr>
                      <w:rFonts w:hint="default" w:ascii="Times New Roman" w:hAnsi="Times New Roman" w:eastAsia="宋体" w:cs="Times New Roman"/>
                      <w:bCs/>
                      <w:color w:val="auto"/>
                      <w:szCs w:val="21"/>
                      <w:highlight w:val="none"/>
                      <w:lang w:val="en-US" w:eastAsia="zh-CN"/>
                    </w:rPr>
                  </w:pPr>
                  <w:r>
                    <w:rPr>
                      <w:rFonts w:hint="eastAsia" w:cs="Times New Roman"/>
                      <w:color w:val="auto"/>
                      <w:kern w:val="0"/>
                      <w:sz w:val="21"/>
                      <w:szCs w:val="21"/>
                      <w:highlight w:val="none"/>
                      <w:vertAlign w:val="baseline"/>
                      <w:lang w:val="en-US" w:eastAsia="zh-CN"/>
                    </w:rPr>
                    <w:t>非甲烷总烃、甲醇、其他A类物质（乙酸）、其他C类物质（乙酸乙酯、乙醚）、</w:t>
                  </w:r>
                  <w:r>
                    <w:rPr>
                      <w:rFonts w:hint="eastAsia" w:cs="Times New Roman"/>
                      <w:b w:val="0"/>
                      <w:bCs w:val="0"/>
                      <w:color w:val="auto"/>
                      <w:kern w:val="0"/>
                      <w:sz w:val="21"/>
                      <w:szCs w:val="21"/>
                      <w:highlight w:val="none"/>
                      <w:vertAlign w:val="baseline"/>
                      <w:lang w:val="en-US" w:eastAsia="zh-CN"/>
                    </w:rPr>
                    <w:t>氯化氢、</w:t>
                  </w:r>
                  <w:r>
                    <w:rPr>
                      <w:rFonts w:hint="eastAsia" w:cs="Times New Roman"/>
                      <w:b w:val="0"/>
                      <w:bCs w:val="0"/>
                      <w:color w:val="auto"/>
                      <w:kern w:val="0"/>
                      <w:sz w:val="21"/>
                      <w:szCs w:val="21"/>
                      <w:highlight w:val="none"/>
                      <w:vertAlign w:val="baseline"/>
                      <w:lang w:val="en-US" w:eastAsia="zh-CN" w:bidi="ar-SA"/>
                    </w:rPr>
                    <w:t>氮氧化物、硫酸雾</w:t>
                  </w:r>
                  <w:r>
                    <w:rPr>
                      <w:rFonts w:hint="eastAsia" w:cs="Times New Roman"/>
                      <w:b w:val="0"/>
                      <w:bCs w:val="0"/>
                      <w:color w:val="auto"/>
                      <w:kern w:val="0"/>
                      <w:sz w:val="21"/>
                      <w:szCs w:val="21"/>
                      <w:highlight w:val="none"/>
                      <w:vertAlign w:val="baseline"/>
                      <w:lang w:val="en-US" w:eastAsia="zh-CN"/>
                    </w:rPr>
                    <w:t>、氨</w:t>
                  </w:r>
                </w:p>
              </w:tc>
              <w:tc>
                <w:tcPr>
                  <w:tcW w:w="1320" w:type="pct"/>
                  <w:tcBorders>
                    <w:tl2br w:val="nil"/>
                    <w:tr2bl w:val="nil"/>
                  </w:tcBorders>
                  <w:vAlign w:val="center"/>
                </w:tcPr>
                <w:p w14:paraId="7E75D4EC">
                  <w:pPr>
                    <w:jc w:val="center"/>
                    <w:rPr>
                      <w:rFonts w:hint="default" w:ascii="Times New Roman" w:hAnsi="Times New Roman" w:eastAsia="宋体" w:cs="Times New Roman"/>
                      <w:bCs/>
                      <w:color w:val="auto"/>
                      <w:szCs w:val="21"/>
                      <w:highlight w:val="none"/>
                      <w:lang w:val="en-US" w:eastAsia="zh-CN"/>
                    </w:rPr>
                  </w:pPr>
                  <w:r>
                    <w:rPr>
                      <w:rFonts w:hint="eastAsia" w:cs="Times New Roman"/>
                      <w:color w:val="auto"/>
                      <w:kern w:val="0"/>
                      <w:sz w:val="21"/>
                      <w:szCs w:val="21"/>
                      <w:lang w:val="en-US" w:eastAsia="zh-CN" w:bidi="ar"/>
                    </w:rPr>
                    <w:t>通风橱</w:t>
                  </w:r>
                  <w:r>
                    <w:rPr>
                      <w:rFonts w:hint="eastAsia"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万向罩、活性炭处理装置、采样平台、排气筒、标志</w:t>
                  </w:r>
                </w:p>
              </w:tc>
              <w:tc>
                <w:tcPr>
                  <w:tcW w:w="1626" w:type="pct"/>
                  <w:tcBorders>
                    <w:tl2br w:val="nil"/>
                    <w:tr2bl w:val="nil"/>
                  </w:tcBorders>
                  <w:vAlign w:val="center"/>
                </w:tcPr>
                <w:p w14:paraId="58EF23CC">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szCs w:val="21"/>
                      <w:highlight w:val="none"/>
                      <w:lang w:val="zh-CN"/>
                    </w:rPr>
                    <w:t>北京市《大气污染物综合排放标准》（DB11/501-2017）中表3</w:t>
                  </w:r>
                  <w:r>
                    <w:rPr>
                      <w:rFonts w:hint="default" w:ascii="Times New Roman" w:hAnsi="Times New Roman" w:eastAsia="宋体" w:cs="Times New Roman"/>
                      <w:color w:val="auto"/>
                      <w:szCs w:val="21"/>
                      <w:highlight w:val="none"/>
                    </w:rPr>
                    <w:t xml:space="preserve"> </w:t>
                  </w:r>
                  <w:r>
                    <w:rPr>
                      <w:rFonts w:hint="default" w:ascii="Times New Roman" w:hAnsi="Times New Roman" w:eastAsia="宋体" w:cs="Times New Roman"/>
                      <w:color w:val="auto"/>
                      <w:szCs w:val="21"/>
                      <w:highlight w:val="none"/>
                      <w:lang w:val="zh-CN"/>
                    </w:rPr>
                    <w:t>Ⅱ时段的最高允许排放浓度限值要求</w:t>
                  </w:r>
                </w:p>
              </w:tc>
            </w:tr>
            <w:tr w14:paraId="4BBBDF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01" w:type="pct"/>
                  <w:tcBorders>
                    <w:tl2br w:val="nil"/>
                    <w:tr2bl w:val="nil"/>
                  </w:tcBorders>
                  <w:vAlign w:val="center"/>
                </w:tcPr>
                <w:p w14:paraId="6AA7C2CF">
                  <w:pPr>
                    <w:pStyle w:val="20"/>
                    <w:adjustRightInd w:val="0"/>
                    <w:spacing w:before="0" w:beforeAutospacing="0" w:after="0" w:afterAutospacing="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废水</w:t>
                  </w:r>
                </w:p>
              </w:tc>
              <w:tc>
                <w:tcPr>
                  <w:tcW w:w="651" w:type="pct"/>
                  <w:tcBorders>
                    <w:tl2br w:val="nil"/>
                    <w:tr2bl w:val="nil"/>
                  </w:tcBorders>
                  <w:vAlign w:val="center"/>
                </w:tcPr>
                <w:p w14:paraId="24557B2F">
                  <w:pPr>
                    <w:adjustRightIn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纯水制备、</w:t>
                  </w:r>
                  <w:r>
                    <w:rPr>
                      <w:rFonts w:hint="eastAsia" w:cs="Times New Roman"/>
                      <w:bCs/>
                      <w:color w:val="auto"/>
                      <w:szCs w:val="21"/>
                      <w:highlight w:val="none"/>
                      <w:lang w:val="en-US" w:eastAsia="zh-CN"/>
                    </w:rPr>
                    <w:t>高压蒸汽灭菌</w:t>
                  </w:r>
                  <w:r>
                    <w:rPr>
                      <w:rFonts w:hint="default" w:ascii="Times New Roman" w:hAnsi="Times New Roman" w:eastAsia="宋体" w:cs="Times New Roman"/>
                      <w:bCs/>
                      <w:color w:val="auto"/>
                      <w:szCs w:val="21"/>
                      <w:highlight w:val="none"/>
                      <w:lang w:val="en-US" w:eastAsia="zh-CN"/>
                    </w:rPr>
                    <w:t>、设备清洗、</w:t>
                  </w:r>
                  <w:r>
                    <w:rPr>
                      <w:rFonts w:hint="eastAsia" w:cs="Times New Roman"/>
                      <w:bCs/>
                      <w:color w:val="auto"/>
                      <w:szCs w:val="21"/>
                      <w:highlight w:val="none"/>
                      <w:lang w:val="en-US" w:eastAsia="zh-CN"/>
                    </w:rPr>
                    <w:t>地面清洗、</w:t>
                  </w:r>
                  <w:r>
                    <w:rPr>
                      <w:rFonts w:hint="default" w:ascii="Times New Roman" w:hAnsi="Times New Roman" w:eastAsia="宋体" w:cs="Times New Roman"/>
                      <w:bCs/>
                      <w:color w:val="auto"/>
                      <w:szCs w:val="21"/>
                      <w:highlight w:val="none"/>
                      <w:lang w:val="en-US" w:eastAsia="zh-CN"/>
                    </w:rPr>
                    <w:t>员工生活</w:t>
                  </w:r>
                </w:p>
              </w:tc>
              <w:tc>
                <w:tcPr>
                  <w:tcW w:w="1100" w:type="pct"/>
                  <w:tcBorders>
                    <w:tl2br w:val="nil"/>
                    <w:tr2bl w:val="nil"/>
                  </w:tcBorders>
                  <w:vAlign w:val="center"/>
                </w:tcPr>
                <w:p w14:paraId="6FF5A618">
                  <w:pPr>
                    <w:adjustRightIn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pH、COD</w:t>
                  </w:r>
                  <w:r>
                    <w:rPr>
                      <w:rFonts w:hint="default" w:ascii="Times New Roman" w:hAnsi="Times New Roman" w:eastAsia="宋体" w:cs="Times New Roman"/>
                      <w:bCs/>
                      <w:color w:val="auto"/>
                      <w:szCs w:val="21"/>
                      <w:highlight w:val="none"/>
                      <w:vertAlign w:val="subscript"/>
                      <w:lang w:val="en-US" w:eastAsia="zh-CN"/>
                    </w:rPr>
                    <w:t>Cr</w:t>
                  </w:r>
                  <w:r>
                    <w:rPr>
                      <w:rFonts w:hint="default" w:ascii="Times New Roman" w:hAnsi="Times New Roman" w:eastAsia="宋体" w:cs="Times New Roman"/>
                      <w:bCs/>
                      <w:color w:val="auto"/>
                      <w:szCs w:val="21"/>
                      <w:highlight w:val="none"/>
                      <w:lang w:val="en-US" w:eastAsia="zh-CN"/>
                    </w:rPr>
                    <w:t>、</w:t>
                  </w:r>
                </w:p>
                <w:p w14:paraId="6A09AED4">
                  <w:pPr>
                    <w:adjustRightIn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BOD</w:t>
                  </w:r>
                  <w:r>
                    <w:rPr>
                      <w:rFonts w:hint="default" w:ascii="Times New Roman" w:hAnsi="Times New Roman" w:eastAsia="宋体" w:cs="Times New Roman"/>
                      <w:bCs/>
                      <w:color w:val="auto"/>
                      <w:szCs w:val="21"/>
                      <w:highlight w:val="none"/>
                      <w:vertAlign w:val="subscript"/>
                      <w:lang w:val="en-US" w:eastAsia="zh-CN"/>
                    </w:rPr>
                    <w:t>5</w:t>
                  </w:r>
                  <w:r>
                    <w:rPr>
                      <w:rFonts w:hint="default" w:ascii="Times New Roman" w:hAnsi="Times New Roman" w:eastAsia="宋体" w:cs="Times New Roman"/>
                      <w:bCs/>
                      <w:color w:val="auto"/>
                      <w:szCs w:val="21"/>
                      <w:highlight w:val="none"/>
                      <w:lang w:val="en-US" w:eastAsia="zh-CN"/>
                    </w:rPr>
                    <w:t>、SS、氨氮、可溶性固体总量</w:t>
                  </w:r>
                  <w:r>
                    <w:rPr>
                      <w:rFonts w:hint="eastAsia" w:cs="Times New Roman"/>
                      <w:bCs/>
                      <w:color w:val="auto"/>
                      <w:szCs w:val="21"/>
                      <w:highlight w:val="none"/>
                      <w:lang w:val="en-US" w:eastAsia="zh-CN"/>
                    </w:rPr>
                    <w:t>。</w:t>
                  </w:r>
                </w:p>
              </w:tc>
              <w:tc>
                <w:tcPr>
                  <w:tcW w:w="1320" w:type="pct"/>
                  <w:tcBorders>
                    <w:tl2br w:val="nil"/>
                    <w:tr2bl w:val="nil"/>
                  </w:tcBorders>
                  <w:shd w:val="clear" w:color="auto" w:fill="auto"/>
                  <w:vAlign w:val="center"/>
                </w:tcPr>
                <w:p w14:paraId="66E38AA9">
                  <w:pPr>
                    <w:adjustRightIn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化粪池、污水收集管</w:t>
                  </w:r>
                  <w:r>
                    <w:rPr>
                      <w:rFonts w:hint="eastAsia" w:ascii="Times New Roman" w:hAnsi="Times New Roman" w:eastAsia="宋体" w:cs="Times New Roman"/>
                      <w:bCs/>
                      <w:color w:val="auto"/>
                      <w:szCs w:val="21"/>
                      <w:highlight w:val="none"/>
                      <w:lang w:val="en-US" w:eastAsia="zh-CN"/>
                    </w:rPr>
                    <w:t>道</w:t>
                  </w:r>
                  <w:r>
                    <w:rPr>
                      <w:rFonts w:hint="default" w:ascii="Times New Roman" w:hAnsi="Times New Roman" w:eastAsia="宋体" w:cs="Times New Roman"/>
                      <w:bCs/>
                      <w:color w:val="auto"/>
                      <w:szCs w:val="21"/>
                      <w:highlight w:val="none"/>
                      <w:lang w:val="en-US" w:eastAsia="zh-CN"/>
                    </w:rPr>
                    <w:t>、排放标志</w:t>
                  </w:r>
                </w:p>
              </w:tc>
              <w:tc>
                <w:tcPr>
                  <w:tcW w:w="1626" w:type="pct"/>
                  <w:tcBorders>
                    <w:tl2br w:val="nil"/>
                    <w:tr2bl w:val="nil"/>
                  </w:tcBorders>
                  <w:vAlign w:val="center"/>
                </w:tcPr>
                <w:p w14:paraId="5A53CC27">
                  <w:pPr>
                    <w:adjustRightIn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北京市《水污染物综合排放标准》（DB11/307-2013）</w:t>
                  </w:r>
                  <w:r>
                    <w:rPr>
                      <w:rFonts w:hint="eastAsia" w:cs="Times New Roman"/>
                      <w:bCs/>
                      <w:color w:val="auto"/>
                      <w:szCs w:val="21"/>
                      <w:highlight w:val="none"/>
                      <w:lang w:val="en-US" w:eastAsia="zh-CN"/>
                    </w:rPr>
                    <w:t>“</w:t>
                  </w:r>
                  <w:r>
                    <w:rPr>
                      <w:rFonts w:hint="default" w:ascii="Times New Roman" w:hAnsi="Times New Roman" w:eastAsia="宋体" w:cs="Times New Roman"/>
                      <w:bCs/>
                      <w:color w:val="auto"/>
                      <w:szCs w:val="21"/>
                      <w:highlight w:val="none"/>
                      <w:lang w:val="en-US" w:eastAsia="zh-CN"/>
                    </w:rPr>
                    <w:t>排入公共污水处理系统的水污染物排放限值</w:t>
                  </w:r>
                  <w:r>
                    <w:rPr>
                      <w:rFonts w:hint="eastAsia" w:cs="Times New Roman"/>
                      <w:bCs/>
                      <w:color w:val="auto"/>
                      <w:szCs w:val="21"/>
                      <w:highlight w:val="none"/>
                      <w:lang w:val="en-US" w:eastAsia="zh-CN"/>
                    </w:rPr>
                    <w:t>”</w:t>
                  </w:r>
                </w:p>
              </w:tc>
            </w:tr>
            <w:tr w14:paraId="2FF62F0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1" w:type="pct"/>
                  <w:tcBorders>
                    <w:tl2br w:val="nil"/>
                    <w:tr2bl w:val="nil"/>
                  </w:tcBorders>
                  <w:vAlign w:val="center"/>
                </w:tcPr>
                <w:p w14:paraId="4FFC8338">
                  <w:pPr>
                    <w:pStyle w:val="20"/>
                    <w:adjustRightInd w:val="0"/>
                    <w:spacing w:before="0" w:beforeAutospacing="0" w:after="0" w:afterAutospacing="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噪声</w:t>
                  </w:r>
                </w:p>
              </w:tc>
              <w:tc>
                <w:tcPr>
                  <w:tcW w:w="651" w:type="pct"/>
                  <w:tcBorders>
                    <w:tl2br w:val="nil"/>
                    <w:tr2bl w:val="nil"/>
                  </w:tcBorders>
                  <w:vAlign w:val="center"/>
                </w:tcPr>
                <w:p w14:paraId="76037772">
                  <w:pPr>
                    <w:adjustRightIn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实验</w:t>
                  </w:r>
                  <w:r>
                    <w:rPr>
                      <w:rFonts w:hint="eastAsia" w:cs="Times New Roman"/>
                      <w:bCs/>
                      <w:color w:val="auto"/>
                      <w:szCs w:val="21"/>
                      <w:highlight w:val="none"/>
                      <w:lang w:val="en-US" w:eastAsia="zh-CN"/>
                    </w:rPr>
                    <w:t>及公用工程设施、环保设施</w:t>
                  </w:r>
                </w:p>
              </w:tc>
              <w:tc>
                <w:tcPr>
                  <w:tcW w:w="1100" w:type="pct"/>
                  <w:tcBorders>
                    <w:tl2br w:val="nil"/>
                    <w:tr2bl w:val="nil"/>
                  </w:tcBorders>
                  <w:vAlign w:val="center"/>
                </w:tcPr>
                <w:p w14:paraId="1A9BB2FD">
                  <w:pPr>
                    <w:adjustRightIn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厂界噪声</w:t>
                  </w:r>
                </w:p>
              </w:tc>
              <w:tc>
                <w:tcPr>
                  <w:tcW w:w="1320" w:type="pct"/>
                  <w:tcBorders>
                    <w:tl2br w:val="nil"/>
                    <w:tr2bl w:val="nil"/>
                  </w:tcBorders>
                  <w:vAlign w:val="center"/>
                </w:tcPr>
                <w:p w14:paraId="12DB752B">
                  <w:pPr>
                    <w:adjustRightIn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减震、隔声、</w:t>
                  </w:r>
                  <w:r>
                    <w:rPr>
                      <w:rFonts w:hint="eastAsia" w:cs="Times New Roman"/>
                      <w:bCs/>
                      <w:color w:val="auto"/>
                      <w:szCs w:val="21"/>
                      <w:highlight w:val="none"/>
                      <w:lang w:val="en-US" w:eastAsia="zh-CN"/>
                    </w:rPr>
                    <w:t>合理</w:t>
                  </w:r>
                  <w:r>
                    <w:rPr>
                      <w:rFonts w:hint="default" w:ascii="Times New Roman" w:hAnsi="Times New Roman" w:eastAsia="宋体" w:cs="Times New Roman"/>
                      <w:bCs/>
                      <w:color w:val="auto"/>
                      <w:szCs w:val="21"/>
                      <w:highlight w:val="none"/>
                      <w:lang w:val="en-US" w:eastAsia="zh-CN"/>
                    </w:rPr>
                    <w:t>布局</w:t>
                  </w:r>
                </w:p>
              </w:tc>
              <w:tc>
                <w:tcPr>
                  <w:tcW w:w="1626" w:type="pct"/>
                  <w:tcBorders>
                    <w:tl2br w:val="nil"/>
                    <w:tr2bl w:val="nil"/>
                  </w:tcBorders>
                  <w:vAlign w:val="center"/>
                </w:tcPr>
                <w:p w14:paraId="51D72809">
                  <w:pPr>
                    <w:adjustRightIn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《工业企业厂界环境噪声排放标准》（GB12348-2008）中的3类标准</w:t>
                  </w:r>
                </w:p>
              </w:tc>
            </w:tr>
            <w:tr w14:paraId="69F9AC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01" w:type="pct"/>
                  <w:tcBorders>
                    <w:tl2br w:val="nil"/>
                    <w:tr2bl w:val="nil"/>
                  </w:tcBorders>
                  <w:vAlign w:val="center"/>
                </w:tcPr>
                <w:p w14:paraId="5B4F7D4A">
                  <w:pPr>
                    <w:pStyle w:val="20"/>
                    <w:adjustRightInd w:val="0"/>
                    <w:spacing w:before="0" w:beforeAutospacing="0" w:after="0" w:afterAutospacing="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一般</w:t>
                  </w:r>
                  <w:r>
                    <w:rPr>
                      <w:rFonts w:hint="default" w:ascii="Times New Roman" w:hAnsi="Times New Roman" w:eastAsia="宋体" w:cs="Times New Roman"/>
                      <w:color w:val="auto"/>
                      <w:kern w:val="2"/>
                      <w:sz w:val="21"/>
                      <w:szCs w:val="21"/>
                      <w:highlight w:val="none"/>
                    </w:rPr>
                    <w:t>固体废物</w:t>
                  </w:r>
                </w:p>
              </w:tc>
              <w:tc>
                <w:tcPr>
                  <w:tcW w:w="651" w:type="pct"/>
                  <w:tcBorders>
                    <w:tl2br w:val="nil"/>
                    <w:tr2bl w:val="nil"/>
                  </w:tcBorders>
                  <w:vAlign w:val="center"/>
                </w:tcPr>
                <w:p w14:paraId="49A5287D">
                  <w:pPr>
                    <w:pStyle w:val="20"/>
                    <w:adjustRightInd w:val="0"/>
                    <w:spacing w:before="0" w:beforeAutospacing="0" w:after="0" w:afterAutospacing="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实验过程</w:t>
                  </w:r>
                  <w:r>
                    <w:rPr>
                      <w:rFonts w:hint="eastAsia" w:ascii="Times New Roman" w:hAnsi="Times New Roman" w:cs="Times New Roman"/>
                      <w:color w:val="auto"/>
                      <w:kern w:val="2"/>
                      <w:sz w:val="21"/>
                      <w:szCs w:val="21"/>
                      <w:highlight w:val="none"/>
                      <w:lang w:val="en-US" w:eastAsia="zh-CN"/>
                    </w:rPr>
                    <w:t>、</w:t>
                  </w:r>
                  <w:r>
                    <w:rPr>
                      <w:rFonts w:hint="default" w:ascii="Times New Roman" w:hAnsi="Times New Roman" w:eastAsia="宋体" w:cs="Times New Roman"/>
                      <w:color w:val="auto"/>
                      <w:kern w:val="2"/>
                      <w:sz w:val="21"/>
                      <w:szCs w:val="21"/>
                      <w:highlight w:val="none"/>
                    </w:rPr>
                    <w:t>员工生活</w:t>
                  </w:r>
                </w:p>
              </w:tc>
              <w:tc>
                <w:tcPr>
                  <w:tcW w:w="1100" w:type="pct"/>
                  <w:tcBorders>
                    <w:tl2br w:val="nil"/>
                    <w:tr2bl w:val="nil"/>
                  </w:tcBorders>
                  <w:vAlign w:val="center"/>
                </w:tcPr>
                <w:p w14:paraId="0EFB75C3">
                  <w:pPr>
                    <w:pStyle w:val="20"/>
                    <w:adjustRightInd w:val="0"/>
                    <w:spacing w:before="0" w:beforeAutospacing="0" w:after="0" w:afterAutospacing="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未沾染化学试剂的</w:t>
                  </w:r>
                  <w:r>
                    <w:rPr>
                      <w:rFonts w:hint="default" w:ascii="Times New Roman" w:hAnsi="Times New Roman" w:eastAsia="宋体" w:cs="Times New Roman"/>
                      <w:bCs/>
                      <w:color w:val="auto"/>
                      <w:sz w:val="21"/>
                      <w:szCs w:val="21"/>
                      <w:highlight w:val="none"/>
                    </w:rPr>
                    <w:t>废包装材料</w:t>
                  </w:r>
                  <w:r>
                    <w:rPr>
                      <w:rFonts w:hint="default" w:ascii="Times New Roman" w:hAnsi="Times New Roman" w:eastAsia="宋体" w:cs="Times New Roman"/>
                      <w:bCs/>
                      <w:color w:val="auto"/>
                      <w:sz w:val="21"/>
                      <w:szCs w:val="21"/>
                      <w:highlight w:val="none"/>
                      <w:lang w:eastAsia="zh-CN"/>
                    </w:rPr>
                    <w:t>、</w:t>
                  </w:r>
                  <w:r>
                    <w:rPr>
                      <w:rFonts w:hint="eastAsia" w:ascii="Times New Roman" w:hAnsi="Times New Roman" w:cs="Times New Roman"/>
                      <w:bCs/>
                      <w:color w:val="auto"/>
                      <w:sz w:val="21"/>
                      <w:szCs w:val="21"/>
                      <w:highlight w:val="none"/>
                      <w:lang w:val="en-US" w:eastAsia="zh-CN"/>
                    </w:rPr>
                    <w:t>纯水制备废滤芯、生活垃圾。</w:t>
                  </w:r>
                </w:p>
              </w:tc>
              <w:tc>
                <w:tcPr>
                  <w:tcW w:w="1320" w:type="pct"/>
                  <w:tcBorders>
                    <w:tl2br w:val="nil"/>
                    <w:tr2bl w:val="nil"/>
                  </w:tcBorders>
                  <w:vAlign w:val="center"/>
                </w:tcPr>
                <w:p w14:paraId="60151C03">
                  <w:pPr>
                    <w:pStyle w:val="20"/>
                    <w:adjustRightInd w:val="0"/>
                    <w:spacing w:before="0" w:beforeAutospacing="0" w:after="0" w:afterAutospacing="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一般固废间、管理台账、管理制度</w:t>
                  </w:r>
                </w:p>
              </w:tc>
              <w:tc>
                <w:tcPr>
                  <w:tcW w:w="1626" w:type="pct"/>
                  <w:tcBorders>
                    <w:tl2br w:val="nil"/>
                    <w:tr2bl w:val="nil"/>
                  </w:tcBorders>
                  <w:vAlign w:val="center"/>
                </w:tcPr>
                <w:p w14:paraId="72424590">
                  <w:pPr>
                    <w:pStyle w:val="20"/>
                    <w:adjustRightInd w:val="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bCs/>
                      <w:color w:val="auto"/>
                      <w:sz w:val="21"/>
                      <w:szCs w:val="21"/>
                      <w:highlight w:val="none"/>
                    </w:rPr>
                    <w:t>《中华人民共和国固体废物污染环境防治法》（2020年版）及《北京市生活垃圾管理条例》（2020年5月1日起施行，2020年9月25日第二次修正）</w:t>
                  </w:r>
                  <w:r>
                    <w:rPr>
                      <w:rFonts w:hint="eastAsia" w:ascii="Times New Roman" w:hAnsi="Times New Roman" w:cs="Times New Roman"/>
                      <w:bCs/>
                      <w:color w:val="auto"/>
                      <w:sz w:val="21"/>
                      <w:szCs w:val="21"/>
                      <w:highlight w:val="none"/>
                      <w:lang w:val="en-US" w:eastAsia="zh-CN"/>
                    </w:rPr>
                    <w:t>等</w:t>
                  </w:r>
                  <w:r>
                    <w:rPr>
                      <w:rFonts w:hint="default" w:ascii="Times New Roman" w:hAnsi="Times New Roman" w:eastAsia="宋体" w:cs="Times New Roman"/>
                      <w:bCs/>
                      <w:color w:val="auto"/>
                      <w:sz w:val="21"/>
                      <w:szCs w:val="21"/>
                      <w:highlight w:val="none"/>
                    </w:rPr>
                    <w:t>中的有关规定</w:t>
                  </w:r>
                </w:p>
              </w:tc>
            </w:tr>
            <w:tr w14:paraId="2B19DC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01" w:type="pct"/>
                  <w:tcBorders>
                    <w:tl2br w:val="nil"/>
                    <w:tr2bl w:val="nil"/>
                  </w:tcBorders>
                  <w:vAlign w:val="center"/>
                </w:tcPr>
                <w:p w14:paraId="53087A7D">
                  <w:pPr>
                    <w:widowControl/>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危险废物</w:t>
                  </w:r>
                </w:p>
              </w:tc>
              <w:tc>
                <w:tcPr>
                  <w:tcW w:w="651" w:type="pct"/>
                  <w:tcBorders>
                    <w:tl2br w:val="nil"/>
                    <w:tr2bl w:val="nil"/>
                  </w:tcBorders>
                  <w:vAlign w:val="center"/>
                </w:tcPr>
                <w:p w14:paraId="1A807D58">
                  <w:pPr>
                    <w:pStyle w:val="20"/>
                    <w:adjustRightInd w:val="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实验过程</w:t>
                  </w:r>
                  <w:r>
                    <w:rPr>
                      <w:rFonts w:hint="eastAsia" w:ascii="Times New Roman" w:hAnsi="Times New Roman" w:cs="Times New Roman"/>
                      <w:color w:val="auto"/>
                      <w:kern w:val="2"/>
                      <w:sz w:val="21"/>
                      <w:szCs w:val="21"/>
                      <w:highlight w:val="none"/>
                      <w:lang w:eastAsia="zh-CN"/>
                    </w:rPr>
                    <w:t>、</w:t>
                  </w:r>
                  <w:r>
                    <w:rPr>
                      <w:rFonts w:hint="eastAsia" w:ascii="Times New Roman" w:hAnsi="Times New Roman" w:cs="Times New Roman"/>
                      <w:color w:val="auto"/>
                      <w:kern w:val="2"/>
                      <w:sz w:val="21"/>
                      <w:szCs w:val="21"/>
                      <w:highlight w:val="none"/>
                      <w:lang w:val="en-US" w:eastAsia="zh-CN"/>
                    </w:rPr>
                    <w:t>废气治理</w:t>
                  </w:r>
                </w:p>
              </w:tc>
              <w:tc>
                <w:tcPr>
                  <w:tcW w:w="1100" w:type="pct"/>
                  <w:tcBorders>
                    <w:tl2br w:val="nil"/>
                    <w:tr2bl w:val="nil"/>
                  </w:tcBorders>
                  <w:vAlign w:val="center"/>
                </w:tcPr>
                <w:p w14:paraId="18E6DB1C">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废试剂瓶、废试剂、废一次性耗材、废培养基、检测废液、清洗废液、</w:t>
                  </w:r>
                  <w:r>
                    <w:rPr>
                      <w:rFonts w:hint="eastAsia" w:eastAsia="宋体" w:cs="Times New Roman"/>
                      <w:color w:val="auto"/>
                      <w:sz w:val="21"/>
                      <w:szCs w:val="21"/>
                      <w:highlight w:val="none"/>
                      <w:lang w:val="en-US" w:eastAsia="zh-CN"/>
                    </w:rPr>
                    <w:t>废活性炭</w:t>
                  </w:r>
                </w:p>
                <w:p w14:paraId="42502612">
                  <w:pPr>
                    <w:jc w:val="both"/>
                    <w:rPr>
                      <w:rFonts w:hint="default" w:ascii="Times New Roman" w:hAnsi="Times New Roman" w:eastAsia="宋体" w:cs="Times New Roman"/>
                      <w:color w:val="auto"/>
                      <w:kern w:val="2"/>
                      <w:sz w:val="21"/>
                      <w:szCs w:val="21"/>
                      <w:highlight w:val="none"/>
                      <w:lang w:val="en-US" w:eastAsia="zh-CN"/>
                    </w:rPr>
                  </w:pPr>
                  <w:r>
                    <w:rPr>
                      <w:rFonts w:hint="eastAsia"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废样品。</w:t>
                  </w:r>
                </w:p>
              </w:tc>
              <w:tc>
                <w:tcPr>
                  <w:tcW w:w="1320" w:type="pct"/>
                  <w:tcBorders>
                    <w:tl2br w:val="nil"/>
                    <w:tr2bl w:val="nil"/>
                  </w:tcBorders>
                  <w:shd w:val="clear" w:color="auto" w:fill="auto"/>
                  <w:vAlign w:val="center"/>
                </w:tcPr>
                <w:p w14:paraId="08AC736B">
                  <w:pPr>
                    <w:pStyle w:val="20"/>
                    <w:adjustRightInd w:val="0"/>
                    <w:spacing w:before="0" w:beforeAutospacing="0" w:after="0" w:afterAutospacing="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危险废物暂存间、管理台账、管理制度</w:t>
                  </w:r>
                </w:p>
              </w:tc>
              <w:tc>
                <w:tcPr>
                  <w:tcW w:w="1626" w:type="pct"/>
                  <w:tcBorders>
                    <w:tl2br w:val="nil"/>
                    <w:tr2bl w:val="nil"/>
                  </w:tcBorders>
                  <w:vAlign w:val="center"/>
                </w:tcPr>
                <w:p w14:paraId="5CFFAF3D">
                  <w:pPr>
                    <w:pStyle w:val="20"/>
                    <w:adjustRightInd w:val="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bCs/>
                      <w:color w:val="auto"/>
                      <w:sz w:val="21"/>
                      <w:szCs w:val="21"/>
                      <w:highlight w:val="none"/>
                    </w:rPr>
                    <w:t>《危险废物贮存污染控制标准》（GB18597-2023）、</w:t>
                  </w:r>
                  <w:r>
                    <w:rPr>
                      <w:rFonts w:hint="default" w:ascii="Times New Roman" w:hAnsi="Times New Roman" w:eastAsia="宋体" w:cs="Times New Roman"/>
                      <w:color w:val="auto"/>
                      <w:sz w:val="21"/>
                      <w:szCs w:val="21"/>
                      <w:highlight w:val="none"/>
                    </w:rPr>
                    <w:t>《危险废物转移管理办法》（2022年1月1日施行）、</w:t>
                  </w:r>
                  <w:r>
                    <w:rPr>
                      <w:rFonts w:hint="default" w:ascii="Times New Roman" w:hAnsi="Times New Roman" w:eastAsia="宋体" w:cs="Times New Roman"/>
                      <w:color w:val="auto"/>
                      <w:sz w:val="21"/>
                      <w:szCs w:val="24"/>
                      <w:highlight w:val="none"/>
                    </w:rPr>
                    <w:t>《实验室危险废物污染防治技术规范》（DB11/T 1368-2016）</w:t>
                  </w:r>
                  <w:r>
                    <w:rPr>
                      <w:rFonts w:hint="eastAsia" w:ascii="Times New Roman" w:hAnsi="Times New Roman" w:cs="Times New Roman"/>
                      <w:color w:val="auto"/>
                      <w:sz w:val="21"/>
                      <w:szCs w:val="24"/>
                      <w:highlight w:val="none"/>
                      <w:lang w:val="en-US" w:eastAsia="zh-CN"/>
                    </w:rPr>
                    <w:t>等</w:t>
                  </w:r>
                  <w:r>
                    <w:rPr>
                      <w:rFonts w:hint="default" w:ascii="Times New Roman" w:hAnsi="Times New Roman" w:eastAsia="宋体" w:cs="Times New Roman"/>
                      <w:color w:val="auto"/>
                      <w:kern w:val="2"/>
                      <w:sz w:val="21"/>
                      <w:szCs w:val="21"/>
                      <w:highlight w:val="none"/>
                    </w:rPr>
                    <w:t>中的相关规定</w:t>
                  </w:r>
                </w:p>
              </w:tc>
            </w:tr>
          </w:tbl>
          <w:p w14:paraId="5B5852E9">
            <w:pPr>
              <w:adjustRightInd w:val="0"/>
              <w:snapToGrid w:val="0"/>
              <w:rPr>
                <w:rFonts w:hint="default" w:ascii="Times New Roman" w:hAnsi="Times New Roman" w:eastAsia="宋体" w:cs="Times New Roman"/>
                <w:color w:val="auto"/>
                <w:sz w:val="24"/>
                <w:highlight w:val="none"/>
              </w:rPr>
            </w:pPr>
          </w:p>
          <w:p w14:paraId="0C1598F9">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p>
        </w:tc>
      </w:tr>
    </w:tbl>
    <w:p w14:paraId="225E5BA3">
      <w:pPr>
        <w:pStyle w:val="20"/>
        <w:jc w:val="center"/>
        <w:outlineLvl w:val="0"/>
        <w:rPr>
          <w:rFonts w:hint="default" w:ascii="Times New Roman" w:hAnsi="Times New Roman" w:eastAsia="宋体" w:cs="Times New Roman"/>
          <w:snapToGrid w:val="0"/>
          <w:color w:val="auto"/>
          <w:sz w:val="36"/>
          <w:szCs w:val="36"/>
          <w:highlight w:val="none"/>
        </w:rPr>
      </w:pPr>
      <w:r>
        <w:rPr>
          <w:rFonts w:hint="default" w:ascii="Times New Roman" w:hAnsi="Times New Roman" w:eastAsia="宋体" w:cs="Times New Roman"/>
          <w:snapToGrid w:val="0"/>
          <w:color w:val="auto"/>
          <w:sz w:val="32"/>
          <w:szCs w:val="22"/>
          <w:highlight w:val="none"/>
        </w:rPr>
        <w:br w:type="page"/>
      </w:r>
      <w:r>
        <w:rPr>
          <w:rStyle w:val="43"/>
          <w:rFonts w:hint="default" w:ascii="Times New Roman" w:hAnsi="Times New Roman" w:eastAsia="宋体" w:cs="Times New Roman"/>
          <w:b w:val="0"/>
          <w:bCs w:val="0"/>
          <w:color w:val="auto"/>
          <w:sz w:val="36"/>
          <w:szCs w:val="36"/>
          <w:highlight w:val="none"/>
        </w:rPr>
        <w:t>六、结论</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8B7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18EE377C">
            <w:pPr>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本项目的建设符合产业政策及相关规划，符合</w:t>
            </w:r>
            <w:r>
              <w:rPr>
                <w:rFonts w:hint="eastAsia"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三线一单</w:t>
            </w:r>
            <w:r>
              <w:rPr>
                <w:rFonts w:hint="eastAsia"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管理要求，选址合理；污染防治措施切实可行；各污染物经环保设施治理后能够达标排放，对区域环境质量的影响较小；环境风险可控。建设单位在严格落实本报告表和项目设计方案提出的各项环保措施的前提下，从环境保护角度分析，本项目建设是可行的。</w:t>
            </w:r>
          </w:p>
          <w:p w14:paraId="05D35D87">
            <w:pPr>
              <w:spacing w:line="360" w:lineRule="auto"/>
              <w:rPr>
                <w:rFonts w:hint="default" w:ascii="Times New Roman" w:hAnsi="Times New Roman" w:eastAsia="宋体" w:cs="Times New Roman"/>
                <w:color w:val="auto"/>
                <w:sz w:val="32"/>
                <w:szCs w:val="32"/>
                <w:highlight w:val="none"/>
              </w:rPr>
            </w:pPr>
          </w:p>
        </w:tc>
      </w:tr>
    </w:tbl>
    <w:p w14:paraId="59FA0725">
      <w:pPr>
        <w:pStyle w:val="20"/>
        <w:adjustRightInd w:val="0"/>
        <w:snapToGrid w:val="0"/>
        <w:spacing w:before="0" w:beforeAutospacing="0" w:after="0" w:afterAutospacing="0"/>
        <w:jc w:val="both"/>
        <w:outlineLvl w:val="0"/>
        <w:rPr>
          <w:rFonts w:hint="default" w:ascii="Times New Roman" w:hAnsi="Times New Roman" w:eastAsia="宋体" w:cs="Times New Roman"/>
          <w:snapToGrid w:val="0"/>
          <w:color w:val="auto"/>
          <w:sz w:val="32"/>
          <w:szCs w:val="22"/>
          <w:highlight w:val="none"/>
        </w:rPr>
        <w:sectPr>
          <w:pgSz w:w="11906" w:h="16838"/>
          <w:pgMar w:top="1701" w:right="1531" w:bottom="1860"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7F0F393">
      <w:pPr>
        <w:jc w:val="center"/>
        <w:rPr>
          <w:rFonts w:hint="default" w:ascii="Times New Roman" w:hAnsi="Times New Roman" w:eastAsia="宋体" w:cs="Times New Roman"/>
          <w:b/>
          <w:bCs/>
          <w:color w:val="auto"/>
          <w:sz w:val="18"/>
          <w:szCs w:val="21"/>
          <w:highlight w:val="none"/>
        </w:rPr>
      </w:pPr>
      <w:r>
        <w:rPr>
          <w:rFonts w:hint="default" w:ascii="Times New Roman" w:hAnsi="Times New Roman" w:eastAsia="宋体" w:cs="Times New Roman"/>
          <w:snapToGrid w:val="0"/>
          <w:color w:val="auto"/>
          <w:sz w:val="44"/>
          <w:szCs w:val="44"/>
          <w:highlight w:val="none"/>
        </w:rPr>
        <w:t xml:space="preserve">建设项目污染物排放量汇总表 </w:t>
      </w:r>
      <w:r>
        <w:rPr>
          <w:rFonts w:hint="default" w:ascii="Times New Roman" w:hAnsi="Times New Roman" w:eastAsia="宋体" w:cs="Times New Roman"/>
          <w:b/>
          <w:bCs/>
          <w:snapToGrid w:val="0"/>
          <w:color w:val="auto"/>
          <w:sz w:val="28"/>
          <w:szCs w:val="28"/>
          <w:highlight w:val="none"/>
        </w:rPr>
        <w:t>单位：t/a</w:t>
      </w:r>
    </w:p>
    <w:tbl>
      <w:tblPr>
        <w:tblStyle w:val="23"/>
        <w:tblW w:w="139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2906"/>
        <w:gridCol w:w="1407"/>
        <w:gridCol w:w="1101"/>
        <w:gridCol w:w="1469"/>
        <w:gridCol w:w="1458"/>
        <w:gridCol w:w="1264"/>
        <w:gridCol w:w="1642"/>
        <w:gridCol w:w="1396"/>
      </w:tblGrid>
      <w:tr w14:paraId="312F09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tcBorders>
              <w:tl2br w:val="single" w:color="auto" w:sz="4" w:space="0"/>
            </w:tcBorders>
            <w:tcMar>
              <w:left w:w="28" w:type="dxa"/>
              <w:right w:w="28" w:type="dxa"/>
            </w:tcMar>
            <w:vAlign w:val="center"/>
          </w:tcPr>
          <w:p w14:paraId="21BD4624">
            <w:pPr>
              <w:pStyle w:val="44"/>
              <w:spacing w:beforeLines="0" w:afterLines="0" w:line="240" w:lineRule="auto"/>
              <w:rPr>
                <w:rFonts w:hint="default" w:ascii="Times New Roman" w:hAnsi="Times New Roman" w:eastAsia="宋体" w:cs="Times New Roman"/>
                <w:b/>
                <w:bCs/>
                <w:snapToGrid w:val="0"/>
                <w:color w:val="auto"/>
                <w:spacing w:val="-6"/>
                <w:kern w:val="21"/>
                <w:sz w:val="22"/>
                <w:highlight w:val="none"/>
              </w:rPr>
            </w:pPr>
            <w:r>
              <w:rPr>
                <w:rFonts w:hint="default" w:ascii="Times New Roman" w:hAnsi="Times New Roman" w:eastAsia="宋体" w:cs="Times New Roman"/>
                <w:b/>
                <w:bCs/>
                <w:snapToGrid w:val="0"/>
                <w:color w:val="auto"/>
                <w:spacing w:val="-6"/>
                <w:kern w:val="21"/>
                <w:sz w:val="22"/>
                <w:highlight w:val="none"/>
              </w:rPr>
              <w:t>项目</w:t>
            </w:r>
          </w:p>
          <w:p w14:paraId="75389097">
            <w:pPr>
              <w:snapToGrid w:val="0"/>
              <w:spacing w:line="240" w:lineRule="auto"/>
              <w:rPr>
                <w:rFonts w:hint="default" w:ascii="Times New Roman" w:hAnsi="Times New Roman" w:eastAsia="宋体" w:cs="Times New Roman"/>
                <w:color w:val="auto"/>
                <w:sz w:val="22"/>
                <w:szCs w:val="22"/>
                <w:highlight w:val="none"/>
              </w:rPr>
            </w:pPr>
          </w:p>
          <w:p w14:paraId="160FF5EE">
            <w:pPr>
              <w:pStyle w:val="44"/>
              <w:spacing w:beforeLines="0" w:afterLines="0" w:line="240" w:lineRule="auto"/>
              <w:rPr>
                <w:rFonts w:hint="default" w:ascii="Times New Roman" w:hAnsi="Times New Roman" w:eastAsia="宋体" w:cs="Times New Roman"/>
                <w:b/>
                <w:bCs/>
                <w:snapToGrid w:val="0"/>
                <w:color w:val="auto"/>
                <w:spacing w:val="-6"/>
                <w:kern w:val="21"/>
                <w:sz w:val="22"/>
                <w:highlight w:val="none"/>
              </w:rPr>
            </w:pPr>
            <w:r>
              <w:rPr>
                <w:rFonts w:hint="default" w:ascii="Times New Roman" w:hAnsi="Times New Roman" w:eastAsia="宋体" w:cs="Times New Roman"/>
                <w:b/>
                <w:bCs/>
                <w:snapToGrid w:val="0"/>
                <w:color w:val="auto"/>
                <w:spacing w:val="-6"/>
                <w:kern w:val="21"/>
                <w:sz w:val="22"/>
                <w:highlight w:val="none"/>
              </w:rPr>
              <w:t>分类</w:t>
            </w:r>
          </w:p>
        </w:tc>
        <w:tc>
          <w:tcPr>
            <w:tcW w:w="2906" w:type="dxa"/>
            <w:tcMar>
              <w:left w:w="28" w:type="dxa"/>
              <w:right w:w="28" w:type="dxa"/>
            </w:tcMar>
            <w:vAlign w:val="center"/>
          </w:tcPr>
          <w:p w14:paraId="7D5A75B6">
            <w:pPr>
              <w:pStyle w:val="44"/>
              <w:spacing w:beforeLines="0" w:afterLines="0" w:line="240" w:lineRule="auto"/>
              <w:rPr>
                <w:rFonts w:hint="default" w:ascii="Times New Roman" w:hAnsi="Times New Roman" w:eastAsia="宋体" w:cs="Times New Roman"/>
                <w:b/>
                <w:bCs/>
                <w:snapToGrid w:val="0"/>
                <w:color w:val="auto"/>
                <w:spacing w:val="-6"/>
                <w:kern w:val="21"/>
                <w:sz w:val="22"/>
                <w:highlight w:val="none"/>
              </w:rPr>
            </w:pPr>
            <w:r>
              <w:rPr>
                <w:rFonts w:hint="default" w:ascii="Times New Roman" w:hAnsi="Times New Roman" w:eastAsia="宋体" w:cs="Times New Roman"/>
                <w:b/>
                <w:bCs/>
                <w:snapToGrid w:val="0"/>
                <w:color w:val="auto"/>
                <w:spacing w:val="-6"/>
                <w:kern w:val="21"/>
                <w:sz w:val="22"/>
                <w:highlight w:val="none"/>
              </w:rPr>
              <w:t>污染物名称</w:t>
            </w:r>
          </w:p>
        </w:tc>
        <w:tc>
          <w:tcPr>
            <w:tcW w:w="1407" w:type="dxa"/>
            <w:tcMar>
              <w:left w:w="28" w:type="dxa"/>
              <w:right w:w="28" w:type="dxa"/>
            </w:tcMar>
            <w:vAlign w:val="center"/>
          </w:tcPr>
          <w:p w14:paraId="1262C78C">
            <w:pPr>
              <w:pStyle w:val="44"/>
              <w:spacing w:beforeLines="0" w:afterLines="0" w:line="240" w:lineRule="auto"/>
              <w:rPr>
                <w:rFonts w:hint="default" w:ascii="Times New Roman" w:hAnsi="Times New Roman" w:eastAsia="宋体" w:cs="Times New Roman"/>
                <w:b/>
                <w:bCs/>
                <w:snapToGrid w:val="0"/>
                <w:color w:val="auto"/>
                <w:spacing w:val="-6"/>
                <w:kern w:val="21"/>
                <w:sz w:val="22"/>
                <w:highlight w:val="none"/>
              </w:rPr>
            </w:pPr>
            <w:r>
              <w:rPr>
                <w:rFonts w:hint="default" w:ascii="Times New Roman" w:hAnsi="Times New Roman" w:eastAsia="宋体" w:cs="Times New Roman"/>
                <w:b/>
                <w:bCs/>
                <w:snapToGrid w:val="0"/>
                <w:color w:val="auto"/>
                <w:spacing w:val="-6"/>
                <w:kern w:val="21"/>
                <w:sz w:val="22"/>
                <w:highlight w:val="none"/>
              </w:rPr>
              <w:t>现有工程排放量（固体废物产生量）</w:t>
            </w:r>
            <w:r>
              <w:rPr>
                <w:rFonts w:hint="default" w:ascii="Times New Roman" w:hAnsi="Times New Roman" w:eastAsia="宋体" w:cs="Times New Roman"/>
                <w:b/>
                <w:bCs/>
                <w:snapToGrid w:val="0"/>
                <w:color w:val="auto"/>
                <w:spacing w:val="-6"/>
                <w:kern w:val="21"/>
                <w:sz w:val="22"/>
                <w:highlight w:val="none"/>
              </w:rPr>
              <w:fldChar w:fldCharType="begin"/>
            </w:r>
            <w:r>
              <w:rPr>
                <w:rFonts w:hint="default" w:ascii="Times New Roman" w:hAnsi="Times New Roman" w:eastAsia="宋体" w:cs="Times New Roman"/>
                <w:b/>
                <w:bCs/>
                <w:snapToGrid w:val="0"/>
                <w:color w:val="auto"/>
                <w:spacing w:val="-6"/>
                <w:kern w:val="21"/>
                <w:sz w:val="22"/>
                <w:highlight w:val="none"/>
              </w:rPr>
              <w:instrText xml:space="preserve"> = 1 \* GB3 \* MERGEFORMAT </w:instrText>
            </w:r>
            <w:r>
              <w:rPr>
                <w:rFonts w:hint="default" w:ascii="Times New Roman" w:hAnsi="Times New Roman" w:eastAsia="宋体" w:cs="Times New Roman"/>
                <w:b/>
                <w:bCs/>
                <w:snapToGrid w:val="0"/>
                <w:color w:val="auto"/>
                <w:spacing w:val="-6"/>
                <w:kern w:val="21"/>
                <w:sz w:val="22"/>
                <w:highlight w:val="none"/>
              </w:rPr>
              <w:fldChar w:fldCharType="separate"/>
            </w:r>
            <w:r>
              <w:rPr>
                <w:rFonts w:hint="default" w:ascii="Times New Roman" w:hAnsi="Times New Roman" w:eastAsia="宋体" w:cs="Times New Roman"/>
                <w:b/>
                <w:bCs/>
                <w:color w:val="auto"/>
                <w:sz w:val="22"/>
                <w:highlight w:val="none"/>
              </w:rPr>
              <w:t>①</w:t>
            </w:r>
            <w:r>
              <w:rPr>
                <w:rFonts w:hint="default" w:ascii="Times New Roman" w:hAnsi="Times New Roman" w:eastAsia="宋体" w:cs="Times New Roman"/>
                <w:b/>
                <w:bCs/>
                <w:snapToGrid w:val="0"/>
                <w:color w:val="auto"/>
                <w:spacing w:val="-6"/>
                <w:kern w:val="21"/>
                <w:sz w:val="22"/>
                <w:highlight w:val="none"/>
              </w:rPr>
              <w:fldChar w:fldCharType="end"/>
            </w:r>
          </w:p>
        </w:tc>
        <w:tc>
          <w:tcPr>
            <w:tcW w:w="1101" w:type="dxa"/>
            <w:tcMar>
              <w:left w:w="28" w:type="dxa"/>
              <w:right w:w="28" w:type="dxa"/>
            </w:tcMar>
            <w:vAlign w:val="center"/>
          </w:tcPr>
          <w:p w14:paraId="728E0638">
            <w:pPr>
              <w:pStyle w:val="44"/>
              <w:spacing w:beforeLines="0" w:afterLines="0" w:line="240" w:lineRule="auto"/>
              <w:rPr>
                <w:rFonts w:hint="default" w:ascii="Times New Roman" w:hAnsi="Times New Roman" w:eastAsia="宋体" w:cs="Times New Roman"/>
                <w:b/>
                <w:bCs/>
                <w:snapToGrid w:val="0"/>
                <w:color w:val="auto"/>
                <w:spacing w:val="-6"/>
                <w:kern w:val="21"/>
                <w:sz w:val="22"/>
                <w:highlight w:val="none"/>
              </w:rPr>
            </w:pPr>
            <w:r>
              <w:rPr>
                <w:rFonts w:hint="default" w:ascii="Times New Roman" w:hAnsi="Times New Roman" w:eastAsia="宋体" w:cs="Times New Roman"/>
                <w:b/>
                <w:bCs/>
                <w:snapToGrid w:val="0"/>
                <w:color w:val="auto"/>
                <w:spacing w:val="-6"/>
                <w:kern w:val="21"/>
                <w:sz w:val="22"/>
                <w:highlight w:val="none"/>
              </w:rPr>
              <w:t>现有工程许可排放量</w:t>
            </w:r>
            <w:r>
              <w:rPr>
                <w:rFonts w:hint="default" w:ascii="Times New Roman" w:hAnsi="Times New Roman" w:eastAsia="宋体" w:cs="Times New Roman"/>
                <w:b/>
                <w:bCs/>
                <w:snapToGrid w:val="0"/>
                <w:color w:val="auto"/>
                <w:spacing w:val="-6"/>
                <w:kern w:val="21"/>
                <w:sz w:val="22"/>
                <w:highlight w:val="none"/>
              </w:rPr>
              <w:fldChar w:fldCharType="begin"/>
            </w:r>
            <w:r>
              <w:rPr>
                <w:rFonts w:hint="default" w:ascii="Times New Roman" w:hAnsi="Times New Roman" w:eastAsia="宋体" w:cs="Times New Roman"/>
                <w:b/>
                <w:bCs/>
                <w:snapToGrid w:val="0"/>
                <w:color w:val="auto"/>
                <w:spacing w:val="-6"/>
                <w:kern w:val="21"/>
                <w:sz w:val="22"/>
                <w:highlight w:val="none"/>
              </w:rPr>
              <w:instrText xml:space="preserve"> = 2 \* GB3 \* MERGEFORMAT </w:instrText>
            </w:r>
            <w:r>
              <w:rPr>
                <w:rFonts w:hint="default" w:ascii="Times New Roman" w:hAnsi="Times New Roman" w:eastAsia="宋体" w:cs="Times New Roman"/>
                <w:b/>
                <w:bCs/>
                <w:snapToGrid w:val="0"/>
                <w:color w:val="auto"/>
                <w:spacing w:val="-6"/>
                <w:kern w:val="21"/>
                <w:sz w:val="22"/>
                <w:highlight w:val="none"/>
              </w:rPr>
              <w:fldChar w:fldCharType="separate"/>
            </w:r>
            <w:r>
              <w:rPr>
                <w:rFonts w:hint="default" w:ascii="Times New Roman" w:hAnsi="Times New Roman" w:eastAsia="宋体" w:cs="Times New Roman"/>
                <w:b/>
                <w:bCs/>
                <w:snapToGrid w:val="0"/>
                <w:color w:val="auto"/>
                <w:spacing w:val="-6"/>
                <w:kern w:val="21"/>
                <w:sz w:val="22"/>
                <w:highlight w:val="none"/>
              </w:rPr>
              <w:t>②</w:t>
            </w:r>
            <w:r>
              <w:rPr>
                <w:rFonts w:hint="default" w:ascii="Times New Roman" w:hAnsi="Times New Roman" w:eastAsia="宋体" w:cs="Times New Roman"/>
                <w:b/>
                <w:bCs/>
                <w:snapToGrid w:val="0"/>
                <w:color w:val="auto"/>
                <w:spacing w:val="-6"/>
                <w:kern w:val="21"/>
                <w:sz w:val="22"/>
                <w:highlight w:val="none"/>
              </w:rPr>
              <w:fldChar w:fldCharType="end"/>
            </w:r>
          </w:p>
        </w:tc>
        <w:tc>
          <w:tcPr>
            <w:tcW w:w="1469" w:type="dxa"/>
            <w:tcMar>
              <w:left w:w="28" w:type="dxa"/>
              <w:right w:w="28" w:type="dxa"/>
            </w:tcMar>
            <w:vAlign w:val="center"/>
          </w:tcPr>
          <w:p w14:paraId="4D9193AB">
            <w:pPr>
              <w:pStyle w:val="44"/>
              <w:spacing w:beforeLines="0" w:afterLines="0" w:line="240" w:lineRule="auto"/>
              <w:rPr>
                <w:rFonts w:hint="default" w:ascii="Times New Roman" w:hAnsi="Times New Roman" w:eastAsia="宋体" w:cs="Times New Roman"/>
                <w:b/>
                <w:bCs/>
                <w:snapToGrid w:val="0"/>
                <w:color w:val="auto"/>
                <w:spacing w:val="-6"/>
                <w:kern w:val="21"/>
                <w:sz w:val="22"/>
                <w:highlight w:val="none"/>
              </w:rPr>
            </w:pPr>
            <w:r>
              <w:rPr>
                <w:rFonts w:hint="default" w:ascii="Times New Roman" w:hAnsi="Times New Roman" w:eastAsia="宋体" w:cs="Times New Roman"/>
                <w:b/>
                <w:bCs/>
                <w:snapToGrid w:val="0"/>
                <w:color w:val="auto"/>
                <w:spacing w:val="-6"/>
                <w:kern w:val="21"/>
                <w:sz w:val="22"/>
                <w:highlight w:val="none"/>
              </w:rPr>
              <w:t>在建工程排放量（固体废物产生量）</w:t>
            </w:r>
            <w:r>
              <w:rPr>
                <w:rFonts w:hint="default" w:ascii="Times New Roman" w:hAnsi="Times New Roman" w:eastAsia="宋体" w:cs="Times New Roman"/>
                <w:b/>
                <w:bCs/>
                <w:snapToGrid w:val="0"/>
                <w:color w:val="auto"/>
                <w:spacing w:val="-6"/>
                <w:kern w:val="21"/>
                <w:sz w:val="22"/>
                <w:highlight w:val="none"/>
              </w:rPr>
              <w:fldChar w:fldCharType="begin"/>
            </w:r>
            <w:r>
              <w:rPr>
                <w:rFonts w:hint="default" w:ascii="Times New Roman" w:hAnsi="Times New Roman" w:eastAsia="宋体" w:cs="Times New Roman"/>
                <w:b/>
                <w:bCs/>
                <w:snapToGrid w:val="0"/>
                <w:color w:val="auto"/>
                <w:spacing w:val="-6"/>
                <w:kern w:val="21"/>
                <w:sz w:val="22"/>
                <w:highlight w:val="none"/>
              </w:rPr>
              <w:instrText xml:space="preserve"> = 3 \* GB3 \* MERGEFORMAT </w:instrText>
            </w:r>
            <w:r>
              <w:rPr>
                <w:rFonts w:hint="default" w:ascii="Times New Roman" w:hAnsi="Times New Roman" w:eastAsia="宋体" w:cs="Times New Roman"/>
                <w:b/>
                <w:bCs/>
                <w:snapToGrid w:val="0"/>
                <w:color w:val="auto"/>
                <w:spacing w:val="-6"/>
                <w:kern w:val="21"/>
                <w:sz w:val="22"/>
                <w:highlight w:val="none"/>
              </w:rPr>
              <w:fldChar w:fldCharType="separate"/>
            </w:r>
            <w:r>
              <w:rPr>
                <w:rFonts w:hint="default" w:ascii="Times New Roman" w:hAnsi="Times New Roman" w:eastAsia="宋体" w:cs="Times New Roman"/>
                <w:b/>
                <w:bCs/>
                <w:color w:val="auto"/>
                <w:sz w:val="22"/>
                <w:highlight w:val="none"/>
              </w:rPr>
              <w:t>③</w:t>
            </w:r>
            <w:r>
              <w:rPr>
                <w:rFonts w:hint="default" w:ascii="Times New Roman" w:hAnsi="Times New Roman" w:eastAsia="宋体" w:cs="Times New Roman"/>
                <w:b/>
                <w:bCs/>
                <w:snapToGrid w:val="0"/>
                <w:color w:val="auto"/>
                <w:spacing w:val="-6"/>
                <w:kern w:val="21"/>
                <w:sz w:val="22"/>
                <w:highlight w:val="none"/>
              </w:rPr>
              <w:fldChar w:fldCharType="end"/>
            </w:r>
          </w:p>
        </w:tc>
        <w:tc>
          <w:tcPr>
            <w:tcW w:w="1458" w:type="dxa"/>
            <w:tcMar>
              <w:left w:w="28" w:type="dxa"/>
              <w:right w:w="28" w:type="dxa"/>
            </w:tcMar>
            <w:vAlign w:val="center"/>
          </w:tcPr>
          <w:p w14:paraId="64DAF4BD">
            <w:pPr>
              <w:pStyle w:val="44"/>
              <w:spacing w:beforeLines="0" w:afterLines="0" w:line="240" w:lineRule="auto"/>
              <w:rPr>
                <w:rFonts w:hint="default" w:ascii="Times New Roman" w:hAnsi="Times New Roman" w:eastAsia="宋体" w:cs="Times New Roman"/>
                <w:b/>
                <w:bCs/>
                <w:snapToGrid w:val="0"/>
                <w:color w:val="auto"/>
                <w:spacing w:val="-6"/>
                <w:kern w:val="21"/>
                <w:sz w:val="22"/>
                <w:highlight w:val="none"/>
              </w:rPr>
            </w:pPr>
            <w:r>
              <w:rPr>
                <w:rFonts w:hint="default" w:ascii="Times New Roman" w:hAnsi="Times New Roman" w:eastAsia="宋体" w:cs="Times New Roman"/>
                <w:b/>
                <w:bCs/>
                <w:snapToGrid w:val="0"/>
                <w:color w:val="auto"/>
                <w:spacing w:val="-6"/>
                <w:kern w:val="21"/>
                <w:sz w:val="22"/>
                <w:highlight w:val="none"/>
              </w:rPr>
              <w:t>本项目排放量（固体废物产生量）</w:t>
            </w:r>
            <w:r>
              <w:rPr>
                <w:rFonts w:hint="default" w:ascii="Times New Roman" w:hAnsi="Times New Roman" w:eastAsia="宋体" w:cs="Times New Roman"/>
                <w:b/>
                <w:bCs/>
                <w:snapToGrid w:val="0"/>
                <w:color w:val="auto"/>
                <w:spacing w:val="-6"/>
                <w:kern w:val="21"/>
                <w:sz w:val="22"/>
                <w:highlight w:val="none"/>
              </w:rPr>
              <w:fldChar w:fldCharType="begin"/>
            </w:r>
            <w:r>
              <w:rPr>
                <w:rFonts w:hint="default" w:ascii="Times New Roman" w:hAnsi="Times New Roman" w:eastAsia="宋体" w:cs="Times New Roman"/>
                <w:b/>
                <w:bCs/>
                <w:snapToGrid w:val="0"/>
                <w:color w:val="auto"/>
                <w:spacing w:val="-6"/>
                <w:kern w:val="21"/>
                <w:sz w:val="22"/>
                <w:highlight w:val="none"/>
              </w:rPr>
              <w:instrText xml:space="preserve"> = 4 \* GB3 \* MERGEFORMAT </w:instrText>
            </w:r>
            <w:r>
              <w:rPr>
                <w:rFonts w:hint="default" w:ascii="Times New Roman" w:hAnsi="Times New Roman" w:eastAsia="宋体" w:cs="Times New Roman"/>
                <w:b/>
                <w:bCs/>
                <w:snapToGrid w:val="0"/>
                <w:color w:val="auto"/>
                <w:spacing w:val="-6"/>
                <w:kern w:val="21"/>
                <w:sz w:val="22"/>
                <w:highlight w:val="none"/>
              </w:rPr>
              <w:fldChar w:fldCharType="separate"/>
            </w:r>
            <w:r>
              <w:rPr>
                <w:rFonts w:hint="default" w:ascii="Times New Roman" w:hAnsi="Times New Roman" w:eastAsia="宋体" w:cs="Times New Roman"/>
                <w:b/>
                <w:bCs/>
                <w:color w:val="auto"/>
                <w:sz w:val="22"/>
                <w:highlight w:val="none"/>
              </w:rPr>
              <w:t>④</w:t>
            </w:r>
            <w:r>
              <w:rPr>
                <w:rFonts w:hint="default" w:ascii="Times New Roman" w:hAnsi="Times New Roman" w:eastAsia="宋体" w:cs="Times New Roman"/>
                <w:b/>
                <w:bCs/>
                <w:snapToGrid w:val="0"/>
                <w:color w:val="auto"/>
                <w:spacing w:val="-6"/>
                <w:kern w:val="21"/>
                <w:sz w:val="22"/>
                <w:highlight w:val="none"/>
              </w:rPr>
              <w:fldChar w:fldCharType="end"/>
            </w:r>
          </w:p>
        </w:tc>
        <w:tc>
          <w:tcPr>
            <w:tcW w:w="1264" w:type="dxa"/>
            <w:tcMar>
              <w:left w:w="28" w:type="dxa"/>
              <w:right w:w="28" w:type="dxa"/>
            </w:tcMar>
            <w:vAlign w:val="center"/>
          </w:tcPr>
          <w:p w14:paraId="3EEBECE6">
            <w:pPr>
              <w:pStyle w:val="44"/>
              <w:spacing w:beforeLines="0" w:afterLines="0" w:line="240" w:lineRule="auto"/>
              <w:rPr>
                <w:rFonts w:hint="default" w:ascii="Times New Roman" w:hAnsi="Times New Roman" w:eastAsia="宋体" w:cs="Times New Roman"/>
                <w:b/>
                <w:bCs/>
                <w:snapToGrid w:val="0"/>
                <w:color w:val="auto"/>
                <w:spacing w:val="-16"/>
                <w:kern w:val="21"/>
                <w:sz w:val="22"/>
                <w:highlight w:val="none"/>
              </w:rPr>
            </w:pPr>
            <w:r>
              <w:rPr>
                <w:rFonts w:hint="default" w:ascii="Times New Roman" w:hAnsi="Times New Roman" w:eastAsia="宋体" w:cs="Times New Roman"/>
                <w:b/>
                <w:bCs/>
                <w:snapToGrid w:val="0"/>
                <w:color w:val="auto"/>
                <w:spacing w:val="-16"/>
                <w:kern w:val="21"/>
                <w:sz w:val="22"/>
                <w:highlight w:val="none"/>
              </w:rPr>
              <w:t>以新带老削减量（新建项目不填）</w:t>
            </w:r>
            <w:r>
              <w:rPr>
                <w:rFonts w:hint="default" w:ascii="Times New Roman" w:hAnsi="Times New Roman" w:eastAsia="宋体" w:cs="Times New Roman"/>
                <w:b/>
                <w:bCs/>
                <w:snapToGrid w:val="0"/>
                <w:color w:val="auto"/>
                <w:spacing w:val="-16"/>
                <w:kern w:val="21"/>
                <w:sz w:val="22"/>
                <w:highlight w:val="none"/>
              </w:rPr>
              <w:fldChar w:fldCharType="begin"/>
            </w:r>
            <w:r>
              <w:rPr>
                <w:rFonts w:hint="default" w:ascii="Times New Roman" w:hAnsi="Times New Roman" w:eastAsia="宋体" w:cs="Times New Roman"/>
                <w:b/>
                <w:bCs/>
                <w:snapToGrid w:val="0"/>
                <w:color w:val="auto"/>
                <w:spacing w:val="-16"/>
                <w:kern w:val="21"/>
                <w:sz w:val="22"/>
                <w:highlight w:val="none"/>
              </w:rPr>
              <w:instrText xml:space="preserve"> = 5 \* GB3 \* MERGEFORMAT </w:instrText>
            </w:r>
            <w:r>
              <w:rPr>
                <w:rFonts w:hint="default" w:ascii="Times New Roman" w:hAnsi="Times New Roman" w:eastAsia="宋体" w:cs="Times New Roman"/>
                <w:b/>
                <w:bCs/>
                <w:snapToGrid w:val="0"/>
                <w:color w:val="auto"/>
                <w:spacing w:val="-16"/>
                <w:kern w:val="21"/>
                <w:sz w:val="22"/>
                <w:highlight w:val="none"/>
              </w:rPr>
              <w:fldChar w:fldCharType="separate"/>
            </w:r>
            <w:r>
              <w:rPr>
                <w:rFonts w:hint="default" w:ascii="Times New Roman" w:hAnsi="Times New Roman" w:eastAsia="宋体" w:cs="Times New Roman"/>
                <w:b/>
                <w:bCs/>
                <w:color w:val="auto"/>
                <w:sz w:val="22"/>
                <w:highlight w:val="none"/>
              </w:rPr>
              <w:t>⑤</w:t>
            </w:r>
            <w:r>
              <w:rPr>
                <w:rFonts w:hint="default" w:ascii="Times New Roman" w:hAnsi="Times New Roman" w:eastAsia="宋体" w:cs="Times New Roman"/>
                <w:b/>
                <w:bCs/>
                <w:snapToGrid w:val="0"/>
                <w:color w:val="auto"/>
                <w:spacing w:val="-16"/>
                <w:kern w:val="21"/>
                <w:sz w:val="22"/>
                <w:highlight w:val="none"/>
              </w:rPr>
              <w:fldChar w:fldCharType="end"/>
            </w:r>
          </w:p>
        </w:tc>
        <w:tc>
          <w:tcPr>
            <w:tcW w:w="1642" w:type="dxa"/>
            <w:tcMar>
              <w:left w:w="28" w:type="dxa"/>
              <w:right w:w="28" w:type="dxa"/>
            </w:tcMar>
            <w:vAlign w:val="center"/>
          </w:tcPr>
          <w:p w14:paraId="7BEBFF27">
            <w:pPr>
              <w:pStyle w:val="44"/>
              <w:spacing w:beforeLines="0" w:afterLines="0" w:line="240" w:lineRule="auto"/>
              <w:rPr>
                <w:rFonts w:hint="default" w:ascii="Times New Roman" w:hAnsi="Times New Roman" w:eastAsia="宋体" w:cs="Times New Roman"/>
                <w:b/>
                <w:bCs/>
                <w:snapToGrid w:val="0"/>
                <w:color w:val="auto"/>
                <w:spacing w:val="-16"/>
                <w:kern w:val="21"/>
                <w:sz w:val="22"/>
                <w:highlight w:val="none"/>
              </w:rPr>
            </w:pPr>
            <w:r>
              <w:rPr>
                <w:rFonts w:hint="default" w:ascii="Times New Roman" w:hAnsi="Times New Roman" w:eastAsia="宋体" w:cs="Times New Roman"/>
                <w:b/>
                <w:bCs/>
                <w:snapToGrid w:val="0"/>
                <w:color w:val="auto"/>
                <w:spacing w:val="-16"/>
                <w:kern w:val="21"/>
                <w:sz w:val="22"/>
                <w:highlight w:val="none"/>
              </w:rPr>
              <w:t>本项目建成后</w:t>
            </w:r>
          </w:p>
          <w:p w14:paraId="27A885F0">
            <w:pPr>
              <w:pStyle w:val="44"/>
              <w:spacing w:beforeLines="0" w:afterLines="0" w:line="240" w:lineRule="auto"/>
              <w:rPr>
                <w:rFonts w:hint="default" w:ascii="Times New Roman" w:hAnsi="Times New Roman" w:eastAsia="宋体" w:cs="Times New Roman"/>
                <w:b/>
                <w:bCs/>
                <w:snapToGrid w:val="0"/>
                <w:color w:val="auto"/>
                <w:spacing w:val="-16"/>
                <w:kern w:val="21"/>
                <w:sz w:val="22"/>
                <w:highlight w:val="none"/>
              </w:rPr>
            </w:pPr>
            <w:r>
              <w:rPr>
                <w:rFonts w:hint="default" w:ascii="Times New Roman" w:hAnsi="Times New Roman" w:eastAsia="宋体" w:cs="Times New Roman"/>
                <w:b/>
                <w:bCs/>
                <w:snapToGrid w:val="0"/>
                <w:color w:val="auto"/>
                <w:spacing w:val="-16"/>
                <w:kern w:val="21"/>
                <w:sz w:val="22"/>
                <w:highlight w:val="none"/>
              </w:rPr>
              <w:t>全厂排放量（固体废物产生量）</w:t>
            </w:r>
            <w:r>
              <w:rPr>
                <w:rFonts w:hint="default" w:ascii="Times New Roman" w:hAnsi="Times New Roman" w:eastAsia="宋体" w:cs="Times New Roman"/>
                <w:b/>
                <w:bCs/>
                <w:snapToGrid w:val="0"/>
                <w:color w:val="auto"/>
                <w:spacing w:val="-16"/>
                <w:kern w:val="21"/>
                <w:sz w:val="22"/>
                <w:highlight w:val="none"/>
              </w:rPr>
              <w:fldChar w:fldCharType="begin"/>
            </w:r>
            <w:r>
              <w:rPr>
                <w:rFonts w:hint="default" w:ascii="Times New Roman" w:hAnsi="Times New Roman" w:eastAsia="宋体" w:cs="Times New Roman"/>
                <w:b/>
                <w:bCs/>
                <w:snapToGrid w:val="0"/>
                <w:color w:val="auto"/>
                <w:spacing w:val="-16"/>
                <w:kern w:val="21"/>
                <w:sz w:val="22"/>
                <w:highlight w:val="none"/>
              </w:rPr>
              <w:instrText xml:space="preserve"> = 6 \* GB3 \* MERGEFORMAT </w:instrText>
            </w:r>
            <w:r>
              <w:rPr>
                <w:rFonts w:hint="default" w:ascii="Times New Roman" w:hAnsi="Times New Roman" w:eastAsia="宋体" w:cs="Times New Roman"/>
                <w:b/>
                <w:bCs/>
                <w:snapToGrid w:val="0"/>
                <w:color w:val="auto"/>
                <w:spacing w:val="-16"/>
                <w:kern w:val="21"/>
                <w:sz w:val="22"/>
                <w:highlight w:val="none"/>
              </w:rPr>
              <w:fldChar w:fldCharType="separate"/>
            </w:r>
            <w:r>
              <w:rPr>
                <w:rFonts w:hint="default" w:ascii="Times New Roman" w:hAnsi="Times New Roman" w:eastAsia="宋体" w:cs="Times New Roman"/>
                <w:b/>
                <w:bCs/>
                <w:color w:val="auto"/>
                <w:sz w:val="22"/>
                <w:highlight w:val="none"/>
              </w:rPr>
              <w:t>⑥</w:t>
            </w:r>
            <w:r>
              <w:rPr>
                <w:rFonts w:hint="default" w:ascii="Times New Roman" w:hAnsi="Times New Roman" w:eastAsia="宋体" w:cs="Times New Roman"/>
                <w:b/>
                <w:bCs/>
                <w:snapToGrid w:val="0"/>
                <w:color w:val="auto"/>
                <w:spacing w:val="-16"/>
                <w:kern w:val="21"/>
                <w:sz w:val="22"/>
                <w:highlight w:val="none"/>
              </w:rPr>
              <w:fldChar w:fldCharType="end"/>
            </w:r>
          </w:p>
        </w:tc>
        <w:tc>
          <w:tcPr>
            <w:tcW w:w="1396" w:type="dxa"/>
            <w:tcMar>
              <w:left w:w="28" w:type="dxa"/>
              <w:right w:w="28" w:type="dxa"/>
            </w:tcMar>
            <w:vAlign w:val="center"/>
          </w:tcPr>
          <w:p w14:paraId="07270AF4">
            <w:pPr>
              <w:pStyle w:val="44"/>
              <w:spacing w:beforeLines="0" w:afterLines="0" w:line="240" w:lineRule="auto"/>
              <w:rPr>
                <w:rFonts w:hint="default" w:ascii="Times New Roman" w:hAnsi="Times New Roman" w:eastAsia="宋体" w:cs="Times New Roman"/>
                <w:b/>
                <w:bCs/>
                <w:snapToGrid w:val="0"/>
                <w:color w:val="auto"/>
                <w:spacing w:val="-6"/>
                <w:kern w:val="21"/>
                <w:sz w:val="22"/>
                <w:highlight w:val="none"/>
              </w:rPr>
            </w:pPr>
            <w:r>
              <w:rPr>
                <w:rFonts w:hint="default" w:ascii="Times New Roman" w:hAnsi="Times New Roman" w:eastAsia="宋体" w:cs="Times New Roman"/>
                <w:b/>
                <w:bCs/>
                <w:snapToGrid w:val="0"/>
                <w:color w:val="auto"/>
                <w:spacing w:val="-6"/>
                <w:kern w:val="21"/>
                <w:sz w:val="22"/>
                <w:highlight w:val="none"/>
              </w:rPr>
              <w:t>变化量</w:t>
            </w:r>
          </w:p>
          <w:p w14:paraId="7FDBE00B">
            <w:pPr>
              <w:pStyle w:val="44"/>
              <w:spacing w:beforeLines="0" w:afterLines="0" w:line="240" w:lineRule="auto"/>
              <w:rPr>
                <w:rFonts w:hint="default" w:ascii="Times New Roman" w:hAnsi="Times New Roman" w:eastAsia="宋体" w:cs="Times New Roman"/>
                <w:b/>
                <w:bCs/>
                <w:snapToGrid w:val="0"/>
                <w:color w:val="auto"/>
                <w:spacing w:val="-6"/>
                <w:kern w:val="21"/>
                <w:sz w:val="22"/>
                <w:highlight w:val="none"/>
              </w:rPr>
            </w:pPr>
            <w:r>
              <w:rPr>
                <w:rFonts w:hint="default" w:ascii="Times New Roman" w:hAnsi="Times New Roman" w:eastAsia="宋体" w:cs="Times New Roman"/>
                <w:b/>
                <w:bCs/>
                <w:snapToGrid w:val="0"/>
                <w:color w:val="auto"/>
                <w:spacing w:val="-6"/>
                <w:kern w:val="21"/>
                <w:sz w:val="22"/>
                <w:highlight w:val="none"/>
              </w:rPr>
              <w:fldChar w:fldCharType="begin"/>
            </w:r>
            <w:r>
              <w:rPr>
                <w:rFonts w:hint="default" w:ascii="Times New Roman" w:hAnsi="Times New Roman" w:eastAsia="宋体" w:cs="Times New Roman"/>
                <w:b/>
                <w:bCs/>
                <w:snapToGrid w:val="0"/>
                <w:color w:val="auto"/>
                <w:spacing w:val="-6"/>
                <w:kern w:val="21"/>
                <w:sz w:val="22"/>
                <w:highlight w:val="none"/>
              </w:rPr>
              <w:instrText xml:space="preserve"> = 7 \* GB3 \* MERGEFORMAT </w:instrText>
            </w:r>
            <w:r>
              <w:rPr>
                <w:rFonts w:hint="default" w:ascii="Times New Roman" w:hAnsi="Times New Roman" w:eastAsia="宋体" w:cs="Times New Roman"/>
                <w:b/>
                <w:bCs/>
                <w:snapToGrid w:val="0"/>
                <w:color w:val="auto"/>
                <w:spacing w:val="-6"/>
                <w:kern w:val="21"/>
                <w:sz w:val="22"/>
                <w:highlight w:val="none"/>
              </w:rPr>
              <w:fldChar w:fldCharType="separate"/>
            </w:r>
            <w:r>
              <w:rPr>
                <w:rFonts w:hint="default" w:ascii="Times New Roman" w:hAnsi="Times New Roman" w:eastAsia="宋体" w:cs="Times New Roman"/>
                <w:b/>
                <w:bCs/>
                <w:color w:val="auto"/>
                <w:sz w:val="22"/>
                <w:highlight w:val="none"/>
              </w:rPr>
              <w:t>⑦</w:t>
            </w:r>
            <w:r>
              <w:rPr>
                <w:rFonts w:hint="default" w:ascii="Times New Roman" w:hAnsi="Times New Roman" w:eastAsia="宋体" w:cs="Times New Roman"/>
                <w:b/>
                <w:bCs/>
                <w:snapToGrid w:val="0"/>
                <w:color w:val="auto"/>
                <w:spacing w:val="-6"/>
                <w:kern w:val="21"/>
                <w:sz w:val="22"/>
                <w:highlight w:val="none"/>
              </w:rPr>
              <w:fldChar w:fldCharType="end"/>
            </w:r>
          </w:p>
        </w:tc>
      </w:tr>
      <w:tr w14:paraId="555EC7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restart"/>
            <w:vAlign w:val="center"/>
          </w:tcPr>
          <w:p w14:paraId="747ADF5B">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废气</w:t>
            </w:r>
          </w:p>
        </w:tc>
        <w:tc>
          <w:tcPr>
            <w:tcW w:w="2906" w:type="dxa"/>
            <w:shd w:val="clear" w:color="auto" w:fill="auto"/>
            <w:vAlign w:val="center"/>
          </w:tcPr>
          <w:p w14:paraId="28D7A9A2">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en-US"/>
              </w:rPr>
            </w:pPr>
            <w:r>
              <w:rPr>
                <w:rFonts w:hint="default" w:ascii="Times New Roman" w:hAnsi="Times New Roman" w:eastAsia="宋体" w:cs="Times New Roman"/>
                <w:color w:val="auto"/>
                <w:sz w:val="22"/>
                <w:szCs w:val="22"/>
                <w:highlight w:val="none"/>
                <w:lang w:val="en-US" w:eastAsia="zh-CN"/>
              </w:rPr>
              <w:t>甲醇</w:t>
            </w:r>
          </w:p>
        </w:tc>
        <w:tc>
          <w:tcPr>
            <w:tcW w:w="1407" w:type="dxa"/>
            <w:shd w:val="clear" w:color="auto" w:fill="auto"/>
            <w:vAlign w:val="center"/>
          </w:tcPr>
          <w:p w14:paraId="74938430">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vAlign w:val="center"/>
          </w:tcPr>
          <w:p w14:paraId="5A432B8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vAlign w:val="center"/>
          </w:tcPr>
          <w:p w14:paraId="5DEAEC2E">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vAlign w:val="center"/>
          </w:tcPr>
          <w:p w14:paraId="18739BB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 xml:space="preserve">0.1346 </w:t>
            </w:r>
          </w:p>
        </w:tc>
        <w:tc>
          <w:tcPr>
            <w:tcW w:w="1264" w:type="dxa"/>
            <w:vAlign w:val="center"/>
          </w:tcPr>
          <w:p w14:paraId="262AAB9B">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4E061C25">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396" w:type="dxa"/>
            <w:shd w:val="clear" w:color="auto" w:fill="auto"/>
            <w:vAlign w:val="center"/>
          </w:tcPr>
          <w:p w14:paraId="5B72922E">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w:t>
            </w:r>
            <w:r>
              <w:rPr>
                <w:rFonts w:hint="default" w:ascii="Times New Roman" w:hAnsi="Times New Roman" w:eastAsia="宋体" w:cs="Times New Roman"/>
                <w:color w:val="auto"/>
                <w:sz w:val="22"/>
                <w:szCs w:val="22"/>
                <w:highlight w:val="none"/>
                <w:lang w:val="en-US" w:eastAsia="zh-CN"/>
              </w:rPr>
              <w:t xml:space="preserve">0.1346 </w:t>
            </w:r>
          </w:p>
        </w:tc>
      </w:tr>
      <w:tr w14:paraId="2B5D85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572E68B0">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4B73FD8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其他A类物质（</w:t>
            </w:r>
            <w:r>
              <w:rPr>
                <w:rFonts w:hint="default" w:ascii="Times New Roman" w:hAnsi="Times New Roman" w:eastAsia="宋体" w:cs="Times New Roman"/>
                <w:color w:val="auto"/>
                <w:sz w:val="22"/>
                <w:szCs w:val="22"/>
                <w:highlight w:val="none"/>
                <w:lang w:val="en-US" w:eastAsia="zh-CN"/>
              </w:rPr>
              <w:t>乙酸</w:t>
            </w:r>
            <w:r>
              <w:rPr>
                <w:rFonts w:hint="eastAsia" w:ascii="Times New Roman" w:hAnsi="Times New Roman" w:eastAsia="宋体" w:cs="Times New Roman"/>
                <w:color w:val="auto"/>
                <w:sz w:val="22"/>
                <w:szCs w:val="22"/>
                <w:highlight w:val="none"/>
                <w:lang w:val="en-US" w:eastAsia="zh-CN"/>
              </w:rPr>
              <w:t>）</w:t>
            </w:r>
          </w:p>
        </w:tc>
        <w:tc>
          <w:tcPr>
            <w:tcW w:w="1407" w:type="dxa"/>
            <w:shd w:val="clear" w:color="auto" w:fill="auto"/>
            <w:vAlign w:val="center"/>
          </w:tcPr>
          <w:p w14:paraId="2E2B1DE3">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vAlign w:val="center"/>
          </w:tcPr>
          <w:p w14:paraId="04154F77">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vAlign w:val="center"/>
          </w:tcPr>
          <w:p w14:paraId="76084335">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vAlign w:val="center"/>
          </w:tcPr>
          <w:p w14:paraId="2CB2A866">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 xml:space="preserve">0.1783 </w:t>
            </w:r>
          </w:p>
        </w:tc>
        <w:tc>
          <w:tcPr>
            <w:tcW w:w="1264" w:type="dxa"/>
            <w:vAlign w:val="center"/>
          </w:tcPr>
          <w:p w14:paraId="4DCC718E">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43F666DD">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396" w:type="dxa"/>
            <w:shd w:val="clear" w:color="auto" w:fill="auto"/>
            <w:vAlign w:val="center"/>
          </w:tcPr>
          <w:p w14:paraId="293DDA7D">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w:t>
            </w:r>
            <w:r>
              <w:rPr>
                <w:rFonts w:hint="default" w:ascii="Times New Roman" w:hAnsi="Times New Roman" w:eastAsia="宋体" w:cs="Times New Roman"/>
                <w:color w:val="auto"/>
                <w:sz w:val="22"/>
                <w:szCs w:val="22"/>
                <w:highlight w:val="none"/>
                <w:lang w:val="en-US" w:eastAsia="zh-CN"/>
              </w:rPr>
              <w:t xml:space="preserve">0.1783 </w:t>
            </w:r>
          </w:p>
        </w:tc>
      </w:tr>
      <w:tr w14:paraId="7F3E89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770EDD7C">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28DFDD4C">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其他C类物质（</w:t>
            </w:r>
            <w:r>
              <w:rPr>
                <w:rFonts w:hint="default" w:ascii="Times New Roman" w:hAnsi="Times New Roman" w:eastAsia="宋体" w:cs="Times New Roman"/>
                <w:color w:val="auto"/>
                <w:sz w:val="22"/>
                <w:szCs w:val="22"/>
                <w:highlight w:val="none"/>
                <w:lang w:val="en-US" w:eastAsia="zh-CN"/>
              </w:rPr>
              <w:t>乙酸乙酯</w:t>
            </w:r>
            <w:r>
              <w:rPr>
                <w:rFonts w:hint="eastAsia" w:ascii="Times New Roman" w:hAnsi="Times New Roman" w:eastAsia="宋体" w:cs="Times New Roman"/>
                <w:color w:val="auto"/>
                <w:sz w:val="22"/>
                <w:szCs w:val="22"/>
                <w:highlight w:val="none"/>
                <w:lang w:val="en-US" w:eastAsia="zh-CN"/>
              </w:rPr>
              <w:t>）</w:t>
            </w:r>
          </w:p>
        </w:tc>
        <w:tc>
          <w:tcPr>
            <w:tcW w:w="1407" w:type="dxa"/>
            <w:shd w:val="clear" w:color="auto" w:fill="auto"/>
            <w:vAlign w:val="center"/>
          </w:tcPr>
          <w:p w14:paraId="7E22E02C">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vAlign w:val="center"/>
          </w:tcPr>
          <w:p w14:paraId="74208DF6">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vAlign w:val="center"/>
          </w:tcPr>
          <w:p w14:paraId="649731F7">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vAlign w:val="center"/>
          </w:tcPr>
          <w:p w14:paraId="1A8D376C">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 xml:space="preserve">0.2296 </w:t>
            </w:r>
          </w:p>
        </w:tc>
        <w:tc>
          <w:tcPr>
            <w:tcW w:w="1264" w:type="dxa"/>
            <w:vAlign w:val="center"/>
          </w:tcPr>
          <w:p w14:paraId="43CC9B6B">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4E7C22D4">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396" w:type="dxa"/>
            <w:shd w:val="clear" w:color="auto" w:fill="auto"/>
            <w:vAlign w:val="center"/>
          </w:tcPr>
          <w:p w14:paraId="6126BA3B">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w:t>
            </w:r>
            <w:r>
              <w:rPr>
                <w:rFonts w:hint="default" w:ascii="Times New Roman" w:hAnsi="Times New Roman" w:eastAsia="宋体" w:cs="Times New Roman"/>
                <w:color w:val="auto"/>
                <w:sz w:val="22"/>
                <w:szCs w:val="22"/>
                <w:highlight w:val="none"/>
                <w:lang w:val="en-US" w:eastAsia="zh-CN"/>
              </w:rPr>
              <w:t xml:space="preserve">0.2296 </w:t>
            </w:r>
          </w:p>
        </w:tc>
      </w:tr>
      <w:tr w14:paraId="373CC9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5BC47675">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1455EB6E">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其他C类物质（</w:t>
            </w:r>
            <w:r>
              <w:rPr>
                <w:rFonts w:hint="default" w:ascii="Times New Roman" w:hAnsi="Times New Roman" w:eastAsia="宋体" w:cs="Times New Roman"/>
                <w:color w:val="auto"/>
                <w:sz w:val="22"/>
                <w:szCs w:val="22"/>
                <w:highlight w:val="none"/>
                <w:lang w:val="en-US" w:eastAsia="zh-CN"/>
              </w:rPr>
              <w:t>乙醚</w:t>
            </w:r>
            <w:r>
              <w:rPr>
                <w:rFonts w:hint="eastAsia" w:ascii="Times New Roman" w:hAnsi="Times New Roman" w:eastAsia="宋体" w:cs="Times New Roman"/>
                <w:color w:val="auto"/>
                <w:sz w:val="22"/>
                <w:szCs w:val="22"/>
                <w:highlight w:val="none"/>
                <w:lang w:val="en-US" w:eastAsia="zh-CN"/>
              </w:rPr>
              <w:t>）</w:t>
            </w:r>
          </w:p>
        </w:tc>
        <w:tc>
          <w:tcPr>
            <w:tcW w:w="1407" w:type="dxa"/>
            <w:shd w:val="clear" w:color="auto" w:fill="auto"/>
            <w:vAlign w:val="center"/>
          </w:tcPr>
          <w:p w14:paraId="47425608">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vAlign w:val="center"/>
          </w:tcPr>
          <w:p w14:paraId="2D8C080E">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vAlign w:val="center"/>
          </w:tcPr>
          <w:p w14:paraId="408AB732">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vAlign w:val="center"/>
          </w:tcPr>
          <w:p w14:paraId="3A986A70">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 xml:space="preserve">0.1819 </w:t>
            </w:r>
          </w:p>
        </w:tc>
        <w:tc>
          <w:tcPr>
            <w:tcW w:w="1264" w:type="dxa"/>
            <w:vAlign w:val="center"/>
          </w:tcPr>
          <w:p w14:paraId="7A965B2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08C46880">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396" w:type="dxa"/>
            <w:shd w:val="clear" w:color="auto" w:fill="auto"/>
            <w:vAlign w:val="center"/>
          </w:tcPr>
          <w:p w14:paraId="091EDD5B">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w:t>
            </w:r>
            <w:r>
              <w:rPr>
                <w:rFonts w:hint="default" w:ascii="Times New Roman" w:hAnsi="Times New Roman" w:eastAsia="宋体" w:cs="Times New Roman"/>
                <w:color w:val="auto"/>
                <w:sz w:val="22"/>
                <w:szCs w:val="22"/>
                <w:highlight w:val="none"/>
                <w:lang w:val="en-US" w:eastAsia="zh-CN"/>
              </w:rPr>
              <w:t xml:space="preserve">0.1819 </w:t>
            </w:r>
          </w:p>
        </w:tc>
      </w:tr>
      <w:tr w14:paraId="1D363A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123D9F96">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66D61470">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其他C类物质（正己烷）</w:t>
            </w:r>
          </w:p>
        </w:tc>
        <w:tc>
          <w:tcPr>
            <w:tcW w:w="1407" w:type="dxa"/>
            <w:shd w:val="clear" w:color="auto" w:fill="auto"/>
            <w:vAlign w:val="center"/>
          </w:tcPr>
          <w:p w14:paraId="3DDAFAE8">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vAlign w:val="center"/>
          </w:tcPr>
          <w:p w14:paraId="14D8778B">
            <w:pPr>
              <w:widowControl/>
              <w:adjustRightInd w:val="0"/>
              <w:snapToGrid w:val="0"/>
              <w:spacing w:line="240" w:lineRule="auto"/>
              <w:jc w:val="center"/>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vAlign w:val="center"/>
          </w:tcPr>
          <w:p w14:paraId="4F6EBA21">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65E76B63">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 xml:space="preserve">1.7925 </w:t>
            </w:r>
          </w:p>
        </w:tc>
        <w:tc>
          <w:tcPr>
            <w:tcW w:w="1264" w:type="dxa"/>
            <w:vAlign w:val="center"/>
          </w:tcPr>
          <w:p w14:paraId="7A0FA847">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45B79A8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396" w:type="dxa"/>
            <w:shd w:val="clear" w:color="auto" w:fill="auto"/>
            <w:vAlign w:val="center"/>
          </w:tcPr>
          <w:p w14:paraId="2FB06598">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w:t>
            </w:r>
            <w:r>
              <w:rPr>
                <w:rFonts w:hint="default" w:ascii="Times New Roman" w:hAnsi="Times New Roman" w:eastAsia="宋体" w:cs="Times New Roman"/>
                <w:color w:val="auto"/>
                <w:sz w:val="22"/>
                <w:szCs w:val="22"/>
                <w:highlight w:val="none"/>
                <w:lang w:val="en-US" w:eastAsia="zh-CN"/>
              </w:rPr>
              <w:t xml:space="preserve">1.7925 </w:t>
            </w:r>
          </w:p>
        </w:tc>
      </w:tr>
      <w:tr w14:paraId="45A3EB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536F46A4">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60836530">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其他C类物质（丙酮）</w:t>
            </w:r>
          </w:p>
        </w:tc>
        <w:tc>
          <w:tcPr>
            <w:tcW w:w="1407" w:type="dxa"/>
            <w:shd w:val="clear" w:color="auto" w:fill="auto"/>
            <w:vAlign w:val="center"/>
          </w:tcPr>
          <w:p w14:paraId="6409829D">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vAlign w:val="center"/>
          </w:tcPr>
          <w:p w14:paraId="5126349B">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vAlign w:val="center"/>
          </w:tcPr>
          <w:p w14:paraId="1EF71601">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7FA22978">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 xml:space="preserve">1.2877 </w:t>
            </w:r>
          </w:p>
        </w:tc>
        <w:tc>
          <w:tcPr>
            <w:tcW w:w="1264" w:type="dxa"/>
            <w:vAlign w:val="center"/>
          </w:tcPr>
          <w:p w14:paraId="7909B595">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719BC017">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396" w:type="dxa"/>
            <w:shd w:val="clear" w:color="auto" w:fill="auto"/>
            <w:vAlign w:val="center"/>
          </w:tcPr>
          <w:p w14:paraId="539EDC46">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w:t>
            </w:r>
            <w:r>
              <w:rPr>
                <w:rFonts w:hint="default" w:ascii="Times New Roman" w:hAnsi="Times New Roman" w:eastAsia="宋体" w:cs="Times New Roman"/>
                <w:color w:val="auto"/>
                <w:sz w:val="22"/>
                <w:szCs w:val="22"/>
                <w:highlight w:val="none"/>
                <w:lang w:val="en-US" w:eastAsia="zh-CN"/>
              </w:rPr>
              <w:t xml:space="preserve">1.2877 </w:t>
            </w:r>
          </w:p>
        </w:tc>
      </w:tr>
      <w:tr w14:paraId="261EBC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5B392CA0">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5FC85370">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非甲烷总烃</w:t>
            </w:r>
          </w:p>
        </w:tc>
        <w:tc>
          <w:tcPr>
            <w:tcW w:w="1407" w:type="dxa"/>
            <w:shd w:val="clear"/>
            <w:vAlign w:val="center"/>
          </w:tcPr>
          <w:p w14:paraId="1DD50EF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vAlign w:val="center"/>
          </w:tcPr>
          <w:p w14:paraId="20B1A5F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vAlign w:val="center"/>
          </w:tcPr>
          <w:p w14:paraId="45E6C70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5A2D9FC6">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 xml:space="preserve">4.3411 </w:t>
            </w:r>
          </w:p>
        </w:tc>
        <w:tc>
          <w:tcPr>
            <w:tcW w:w="1264" w:type="dxa"/>
            <w:shd w:val="clear"/>
            <w:vAlign w:val="center"/>
          </w:tcPr>
          <w:p w14:paraId="034A2087">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vAlign w:val="center"/>
          </w:tcPr>
          <w:p w14:paraId="4631C041">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396" w:type="dxa"/>
            <w:shd w:val="clear" w:color="auto" w:fill="auto"/>
            <w:vAlign w:val="center"/>
          </w:tcPr>
          <w:p w14:paraId="3924D601">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w:t>
            </w:r>
            <w:r>
              <w:rPr>
                <w:rFonts w:hint="default" w:ascii="Times New Roman" w:hAnsi="Times New Roman" w:eastAsia="宋体" w:cs="Times New Roman"/>
                <w:color w:val="auto"/>
                <w:sz w:val="22"/>
                <w:szCs w:val="22"/>
                <w:highlight w:val="none"/>
                <w:lang w:val="en-US" w:eastAsia="zh-CN"/>
              </w:rPr>
              <w:t xml:space="preserve">4.3411 </w:t>
            </w:r>
          </w:p>
        </w:tc>
      </w:tr>
      <w:tr w14:paraId="57A19D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6F5D2933">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2EE35916">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氯化氢</w:t>
            </w:r>
          </w:p>
        </w:tc>
        <w:tc>
          <w:tcPr>
            <w:tcW w:w="1407" w:type="dxa"/>
            <w:shd w:val="clear" w:color="auto" w:fill="auto"/>
            <w:vAlign w:val="center"/>
          </w:tcPr>
          <w:p w14:paraId="6438A6B2">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3ACADA0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0627E258">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757EB7AC">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 xml:space="preserve">0.7945 </w:t>
            </w:r>
          </w:p>
        </w:tc>
        <w:tc>
          <w:tcPr>
            <w:tcW w:w="1264" w:type="dxa"/>
            <w:shd w:val="clear" w:color="auto" w:fill="auto"/>
            <w:vAlign w:val="center"/>
          </w:tcPr>
          <w:p w14:paraId="408CF947">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2600597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396" w:type="dxa"/>
            <w:shd w:val="clear" w:color="auto" w:fill="auto"/>
            <w:vAlign w:val="center"/>
          </w:tcPr>
          <w:p w14:paraId="1FAA8372">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 xml:space="preserve">+0.7945 </w:t>
            </w:r>
          </w:p>
        </w:tc>
      </w:tr>
      <w:tr w14:paraId="6AA2CF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51C4E105">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67A8D38E">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氮氧化物</w:t>
            </w:r>
          </w:p>
        </w:tc>
        <w:tc>
          <w:tcPr>
            <w:tcW w:w="1407" w:type="dxa"/>
            <w:shd w:val="clear" w:color="auto" w:fill="auto"/>
            <w:vAlign w:val="center"/>
          </w:tcPr>
          <w:p w14:paraId="014A3525">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7BD312C6">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5DC55CDB">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5317BD9C">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 xml:space="preserve">0.2450 </w:t>
            </w:r>
          </w:p>
        </w:tc>
        <w:tc>
          <w:tcPr>
            <w:tcW w:w="1264" w:type="dxa"/>
            <w:shd w:val="clear" w:color="auto" w:fill="auto"/>
            <w:vAlign w:val="center"/>
          </w:tcPr>
          <w:p w14:paraId="3C14AFDC">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026F70D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396" w:type="dxa"/>
            <w:shd w:val="clear" w:color="auto" w:fill="auto"/>
            <w:vAlign w:val="center"/>
          </w:tcPr>
          <w:p w14:paraId="1A7E60A7">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 xml:space="preserve">+0.2450 </w:t>
            </w:r>
          </w:p>
        </w:tc>
      </w:tr>
      <w:tr w14:paraId="2A18B3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0F225F1F">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19FCD393">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硫酸雾</w:t>
            </w:r>
          </w:p>
        </w:tc>
        <w:tc>
          <w:tcPr>
            <w:tcW w:w="1407" w:type="dxa"/>
            <w:shd w:val="clear" w:color="auto" w:fill="auto"/>
            <w:vAlign w:val="center"/>
          </w:tcPr>
          <w:p w14:paraId="378CAE3E">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7EA75D8E">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5EFDA89B">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3204CC17">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 xml:space="preserve">0.0175 </w:t>
            </w:r>
          </w:p>
        </w:tc>
        <w:tc>
          <w:tcPr>
            <w:tcW w:w="1264" w:type="dxa"/>
            <w:shd w:val="clear" w:color="auto" w:fill="auto"/>
            <w:vAlign w:val="center"/>
          </w:tcPr>
          <w:p w14:paraId="5069D8E7">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133266CC">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396" w:type="dxa"/>
            <w:shd w:val="clear" w:color="auto" w:fill="auto"/>
            <w:vAlign w:val="center"/>
          </w:tcPr>
          <w:p w14:paraId="3FC5119F">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 xml:space="preserve">+0.0175 </w:t>
            </w:r>
          </w:p>
        </w:tc>
      </w:tr>
      <w:tr w14:paraId="4F27B8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78888732">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570FEE4F">
            <w:pPr>
              <w:widowControl/>
              <w:adjustRightInd w:val="0"/>
              <w:snapToGrid w:val="0"/>
              <w:spacing w:line="240" w:lineRule="auto"/>
              <w:jc w:val="center"/>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氨</w:t>
            </w:r>
          </w:p>
        </w:tc>
        <w:tc>
          <w:tcPr>
            <w:tcW w:w="1407" w:type="dxa"/>
            <w:shd w:val="clear" w:color="auto" w:fill="auto"/>
            <w:vAlign w:val="center"/>
          </w:tcPr>
          <w:p w14:paraId="19363D9E">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50E6A5F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3B7A178D">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55E64AB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 xml:space="preserve">0.0650 </w:t>
            </w:r>
          </w:p>
        </w:tc>
        <w:tc>
          <w:tcPr>
            <w:tcW w:w="1264" w:type="dxa"/>
            <w:shd w:val="clear" w:color="auto" w:fill="auto"/>
            <w:vAlign w:val="center"/>
          </w:tcPr>
          <w:p w14:paraId="7ECE6902">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4F9F79F2">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396" w:type="dxa"/>
            <w:shd w:val="clear" w:color="auto" w:fill="auto"/>
            <w:vAlign w:val="center"/>
          </w:tcPr>
          <w:p w14:paraId="34161B72">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 xml:space="preserve">+0.0650 </w:t>
            </w:r>
          </w:p>
        </w:tc>
      </w:tr>
      <w:tr w14:paraId="3590EE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restart"/>
            <w:vAlign w:val="center"/>
          </w:tcPr>
          <w:p w14:paraId="41E8BEBA">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废水</w:t>
            </w:r>
          </w:p>
        </w:tc>
        <w:tc>
          <w:tcPr>
            <w:tcW w:w="2906" w:type="dxa"/>
            <w:shd w:val="clear" w:color="auto" w:fill="auto"/>
            <w:vAlign w:val="center"/>
          </w:tcPr>
          <w:p w14:paraId="18E9B8E5">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en-US"/>
              </w:rPr>
            </w:pPr>
            <w:r>
              <w:rPr>
                <w:rFonts w:hint="default" w:ascii="Times New Roman" w:hAnsi="Times New Roman" w:eastAsia="宋体" w:cs="Times New Roman"/>
                <w:color w:val="auto"/>
                <w:sz w:val="22"/>
                <w:szCs w:val="22"/>
                <w:highlight w:val="none"/>
                <w:lang w:val="en-US" w:eastAsia="zh-CN"/>
              </w:rPr>
              <w:t>COD</w:t>
            </w:r>
          </w:p>
        </w:tc>
        <w:tc>
          <w:tcPr>
            <w:tcW w:w="1407" w:type="dxa"/>
            <w:shd w:val="clear" w:color="auto" w:fill="auto"/>
            <w:vAlign w:val="center"/>
          </w:tcPr>
          <w:p w14:paraId="5966DC11">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5A155ED4">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00E3BF04">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vAlign w:val="center"/>
          </w:tcPr>
          <w:p w14:paraId="3C23A152">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0.1257 </w:t>
            </w:r>
          </w:p>
        </w:tc>
        <w:tc>
          <w:tcPr>
            <w:tcW w:w="1264" w:type="dxa"/>
            <w:vAlign w:val="center"/>
          </w:tcPr>
          <w:p w14:paraId="3DF0885A">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4FABC786">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396" w:type="dxa"/>
            <w:shd w:val="clear" w:color="auto" w:fill="auto"/>
            <w:vAlign w:val="center"/>
          </w:tcPr>
          <w:p w14:paraId="0C124FED">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0.1257 </w:t>
            </w:r>
          </w:p>
        </w:tc>
      </w:tr>
      <w:tr w14:paraId="7CAE1F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6D359DC9">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2A6735C4">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BOD5</w:t>
            </w:r>
          </w:p>
        </w:tc>
        <w:tc>
          <w:tcPr>
            <w:tcW w:w="1407" w:type="dxa"/>
            <w:shd w:val="clear" w:color="auto" w:fill="auto"/>
            <w:vAlign w:val="center"/>
          </w:tcPr>
          <w:p w14:paraId="01957B1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77702A70">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62100E83">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vAlign w:val="center"/>
          </w:tcPr>
          <w:p w14:paraId="32118367">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0.0749</w:t>
            </w:r>
            <w:r>
              <w:rPr>
                <w:rFonts w:hint="default" w:ascii="Times New Roman" w:hAnsi="Times New Roman" w:eastAsia="宋体" w:cs="Times New Roman"/>
                <w:color w:val="auto"/>
                <w:sz w:val="22"/>
                <w:szCs w:val="22"/>
                <w:highlight w:val="none"/>
                <w:lang w:val="en-US" w:eastAsia="zh-CN"/>
              </w:rPr>
              <w:t xml:space="preserve"> </w:t>
            </w:r>
          </w:p>
        </w:tc>
        <w:tc>
          <w:tcPr>
            <w:tcW w:w="1264" w:type="dxa"/>
            <w:vAlign w:val="center"/>
          </w:tcPr>
          <w:p w14:paraId="4B603D1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5A39EE87">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396" w:type="dxa"/>
            <w:shd w:val="clear" w:color="auto" w:fill="auto"/>
            <w:vAlign w:val="center"/>
          </w:tcPr>
          <w:p w14:paraId="24C21EF3">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0.0749</w:t>
            </w:r>
            <w:r>
              <w:rPr>
                <w:rFonts w:hint="default" w:ascii="Times New Roman" w:hAnsi="Times New Roman" w:eastAsia="宋体" w:cs="Times New Roman"/>
                <w:color w:val="auto"/>
                <w:sz w:val="22"/>
                <w:szCs w:val="22"/>
                <w:highlight w:val="none"/>
                <w:lang w:val="en-US" w:eastAsia="zh-CN"/>
              </w:rPr>
              <w:t xml:space="preserve"> </w:t>
            </w:r>
          </w:p>
        </w:tc>
      </w:tr>
      <w:tr w14:paraId="7B6737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3F8A11ED">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5155DA26">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SS</w:t>
            </w:r>
          </w:p>
        </w:tc>
        <w:tc>
          <w:tcPr>
            <w:tcW w:w="1407" w:type="dxa"/>
            <w:shd w:val="clear" w:color="auto" w:fill="auto"/>
            <w:vAlign w:val="center"/>
          </w:tcPr>
          <w:p w14:paraId="2C0749E0">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0590BE0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0EA77E3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vAlign w:val="center"/>
          </w:tcPr>
          <w:p w14:paraId="08222F11">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0.0692 </w:t>
            </w:r>
          </w:p>
        </w:tc>
        <w:tc>
          <w:tcPr>
            <w:tcW w:w="1264" w:type="dxa"/>
            <w:vAlign w:val="center"/>
          </w:tcPr>
          <w:p w14:paraId="0E2E1A1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2F44678E">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396" w:type="dxa"/>
            <w:shd w:val="clear" w:color="auto" w:fill="auto"/>
            <w:vAlign w:val="center"/>
          </w:tcPr>
          <w:p w14:paraId="341AA00D">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0.0692 </w:t>
            </w:r>
          </w:p>
        </w:tc>
      </w:tr>
      <w:tr w14:paraId="1D16A4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60A38E1D">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6AA3A23D">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氨氮</w:t>
            </w:r>
          </w:p>
        </w:tc>
        <w:tc>
          <w:tcPr>
            <w:tcW w:w="1407" w:type="dxa"/>
            <w:shd w:val="clear" w:color="auto" w:fill="auto"/>
            <w:vAlign w:val="center"/>
          </w:tcPr>
          <w:p w14:paraId="3FC8BD48">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2E9776E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3C4A44D2">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vAlign w:val="center"/>
          </w:tcPr>
          <w:p w14:paraId="52F5A00D">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0.0128 </w:t>
            </w:r>
            <w:r>
              <w:rPr>
                <w:rFonts w:hint="default" w:ascii="Times New Roman" w:hAnsi="Times New Roman" w:eastAsia="宋体" w:cs="Times New Roman"/>
                <w:color w:val="auto"/>
                <w:sz w:val="22"/>
                <w:szCs w:val="22"/>
                <w:highlight w:val="none"/>
                <w:lang w:val="en-US" w:eastAsia="zh-CN"/>
              </w:rPr>
              <w:t xml:space="preserve"> </w:t>
            </w:r>
          </w:p>
        </w:tc>
        <w:tc>
          <w:tcPr>
            <w:tcW w:w="1264" w:type="dxa"/>
            <w:vAlign w:val="center"/>
          </w:tcPr>
          <w:p w14:paraId="1B399D1B">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6303B6B6">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396" w:type="dxa"/>
            <w:shd w:val="clear" w:color="auto" w:fill="auto"/>
            <w:vAlign w:val="center"/>
          </w:tcPr>
          <w:p w14:paraId="42A1BA3B">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0.0128 </w:t>
            </w:r>
            <w:r>
              <w:rPr>
                <w:rFonts w:hint="default" w:ascii="Times New Roman" w:hAnsi="Times New Roman" w:eastAsia="宋体" w:cs="Times New Roman"/>
                <w:color w:val="auto"/>
                <w:sz w:val="22"/>
                <w:szCs w:val="22"/>
                <w:highlight w:val="none"/>
                <w:lang w:val="en-US" w:eastAsia="zh-CN"/>
              </w:rPr>
              <w:t xml:space="preserve"> </w:t>
            </w:r>
          </w:p>
        </w:tc>
      </w:tr>
      <w:tr w14:paraId="3072AF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2" w:type="dxa"/>
            <w:vMerge w:val="continue"/>
            <w:vAlign w:val="center"/>
          </w:tcPr>
          <w:p w14:paraId="69C517AF">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4E38EFD3">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可溶性固体总量</w:t>
            </w:r>
          </w:p>
        </w:tc>
        <w:tc>
          <w:tcPr>
            <w:tcW w:w="1407" w:type="dxa"/>
            <w:shd w:val="clear" w:color="auto" w:fill="auto"/>
            <w:vAlign w:val="center"/>
          </w:tcPr>
          <w:p w14:paraId="7955529B">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594F0628">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en-US"/>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47AC247E">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vAlign w:val="center"/>
          </w:tcPr>
          <w:p w14:paraId="3200C832">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0.0038 </w:t>
            </w:r>
          </w:p>
        </w:tc>
        <w:tc>
          <w:tcPr>
            <w:tcW w:w="1264" w:type="dxa"/>
            <w:vAlign w:val="center"/>
          </w:tcPr>
          <w:p w14:paraId="630CF882">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03A684F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396" w:type="dxa"/>
            <w:shd w:val="clear" w:color="auto" w:fill="auto"/>
            <w:vAlign w:val="center"/>
          </w:tcPr>
          <w:p w14:paraId="2647ED98">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0.0038 </w:t>
            </w:r>
          </w:p>
        </w:tc>
      </w:tr>
      <w:tr w14:paraId="5CCD8A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2" w:type="dxa"/>
            <w:vMerge w:val="restart"/>
            <w:vAlign w:val="center"/>
          </w:tcPr>
          <w:p w14:paraId="3ABD959E">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一般工业固体废物</w:t>
            </w:r>
          </w:p>
        </w:tc>
        <w:tc>
          <w:tcPr>
            <w:tcW w:w="2906" w:type="dxa"/>
            <w:shd w:val="clear" w:color="auto" w:fill="auto"/>
            <w:vAlign w:val="center"/>
          </w:tcPr>
          <w:p w14:paraId="16218F4A">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未沾染化学试剂的废包装物</w:t>
            </w:r>
          </w:p>
        </w:tc>
        <w:tc>
          <w:tcPr>
            <w:tcW w:w="1407" w:type="dxa"/>
            <w:shd w:val="clear" w:color="auto" w:fill="auto"/>
            <w:vAlign w:val="center"/>
          </w:tcPr>
          <w:p w14:paraId="2082C8E6">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5461F02D">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4C47D945">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7B670D9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1.5</w:t>
            </w:r>
          </w:p>
        </w:tc>
        <w:tc>
          <w:tcPr>
            <w:tcW w:w="1264" w:type="dxa"/>
            <w:shd w:val="clear" w:color="auto" w:fill="auto"/>
            <w:vAlign w:val="center"/>
          </w:tcPr>
          <w:p w14:paraId="3B8279A2">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178112D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396" w:type="dxa"/>
            <w:shd w:val="clear" w:color="auto" w:fill="auto"/>
            <w:vAlign w:val="center"/>
          </w:tcPr>
          <w:p w14:paraId="4DBCBDE3">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+1.5</w:t>
            </w:r>
          </w:p>
        </w:tc>
      </w:tr>
      <w:tr w14:paraId="1FE758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5434085A">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6B31432D">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zh-CN" w:eastAsia="zh-CN"/>
              </w:rPr>
            </w:pPr>
            <w:r>
              <w:rPr>
                <w:rFonts w:hint="default" w:ascii="Times New Roman" w:hAnsi="Times New Roman" w:eastAsia="宋体" w:cs="Times New Roman"/>
                <w:color w:val="auto"/>
                <w:sz w:val="22"/>
                <w:szCs w:val="22"/>
                <w:highlight w:val="none"/>
                <w:lang w:val="en-US" w:eastAsia="zh-CN"/>
              </w:rPr>
              <w:t>纯水设备废滤芯</w:t>
            </w:r>
          </w:p>
        </w:tc>
        <w:tc>
          <w:tcPr>
            <w:tcW w:w="1407" w:type="dxa"/>
            <w:shd w:val="clear" w:color="auto" w:fill="auto"/>
            <w:vAlign w:val="center"/>
          </w:tcPr>
          <w:p w14:paraId="5BEB176C">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zh-CN"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64EE70A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zh-CN"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2A64E8D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zh-CN"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7C45A46B">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0.02</w:t>
            </w:r>
          </w:p>
        </w:tc>
        <w:tc>
          <w:tcPr>
            <w:tcW w:w="1264" w:type="dxa"/>
            <w:shd w:val="clear" w:color="auto" w:fill="auto"/>
            <w:vAlign w:val="center"/>
          </w:tcPr>
          <w:p w14:paraId="16C1AA0A">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zh-CN"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1EA4FD34">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zh-CN" w:eastAsia="zh-CN"/>
              </w:rPr>
            </w:pPr>
            <w:r>
              <w:rPr>
                <w:rFonts w:hint="eastAsia" w:ascii="Times New Roman" w:hAnsi="Times New Roman" w:eastAsia="宋体" w:cs="Times New Roman"/>
                <w:color w:val="auto"/>
                <w:sz w:val="22"/>
                <w:szCs w:val="22"/>
                <w:highlight w:val="none"/>
                <w:lang w:val="en-US" w:eastAsia="zh-CN"/>
              </w:rPr>
              <w:t>/</w:t>
            </w:r>
          </w:p>
        </w:tc>
        <w:tc>
          <w:tcPr>
            <w:tcW w:w="1396" w:type="dxa"/>
            <w:shd w:val="clear" w:color="auto" w:fill="auto"/>
            <w:vAlign w:val="center"/>
          </w:tcPr>
          <w:p w14:paraId="3A9276E1">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zh-CN" w:eastAsia="zh-CN"/>
              </w:rPr>
            </w:pPr>
            <w:r>
              <w:rPr>
                <w:rFonts w:hint="eastAsia" w:ascii="Times New Roman" w:hAnsi="Times New Roman" w:eastAsia="宋体" w:cs="Times New Roman"/>
                <w:color w:val="auto"/>
                <w:sz w:val="22"/>
                <w:szCs w:val="22"/>
                <w:highlight w:val="none"/>
                <w:lang w:val="en-US" w:eastAsia="zh-CN"/>
              </w:rPr>
              <w:t>+0.02</w:t>
            </w:r>
          </w:p>
        </w:tc>
      </w:tr>
      <w:tr w14:paraId="300CB2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312" w:type="dxa"/>
            <w:vMerge w:val="continue"/>
            <w:vAlign w:val="center"/>
          </w:tcPr>
          <w:p w14:paraId="356BD797">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584A7B7E">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zh-CN" w:eastAsia="zh-CN"/>
              </w:rPr>
            </w:pPr>
            <w:r>
              <w:rPr>
                <w:rFonts w:hint="default" w:ascii="Times New Roman" w:hAnsi="Times New Roman" w:eastAsia="宋体" w:cs="Times New Roman"/>
                <w:color w:val="auto"/>
                <w:sz w:val="22"/>
                <w:szCs w:val="22"/>
                <w:highlight w:val="none"/>
                <w:lang w:val="en-US" w:eastAsia="zh-CN"/>
              </w:rPr>
              <w:t>生活垃圾</w:t>
            </w:r>
          </w:p>
        </w:tc>
        <w:tc>
          <w:tcPr>
            <w:tcW w:w="1407" w:type="dxa"/>
            <w:shd w:val="clear" w:color="auto" w:fill="auto"/>
            <w:vAlign w:val="center"/>
          </w:tcPr>
          <w:p w14:paraId="5EF988C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zh-CN"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5194A225">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zh-CN"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5A2935AB">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zh-CN"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7ECF1FC6">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3.75</w:t>
            </w:r>
          </w:p>
        </w:tc>
        <w:tc>
          <w:tcPr>
            <w:tcW w:w="1264" w:type="dxa"/>
            <w:shd w:val="clear" w:color="auto" w:fill="auto"/>
            <w:vAlign w:val="center"/>
          </w:tcPr>
          <w:p w14:paraId="50F07DB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zh-CN"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3D77F0D7">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zh-CN" w:eastAsia="zh-CN"/>
              </w:rPr>
            </w:pPr>
            <w:r>
              <w:rPr>
                <w:rFonts w:hint="eastAsia" w:ascii="Times New Roman" w:hAnsi="Times New Roman" w:eastAsia="宋体" w:cs="Times New Roman"/>
                <w:color w:val="auto"/>
                <w:sz w:val="22"/>
                <w:szCs w:val="22"/>
                <w:highlight w:val="none"/>
                <w:lang w:val="en-US" w:eastAsia="zh-CN"/>
              </w:rPr>
              <w:t>/</w:t>
            </w:r>
          </w:p>
        </w:tc>
        <w:tc>
          <w:tcPr>
            <w:tcW w:w="1396" w:type="dxa"/>
            <w:shd w:val="clear" w:color="auto" w:fill="auto"/>
            <w:vAlign w:val="center"/>
          </w:tcPr>
          <w:p w14:paraId="080CB3F7">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zh-CN" w:eastAsia="zh-CN"/>
              </w:rPr>
            </w:pPr>
            <w:r>
              <w:rPr>
                <w:rFonts w:hint="eastAsia" w:ascii="Times New Roman" w:hAnsi="Times New Roman" w:eastAsia="宋体" w:cs="Times New Roman"/>
                <w:color w:val="auto"/>
                <w:sz w:val="22"/>
                <w:szCs w:val="22"/>
                <w:highlight w:val="none"/>
                <w:lang w:val="en-US" w:eastAsia="zh-CN"/>
              </w:rPr>
              <w:t>+3.75</w:t>
            </w:r>
          </w:p>
        </w:tc>
      </w:tr>
      <w:tr w14:paraId="7A3296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restart"/>
            <w:vAlign w:val="center"/>
          </w:tcPr>
          <w:p w14:paraId="4713A51E">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危险废物</w:t>
            </w:r>
          </w:p>
        </w:tc>
        <w:tc>
          <w:tcPr>
            <w:tcW w:w="2906" w:type="dxa"/>
            <w:shd w:val="clear"/>
            <w:vAlign w:val="center"/>
          </w:tcPr>
          <w:p w14:paraId="57B25414">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废试剂瓶</w:t>
            </w:r>
          </w:p>
        </w:tc>
        <w:tc>
          <w:tcPr>
            <w:tcW w:w="1407" w:type="dxa"/>
            <w:shd w:val="clear"/>
            <w:vAlign w:val="center"/>
          </w:tcPr>
          <w:p w14:paraId="6F50577C">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vAlign w:val="center"/>
          </w:tcPr>
          <w:p w14:paraId="7839102D">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vAlign w:val="center"/>
          </w:tcPr>
          <w:p w14:paraId="402E905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556485DD">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0.5</w:t>
            </w:r>
          </w:p>
        </w:tc>
        <w:tc>
          <w:tcPr>
            <w:tcW w:w="1264" w:type="dxa"/>
            <w:shd w:val="clear"/>
            <w:vAlign w:val="center"/>
          </w:tcPr>
          <w:p w14:paraId="0C705FD5">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4E191B1C">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396" w:type="dxa"/>
            <w:shd w:val="clear" w:color="auto" w:fill="auto"/>
            <w:vAlign w:val="center"/>
          </w:tcPr>
          <w:p w14:paraId="3431EBD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+0.5</w:t>
            </w:r>
          </w:p>
        </w:tc>
      </w:tr>
      <w:tr w14:paraId="03AF77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01CACAA2">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vAlign w:val="center"/>
          </w:tcPr>
          <w:p w14:paraId="5BCC586E">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废试剂</w:t>
            </w:r>
          </w:p>
        </w:tc>
        <w:tc>
          <w:tcPr>
            <w:tcW w:w="1407" w:type="dxa"/>
            <w:shd w:val="clear"/>
            <w:vAlign w:val="center"/>
          </w:tcPr>
          <w:p w14:paraId="49695AEA">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vAlign w:val="center"/>
          </w:tcPr>
          <w:p w14:paraId="69D1A383">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vAlign w:val="center"/>
          </w:tcPr>
          <w:p w14:paraId="2A7AD6F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4596B886">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0.02</w:t>
            </w:r>
          </w:p>
        </w:tc>
        <w:tc>
          <w:tcPr>
            <w:tcW w:w="1264" w:type="dxa"/>
            <w:shd w:val="clear"/>
            <w:vAlign w:val="center"/>
          </w:tcPr>
          <w:p w14:paraId="4231B5E3">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081B8AB4">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396" w:type="dxa"/>
            <w:shd w:val="clear" w:color="auto" w:fill="auto"/>
            <w:vAlign w:val="center"/>
          </w:tcPr>
          <w:p w14:paraId="23A4C893">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+0.02</w:t>
            </w:r>
          </w:p>
        </w:tc>
      </w:tr>
      <w:tr w14:paraId="657494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7D7C205C">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vAlign w:val="center"/>
          </w:tcPr>
          <w:p w14:paraId="1DF264E8">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废一次性耗材</w:t>
            </w:r>
          </w:p>
        </w:tc>
        <w:tc>
          <w:tcPr>
            <w:tcW w:w="1407" w:type="dxa"/>
            <w:shd w:val="clear"/>
            <w:vAlign w:val="center"/>
          </w:tcPr>
          <w:p w14:paraId="7715D8F1">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vAlign w:val="center"/>
          </w:tcPr>
          <w:p w14:paraId="1C308C64">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vAlign w:val="center"/>
          </w:tcPr>
          <w:p w14:paraId="0D868F1B">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7E2CA9D0">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0.05</w:t>
            </w:r>
          </w:p>
        </w:tc>
        <w:tc>
          <w:tcPr>
            <w:tcW w:w="1264" w:type="dxa"/>
            <w:shd w:val="clear"/>
            <w:vAlign w:val="center"/>
          </w:tcPr>
          <w:p w14:paraId="127B9AC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2AEEAF9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396" w:type="dxa"/>
            <w:shd w:val="clear" w:color="auto" w:fill="auto"/>
            <w:vAlign w:val="center"/>
          </w:tcPr>
          <w:p w14:paraId="21D437FC">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+0.05</w:t>
            </w:r>
          </w:p>
        </w:tc>
      </w:tr>
      <w:tr w14:paraId="3E7493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2" w:type="dxa"/>
            <w:vMerge w:val="continue"/>
            <w:vAlign w:val="center"/>
          </w:tcPr>
          <w:p w14:paraId="4471665D">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vAlign w:val="center"/>
          </w:tcPr>
          <w:p w14:paraId="4D70C74A">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废培养基</w:t>
            </w:r>
          </w:p>
        </w:tc>
        <w:tc>
          <w:tcPr>
            <w:tcW w:w="1407" w:type="dxa"/>
            <w:shd w:val="clear"/>
            <w:vAlign w:val="center"/>
          </w:tcPr>
          <w:p w14:paraId="7A9A42FD">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vAlign w:val="center"/>
          </w:tcPr>
          <w:p w14:paraId="0B08CD56">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vAlign w:val="center"/>
          </w:tcPr>
          <w:p w14:paraId="6BBA2598">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5F4131C0">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0.005</w:t>
            </w:r>
          </w:p>
        </w:tc>
        <w:tc>
          <w:tcPr>
            <w:tcW w:w="1264" w:type="dxa"/>
            <w:shd w:val="clear"/>
            <w:vAlign w:val="center"/>
          </w:tcPr>
          <w:p w14:paraId="631E8490">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24D08525">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396" w:type="dxa"/>
            <w:shd w:val="clear" w:color="auto" w:fill="auto"/>
            <w:vAlign w:val="center"/>
          </w:tcPr>
          <w:p w14:paraId="6E90A771">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+0.005</w:t>
            </w:r>
          </w:p>
        </w:tc>
      </w:tr>
      <w:tr w14:paraId="4DD23F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1948ED0E">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vAlign w:val="center"/>
          </w:tcPr>
          <w:p w14:paraId="1DBB02DC">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检测废液</w:t>
            </w:r>
          </w:p>
        </w:tc>
        <w:tc>
          <w:tcPr>
            <w:tcW w:w="1407" w:type="dxa"/>
            <w:shd w:val="clear"/>
            <w:vAlign w:val="center"/>
          </w:tcPr>
          <w:p w14:paraId="2A69846B">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vAlign w:val="center"/>
          </w:tcPr>
          <w:p w14:paraId="2D09D630">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6D6AB6B1">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31EF9A8A">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0.45</w:t>
            </w:r>
          </w:p>
        </w:tc>
        <w:tc>
          <w:tcPr>
            <w:tcW w:w="1264" w:type="dxa"/>
            <w:shd w:val="clear"/>
            <w:vAlign w:val="center"/>
          </w:tcPr>
          <w:p w14:paraId="50086BE2">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6E1FAF71">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396" w:type="dxa"/>
            <w:shd w:val="clear" w:color="auto" w:fill="auto"/>
            <w:vAlign w:val="center"/>
          </w:tcPr>
          <w:p w14:paraId="509A62E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+0.45</w:t>
            </w:r>
          </w:p>
        </w:tc>
      </w:tr>
      <w:tr w14:paraId="71F47C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15D7C87C">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vAlign w:val="center"/>
          </w:tcPr>
          <w:p w14:paraId="12330402">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清洗废液</w:t>
            </w:r>
          </w:p>
        </w:tc>
        <w:tc>
          <w:tcPr>
            <w:tcW w:w="1407" w:type="dxa"/>
            <w:shd w:val="clear"/>
            <w:vAlign w:val="center"/>
          </w:tcPr>
          <w:p w14:paraId="4A2D74BA">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vAlign w:val="center"/>
          </w:tcPr>
          <w:p w14:paraId="4CE3DFA8">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5D0812E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19CB520A">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0.9</w:t>
            </w:r>
          </w:p>
        </w:tc>
        <w:tc>
          <w:tcPr>
            <w:tcW w:w="1264" w:type="dxa"/>
            <w:shd w:val="clear"/>
            <w:vAlign w:val="center"/>
          </w:tcPr>
          <w:p w14:paraId="2816FCBC">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14EA8D7E">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396" w:type="dxa"/>
            <w:shd w:val="clear" w:color="auto" w:fill="auto"/>
            <w:vAlign w:val="center"/>
          </w:tcPr>
          <w:p w14:paraId="0542E26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+0.9</w:t>
            </w:r>
          </w:p>
        </w:tc>
      </w:tr>
      <w:tr w14:paraId="3BE530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2" w:type="dxa"/>
            <w:vMerge w:val="continue"/>
            <w:vAlign w:val="center"/>
          </w:tcPr>
          <w:p w14:paraId="4B4B01B6">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vAlign w:val="center"/>
          </w:tcPr>
          <w:p w14:paraId="178D898C">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废样品</w:t>
            </w:r>
          </w:p>
        </w:tc>
        <w:tc>
          <w:tcPr>
            <w:tcW w:w="1407" w:type="dxa"/>
            <w:shd w:val="clear" w:color="auto" w:fill="auto"/>
            <w:vAlign w:val="center"/>
          </w:tcPr>
          <w:p w14:paraId="2BE27EF3">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2B2D07D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7993B672">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32CB3BB6">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0.05</w:t>
            </w:r>
          </w:p>
        </w:tc>
        <w:tc>
          <w:tcPr>
            <w:tcW w:w="1264" w:type="dxa"/>
            <w:shd w:val="clear" w:color="auto" w:fill="auto"/>
            <w:vAlign w:val="center"/>
          </w:tcPr>
          <w:p w14:paraId="39BE782E">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5B1545FD">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396" w:type="dxa"/>
            <w:shd w:val="clear" w:color="auto" w:fill="auto"/>
            <w:vAlign w:val="center"/>
          </w:tcPr>
          <w:p w14:paraId="5A2AED7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+0.05</w:t>
            </w:r>
          </w:p>
        </w:tc>
      </w:tr>
    </w:tbl>
    <w:p w14:paraId="586156F7">
      <w:pPr>
        <w:pStyle w:val="44"/>
        <w:spacing w:before="192" w:beforeLines="80" w:after="24"/>
        <w:jc w:val="left"/>
        <w:rPr>
          <w:rFonts w:hint="default" w:ascii="Times New Roman" w:hAnsi="Times New Roman" w:eastAsia="宋体" w:cs="Times New Roman"/>
          <w:snapToGrid w:val="0"/>
          <w:color w:val="auto"/>
          <w:spacing w:val="-6"/>
          <w:kern w:val="21"/>
          <w:sz w:val="24"/>
          <w:szCs w:val="24"/>
          <w:highlight w:val="none"/>
        </w:rPr>
      </w:pPr>
      <w:r>
        <w:rPr>
          <w:rFonts w:hint="default" w:ascii="Times New Roman" w:hAnsi="Times New Roman" w:eastAsia="宋体" w:cs="Times New Roman"/>
          <w:snapToGrid w:val="0"/>
          <w:color w:val="auto"/>
          <w:kern w:val="21"/>
          <w:sz w:val="24"/>
          <w:szCs w:val="24"/>
          <w:highlight w:val="none"/>
        </w:rPr>
        <w:t>注：</w:t>
      </w:r>
      <w:r>
        <w:rPr>
          <w:rFonts w:hint="default" w:ascii="Times New Roman" w:hAnsi="Times New Roman" w:eastAsia="宋体" w:cs="Times New Roman"/>
          <w:snapToGrid w:val="0"/>
          <w:color w:val="auto"/>
          <w:spacing w:val="-16"/>
          <w:kern w:val="21"/>
          <w:sz w:val="24"/>
          <w:szCs w:val="24"/>
          <w:highlight w:val="none"/>
        </w:rPr>
        <w:fldChar w:fldCharType="begin"/>
      </w:r>
      <w:r>
        <w:rPr>
          <w:rFonts w:hint="default" w:ascii="Times New Roman" w:hAnsi="Times New Roman" w:eastAsia="宋体" w:cs="Times New Roman"/>
          <w:snapToGrid w:val="0"/>
          <w:color w:val="auto"/>
          <w:spacing w:val="-16"/>
          <w:kern w:val="21"/>
          <w:sz w:val="24"/>
          <w:szCs w:val="24"/>
          <w:highlight w:val="none"/>
        </w:rPr>
        <w:instrText xml:space="preserve"> = 6 \* GB3 \* MERGEFORMAT </w:instrText>
      </w:r>
      <w:r>
        <w:rPr>
          <w:rFonts w:hint="default" w:ascii="Times New Roman" w:hAnsi="Times New Roman" w:eastAsia="宋体" w:cs="Times New Roman"/>
          <w:snapToGrid w:val="0"/>
          <w:color w:val="auto"/>
          <w:spacing w:val="-16"/>
          <w:kern w:val="21"/>
          <w:sz w:val="24"/>
          <w:szCs w:val="24"/>
          <w:highlight w:val="none"/>
        </w:rPr>
        <w:fldChar w:fldCharType="separate"/>
      </w:r>
      <w:r>
        <w:rPr>
          <w:rFonts w:hint="default" w:ascii="Times New Roman" w:hAnsi="Times New Roman" w:eastAsia="宋体" w:cs="Times New Roman"/>
          <w:color w:val="auto"/>
          <w:sz w:val="24"/>
          <w:szCs w:val="24"/>
          <w:highlight w:val="none"/>
        </w:rPr>
        <w:t>⑥</w:t>
      </w:r>
      <w:r>
        <w:rPr>
          <w:rFonts w:hint="default" w:ascii="Times New Roman" w:hAnsi="Times New Roman" w:eastAsia="宋体" w:cs="Times New Roman"/>
          <w:snapToGrid w:val="0"/>
          <w:color w:val="auto"/>
          <w:spacing w:val="-16"/>
          <w:kern w:val="21"/>
          <w:sz w:val="24"/>
          <w:szCs w:val="24"/>
          <w:highlight w:val="none"/>
        </w:rPr>
        <w:fldChar w:fldCharType="end"/>
      </w:r>
      <w:r>
        <w:rPr>
          <w:rFonts w:hint="default" w:ascii="Times New Roman" w:hAnsi="Times New Roman" w:eastAsia="宋体" w:cs="Times New Roman"/>
          <w:snapToGrid w:val="0"/>
          <w:color w:val="auto"/>
          <w:spacing w:val="-16"/>
          <w:kern w:val="21"/>
          <w:sz w:val="24"/>
          <w:szCs w:val="24"/>
          <w:highlight w:val="none"/>
        </w:rPr>
        <w:t>=</w:t>
      </w:r>
      <w:r>
        <w:rPr>
          <w:rFonts w:hint="default" w:ascii="Times New Roman" w:hAnsi="Times New Roman" w:eastAsia="宋体" w:cs="Times New Roman"/>
          <w:snapToGrid w:val="0"/>
          <w:color w:val="auto"/>
          <w:spacing w:val="-6"/>
          <w:kern w:val="21"/>
          <w:sz w:val="24"/>
          <w:szCs w:val="24"/>
          <w:highlight w:val="none"/>
        </w:rPr>
        <w:fldChar w:fldCharType="begin"/>
      </w:r>
      <w:r>
        <w:rPr>
          <w:rFonts w:hint="default" w:ascii="Times New Roman" w:hAnsi="Times New Roman" w:eastAsia="宋体" w:cs="Times New Roman"/>
          <w:snapToGrid w:val="0"/>
          <w:color w:val="auto"/>
          <w:spacing w:val="-6"/>
          <w:kern w:val="21"/>
          <w:sz w:val="24"/>
          <w:szCs w:val="24"/>
          <w:highlight w:val="none"/>
        </w:rPr>
        <w:instrText xml:space="preserve"> = 1 \* GB3 \* MERGEFORMAT </w:instrText>
      </w:r>
      <w:r>
        <w:rPr>
          <w:rFonts w:hint="default" w:ascii="Times New Roman" w:hAnsi="Times New Roman" w:eastAsia="宋体" w:cs="Times New Roman"/>
          <w:snapToGrid w:val="0"/>
          <w:color w:val="auto"/>
          <w:spacing w:val="-6"/>
          <w:kern w:val="21"/>
          <w:sz w:val="24"/>
          <w:szCs w:val="24"/>
          <w:highlight w:val="none"/>
        </w:rPr>
        <w:fldChar w:fldCharType="separate"/>
      </w:r>
      <w:r>
        <w:rPr>
          <w:rFonts w:hint="default" w:ascii="Times New Roman" w:hAnsi="Times New Roman" w:eastAsia="宋体" w:cs="Times New Roman"/>
          <w:color w:val="auto"/>
          <w:sz w:val="24"/>
          <w:szCs w:val="24"/>
          <w:highlight w:val="none"/>
        </w:rPr>
        <w:t>①</w:t>
      </w:r>
      <w:r>
        <w:rPr>
          <w:rFonts w:hint="default" w:ascii="Times New Roman" w:hAnsi="Times New Roman" w:eastAsia="宋体" w:cs="Times New Roman"/>
          <w:snapToGrid w:val="0"/>
          <w:color w:val="auto"/>
          <w:spacing w:val="-6"/>
          <w:kern w:val="21"/>
          <w:sz w:val="24"/>
          <w:szCs w:val="24"/>
          <w:highlight w:val="none"/>
        </w:rPr>
        <w:fldChar w:fldCharType="end"/>
      </w:r>
      <w:r>
        <w:rPr>
          <w:rFonts w:hint="default" w:ascii="Times New Roman" w:hAnsi="Times New Roman" w:eastAsia="宋体" w:cs="Times New Roman"/>
          <w:snapToGrid w:val="0"/>
          <w:color w:val="auto"/>
          <w:spacing w:val="-6"/>
          <w:kern w:val="21"/>
          <w:sz w:val="24"/>
          <w:szCs w:val="24"/>
          <w:highlight w:val="none"/>
        </w:rPr>
        <w:t>+</w:t>
      </w:r>
      <w:r>
        <w:rPr>
          <w:rFonts w:hint="default" w:ascii="Times New Roman" w:hAnsi="Times New Roman" w:eastAsia="宋体" w:cs="Times New Roman"/>
          <w:snapToGrid w:val="0"/>
          <w:color w:val="auto"/>
          <w:spacing w:val="-6"/>
          <w:kern w:val="21"/>
          <w:sz w:val="24"/>
          <w:szCs w:val="24"/>
          <w:highlight w:val="none"/>
        </w:rPr>
        <w:fldChar w:fldCharType="begin"/>
      </w:r>
      <w:r>
        <w:rPr>
          <w:rFonts w:hint="default" w:ascii="Times New Roman" w:hAnsi="Times New Roman" w:eastAsia="宋体" w:cs="Times New Roman"/>
          <w:snapToGrid w:val="0"/>
          <w:color w:val="auto"/>
          <w:spacing w:val="-6"/>
          <w:kern w:val="21"/>
          <w:sz w:val="24"/>
          <w:szCs w:val="24"/>
          <w:highlight w:val="none"/>
        </w:rPr>
        <w:instrText xml:space="preserve"> = 3 \* GB3 \* MERGEFORMAT </w:instrText>
      </w:r>
      <w:r>
        <w:rPr>
          <w:rFonts w:hint="default" w:ascii="Times New Roman" w:hAnsi="Times New Roman" w:eastAsia="宋体" w:cs="Times New Roman"/>
          <w:snapToGrid w:val="0"/>
          <w:color w:val="auto"/>
          <w:spacing w:val="-6"/>
          <w:kern w:val="21"/>
          <w:sz w:val="24"/>
          <w:szCs w:val="24"/>
          <w:highlight w:val="none"/>
        </w:rPr>
        <w:fldChar w:fldCharType="separate"/>
      </w:r>
      <w:r>
        <w:rPr>
          <w:rFonts w:hint="default" w:ascii="Times New Roman" w:hAnsi="Times New Roman" w:eastAsia="宋体" w:cs="Times New Roman"/>
          <w:color w:val="auto"/>
          <w:sz w:val="24"/>
          <w:szCs w:val="24"/>
          <w:highlight w:val="none"/>
        </w:rPr>
        <w:t>③</w:t>
      </w:r>
      <w:r>
        <w:rPr>
          <w:rFonts w:hint="default" w:ascii="Times New Roman" w:hAnsi="Times New Roman" w:eastAsia="宋体" w:cs="Times New Roman"/>
          <w:snapToGrid w:val="0"/>
          <w:color w:val="auto"/>
          <w:spacing w:val="-6"/>
          <w:kern w:val="21"/>
          <w:sz w:val="24"/>
          <w:szCs w:val="24"/>
          <w:highlight w:val="none"/>
        </w:rPr>
        <w:fldChar w:fldCharType="end"/>
      </w:r>
      <w:r>
        <w:rPr>
          <w:rFonts w:hint="default" w:ascii="Times New Roman" w:hAnsi="Times New Roman" w:eastAsia="宋体" w:cs="Times New Roman"/>
          <w:snapToGrid w:val="0"/>
          <w:color w:val="auto"/>
          <w:spacing w:val="-6"/>
          <w:kern w:val="21"/>
          <w:sz w:val="24"/>
          <w:szCs w:val="24"/>
          <w:highlight w:val="none"/>
        </w:rPr>
        <w:t>+</w:t>
      </w:r>
      <w:r>
        <w:rPr>
          <w:rFonts w:hint="default" w:ascii="Times New Roman" w:hAnsi="Times New Roman" w:eastAsia="宋体" w:cs="Times New Roman"/>
          <w:snapToGrid w:val="0"/>
          <w:color w:val="auto"/>
          <w:spacing w:val="-6"/>
          <w:kern w:val="21"/>
          <w:sz w:val="24"/>
          <w:szCs w:val="24"/>
          <w:highlight w:val="none"/>
        </w:rPr>
        <w:fldChar w:fldCharType="begin"/>
      </w:r>
      <w:r>
        <w:rPr>
          <w:rFonts w:hint="default" w:ascii="Times New Roman" w:hAnsi="Times New Roman" w:eastAsia="宋体" w:cs="Times New Roman"/>
          <w:snapToGrid w:val="0"/>
          <w:color w:val="auto"/>
          <w:spacing w:val="-6"/>
          <w:kern w:val="21"/>
          <w:sz w:val="24"/>
          <w:szCs w:val="24"/>
          <w:highlight w:val="none"/>
        </w:rPr>
        <w:instrText xml:space="preserve"> = 4 \* GB3 \* MERGEFORMAT </w:instrText>
      </w:r>
      <w:r>
        <w:rPr>
          <w:rFonts w:hint="default" w:ascii="Times New Roman" w:hAnsi="Times New Roman" w:eastAsia="宋体" w:cs="Times New Roman"/>
          <w:snapToGrid w:val="0"/>
          <w:color w:val="auto"/>
          <w:spacing w:val="-6"/>
          <w:kern w:val="21"/>
          <w:sz w:val="24"/>
          <w:szCs w:val="24"/>
          <w:highlight w:val="none"/>
        </w:rPr>
        <w:fldChar w:fldCharType="separate"/>
      </w:r>
      <w:r>
        <w:rPr>
          <w:rFonts w:hint="default" w:ascii="Times New Roman" w:hAnsi="Times New Roman" w:eastAsia="宋体" w:cs="Times New Roman"/>
          <w:color w:val="auto"/>
          <w:sz w:val="24"/>
          <w:szCs w:val="24"/>
          <w:highlight w:val="none"/>
        </w:rPr>
        <w:t>④</w:t>
      </w:r>
      <w:r>
        <w:rPr>
          <w:rFonts w:hint="default" w:ascii="Times New Roman" w:hAnsi="Times New Roman" w:eastAsia="宋体" w:cs="Times New Roman"/>
          <w:snapToGrid w:val="0"/>
          <w:color w:val="auto"/>
          <w:spacing w:val="-6"/>
          <w:kern w:val="21"/>
          <w:sz w:val="24"/>
          <w:szCs w:val="24"/>
          <w:highlight w:val="none"/>
        </w:rPr>
        <w:fldChar w:fldCharType="end"/>
      </w:r>
      <w:r>
        <w:rPr>
          <w:rFonts w:hint="default" w:ascii="Times New Roman" w:hAnsi="Times New Roman" w:eastAsia="宋体" w:cs="Times New Roman"/>
          <w:snapToGrid w:val="0"/>
          <w:color w:val="auto"/>
          <w:spacing w:val="-6"/>
          <w:kern w:val="21"/>
          <w:sz w:val="24"/>
          <w:szCs w:val="24"/>
          <w:highlight w:val="none"/>
        </w:rPr>
        <w:t>-</w:t>
      </w:r>
      <w:r>
        <w:rPr>
          <w:rFonts w:hint="default" w:ascii="Times New Roman" w:hAnsi="Times New Roman" w:eastAsia="宋体" w:cs="Times New Roman"/>
          <w:snapToGrid w:val="0"/>
          <w:color w:val="auto"/>
          <w:spacing w:val="-16"/>
          <w:kern w:val="21"/>
          <w:sz w:val="24"/>
          <w:szCs w:val="24"/>
          <w:highlight w:val="none"/>
        </w:rPr>
        <w:fldChar w:fldCharType="begin"/>
      </w:r>
      <w:r>
        <w:rPr>
          <w:rFonts w:hint="default" w:ascii="Times New Roman" w:hAnsi="Times New Roman" w:eastAsia="宋体" w:cs="Times New Roman"/>
          <w:snapToGrid w:val="0"/>
          <w:color w:val="auto"/>
          <w:spacing w:val="-16"/>
          <w:kern w:val="21"/>
          <w:sz w:val="24"/>
          <w:szCs w:val="24"/>
          <w:highlight w:val="none"/>
        </w:rPr>
        <w:instrText xml:space="preserve"> = 5 \* GB3 \* MERGEFORMAT </w:instrText>
      </w:r>
      <w:r>
        <w:rPr>
          <w:rFonts w:hint="default" w:ascii="Times New Roman" w:hAnsi="Times New Roman" w:eastAsia="宋体" w:cs="Times New Roman"/>
          <w:snapToGrid w:val="0"/>
          <w:color w:val="auto"/>
          <w:spacing w:val="-16"/>
          <w:kern w:val="21"/>
          <w:sz w:val="24"/>
          <w:szCs w:val="24"/>
          <w:highlight w:val="none"/>
        </w:rPr>
        <w:fldChar w:fldCharType="separate"/>
      </w:r>
      <w:r>
        <w:rPr>
          <w:rFonts w:hint="default" w:ascii="Times New Roman" w:hAnsi="Times New Roman" w:eastAsia="宋体" w:cs="Times New Roman"/>
          <w:color w:val="auto"/>
          <w:sz w:val="24"/>
          <w:szCs w:val="24"/>
          <w:highlight w:val="none"/>
        </w:rPr>
        <w:t>⑤</w:t>
      </w:r>
      <w:r>
        <w:rPr>
          <w:rFonts w:hint="default" w:ascii="Times New Roman" w:hAnsi="Times New Roman" w:eastAsia="宋体" w:cs="Times New Roman"/>
          <w:snapToGrid w:val="0"/>
          <w:color w:val="auto"/>
          <w:spacing w:val="-16"/>
          <w:kern w:val="21"/>
          <w:sz w:val="24"/>
          <w:szCs w:val="24"/>
          <w:highlight w:val="none"/>
        </w:rPr>
        <w:fldChar w:fldCharType="end"/>
      </w:r>
      <w:r>
        <w:rPr>
          <w:rFonts w:hint="default" w:ascii="Times New Roman" w:hAnsi="Times New Roman" w:eastAsia="宋体" w:cs="Times New Roman"/>
          <w:snapToGrid w:val="0"/>
          <w:color w:val="auto"/>
          <w:spacing w:val="-16"/>
          <w:kern w:val="21"/>
          <w:sz w:val="24"/>
          <w:szCs w:val="24"/>
          <w:highlight w:val="none"/>
        </w:rPr>
        <w:t>；</w:t>
      </w:r>
      <w:r>
        <w:rPr>
          <w:rFonts w:hint="default" w:ascii="Times New Roman" w:hAnsi="Times New Roman" w:eastAsia="宋体" w:cs="Times New Roman"/>
          <w:snapToGrid w:val="0"/>
          <w:color w:val="auto"/>
          <w:spacing w:val="-6"/>
          <w:kern w:val="21"/>
          <w:sz w:val="24"/>
          <w:szCs w:val="24"/>
          <w:highlight w:val="none"/>
        </w:rPr>
        <w:fldChar w:fldCharType="begin"/>
      </w:r>
      <w:r>
        <w:rPr>
          <w:rFonts w:hint="default" w:ascii="Times New Roman" w:hAnsi="Times New Roman" w:eastAsia="宋体" w:cs="Times New Roman"/>
          <w:snapToGrid w:val="0"/>
          <w:color w:val="auto"/>
          <w:spacing w:val="-6"/>
          <w:kern w:val="21"/>
          <w:sz w:val="24"/>
          <w:szCs w:val="24"/>
          <w:highlight w:val="none"/>
        </w:rPr>
        <w:instrText xml:space="preserve"> = 7 \* GB3 \* MERGEFORMAT </w:instrText>
      </w:r>
      <w:r>
        <w:rPr>
          <w:rFonts w:hint="default" w:ascii="Times New Roman" w:hAnsi="Times New Roman" w:eastAsia="宋体" w:cs="Times New Roman"/>
          <w:snapToGrid w:val="0"/>
          <w:color w:val="auto"/>
          <w:spacing w:val="-6"/>
          <w:kern w:val="21"/>
          <w:sz w:val="24"/>
          <w:szCs w:val="24"/>
          <w:highlight w:val="none"/>
        </w:rPr>
        <w:fldChar w:fldCharType="separate"/>
      </w:r>
      <w:r>
        <w:rPr>
          <w:rFonts w:hint="default" w:ascii="Times New Roman" w:hAnsi="Times New Roman" w:eastAsia="宋体" w:cs="Times New Roman"/>
          <w:color w:val="auto"/>
          <w:sz w:val="24"/>
          <w:szCs w:val="24"/>
          <w:highlight w:val="none"/>
        </w:rPr>
        <w:t>⑦</w:t>
      </w:r>
      <w:r>
        <w:rPr>
          <w:rFonts w:hint="default" w:ascii="Times New Roman" w:hAnsi="Times New Roman" w:eastAsia="宋体" w:cs="Times New Roman"/>
          <w:snapToGrid w:val="0"/>
          <w:color w:val="auto"/>
          <w:spacing w:val="-6"/>
          <w:kern w:val="21"/>
          <w:sz w:val="24"/>
          <w:szCs w:val="24"/>
          <w:highlight w:val="none"/>
        </w:rPr>
        <w:fldChar w:fldCharType="end"/>
      </w:r>
      <w:r>
        <w:rPr>
          <w:rFonts w:hint="default" w:ascii="Times New Roman" w:hAnsi="Times New Roman" w:eastAsia="宋体" w:cs="Times New Roman"/>
          <w:snapToGrid w:val="0"/>
          <w:color w:val="auto"/>
          <w:spacing w:val="-6"/>
          <w:kern w:val="21"/>
          <w:sz w:val="24"/>
          <w:szCs w:val="24"/>
          <w:highlight w:val="none"/>
        </w:rPr>
        <w:t>=</w:t>
      </w:r>
      <w:r>
        <w:rPr>
          <w:rFonts w:hint="default" w:ascii="Times New Roman" w:hAnsi="Times New Roman" w:eastAsia="宋体" w:cs="Times New Roman"/>
          <w:snapToGrid w:val="0"/>
          <w:color w:val="auto"/>
          <w:spacing w:val="-16"/>
          <w:kern w:val="21"/>
          <w:sz w:val="24"/>
          <w:szCs w:val="24"/>
          <w:highlight w:val="none"/>
        </w:rPr>
        <w:fldChar w:fldCharType="begin"/>
      </w:r>
      <w:r>
        <w:rPr>
          <w:rFonts w:hint="default" w:ascii="Times New Roman" w:hAnsi="Times New Roman" w:eastAsia="宋体" w:cs="Times New Roman"/>
          <w:snapToGrid w:val="0"/>
          <w:color w:val="auto"/>
          <w:spacing w:val="-16"/>
          <w:kern w:val="21"/>
          <w:sz w:val="24"/>
          <w:szCs w:val="24"/>
          <w:highlight w:val="none"/>
        </w:rPr>
        <w:instrText xml:space="preserve"> = 6 \* GB3 \* MERGEFORMAT </w:instrText>
      </w:r>
      <w:r>
        <w:rPr>
          <w:rFonts w:hint="default" w:ascii="Times New Roman" w:hAnsi="Times New Roman" w:eastAsia="宋体" w:cs="Times New Roman"/>
          <w:snapToGrid w:val="0"/>
          <w:color w:val="auto"/>
          <w:spacing w:val="-16"/>
          <w:kern w:val="21"/>
          <w:sz w:val="24"/>
          <w:szCs w:val="24"/>
          <w:highlight w:val="none"/>
        </w:rPr>
        <w:fldChar w:fldCharType="separate"/>
      </w:r>
      <w:r>
        <w:rPr>
          <w:rFonts w:hint="default" w:ascii="Times New Roman" w:hAnsi="Times New Roman" w:eastAsia="宋体" w:cs="Times New Roman"/>
          <w:color w:val="auto"/>
          <w:sz w:val="24"/>
          <w:szCs w:val="24"/>
          <w:highlight w:val="none"/>
        </w:rPr>
        <w:t>⑥</w:t>
      </w:r>
      <w:r>
        <w:rPr>
          <w:rFonts w:hint="default" w:ascii="Times New Roman" w:hAnsi="Times New Roman" w:eastAsia="宋体" w:cs="Times New Roman"/>
          <w:snapToGrid w:val="0"/>
          <w:color w:val="auto"/>
          <w:spacing w:val="-16"/>
          <w:kern w:val="21"/>
          <w:sz w:val="24"/>
          <w:szCs w:val="24"/>
          <w:highlight w:val="none"/>
        </w:rPr>
        <w:fldChar w:fldCharType="end"/>
      </w:r>
      <w:r>
        <w:rPr>
          <w:rFonts w:hint="default" w:ascii="Times New Roman" w:hAnsi="Times New Roman" w:eastAsia="宋体" w:cs="Times New Roman"/>
          <w:snapToGrid w:val="0"/>
          <w:color w:val="auto"/>
          <w:spacing w:val="-16"/>
          <w:kern w:val="21"/>
          <w:sz w:val="24"/>
          <w:szCs w:val="24"/>
          <w:highlight w:val="none"/>
        </w:rPr>
        <w:t>-</w:t>
      </w:r>
      <w:r>
        <w:rPr>
          <w:rFonts w:hint="default" w:ascii="Times New Roman" w:hAnsi="Times New Roman" w:eastAsia="宋体" w:cs="Times New Roman"/>
          <w:snapToGrid w:val="0"/>
          <w:color w:val="auto"/>
          <w:spacing w:val="-6"/>
          <w:kern w:val="21"/>
          <w:sz w:val="24"/>
          <w:szCs w:val="24"/>
          <w:highlight w:val="none"/>
        </w:rPr>
        <w:fldChar w:fldCharType="begin"/>
      </w:r>
      <w:r>
        <w:rPr>
          <w:rFonts w:hint="default" w:ascii="Times New Roman" w:hAnsi="Times New Roman" w:eastAsia="宋体" w:cs="Times New Roman"/>
          <w:snapToGrid w:val="0"/>
          <w:color w:val="auto"/>
          <w:spacing w:val="-6"/>
          <w:kern w:val="21"/>
          <w:sz w:val="24"/>
          <w:szCs w:val="24"/>
          <w:highlight w:val="none"/>
        </w:rPr>
        <w:instrText xml:space="preserve"> = 1 \* GB3 \* MERGEFORMAT </w:instrText>
      </w:r>
      <w:r>
        <w:rPr>
          <w:rFonts w:hint="default" w:ascii="Times New Roman" w:hAnsi="Times New Roman" w:eastAsia="宋体" w:cs="Times New Roman"/>
          <w:snapToGrid w:val="0"/>
          <w:color w:val="auto"/>
          <w:spacing w:val="-6"/>
          <w:kern w:val="21"/>
          <w:sz w:val="24"/>
          <w:szCs w:val="24"/>
          <w:highlight w:val="none"/>
        </w:rPr>
        <w:fldChar w:fldCharType="separate"/>
      </w:r>
      <w:r>
        <w:rPr>
          <w:rFonts w:hint="default" w:ascii="Times New Roman" w:hAnsi="Times New Roman" w:eastAsia="宋体" w:cs="Times New Roman"/>
          <w:color w:val="auto"/>
          <w:sz w:val="24"/>
          <w:szCs w:val="24"/>
          <w:highlight w:val="none"/>
        </w:rPr>
        <w:t>①</w:t>
      </w:r>
      <w:r>
        <w:rPr>
          <w:rFonts w:hint="default" w:ascii="Times New Roman" w:hAnsi="Times New Roman" w:eastAsia="宋体" w:cs="Times New Roman"/>
          <w:snapToGrid w:val="0"/>
          <w:color w:val="auto"/>
          <w:spacing w:val="-6"/>
          <w:kern w:val="21"/>
          <w:sz w:val="24"/>
          <w:szCs w:val="24"/>
          <w:highlight w:val="none"/>
        </w:rPr>
        <w:fldChar w:fldCharType="end"/>
      </w:r>
    </w:p>
    <w:p w14:paraId="295217E6">
      <w:pPr>
        <w:pStyle w:val="20"/>
        <w:adjustRightInd w:val="0"/>
        <w:snapToGrid w:val="0"/>
        <w:spacing w:before="0" w:beforeAutospacing="0" w:after="0" w:afterAutospacing="0"/>
        <w:jc w:val="both"/>
        <w:outlineLvl w:val="0"/>
        <w:rPr>
          <w:rFonts w:hint="default" w:ascii="Times New Roman" w:hAnsi="Times New Roman" w:eastAsia="宋体" w:cs="Times New Roman"/>
          <w:b/>
          <w:color w:val="auto"/>
          <w:sz w:val="36"/>
          <w:szCs w:val="36"/>
          <w:highlight w:val="none"/>
          <w:lang w:val="en-US" w:eastAsia="zh-CN"/>
        </w:rPr>
      </w:pPr>
    </w:p>
    <w:p w14:paraId="49D2903D">
      <w:pPr>
        <w:pStyle w:val="20"/>
        <w:adjustRightInd w:val="0"/>
        <w:snapToGrid w:val="0"/>
        <w:spacing w:before="0" w:beforeAutospacing="0" w:after="0" w:afterAutospacing="0"/>
        <w:jc w:val="both"/>
        <w:outlineLvl w:val="0"/>
        <w:rPr>
          <w:rFonts w:hint="default" w:ascii="Times New Roman" w:hAnsi="Times New Roman" w:eastAsia="宋体" w:cs="Times New Roman"/>
          <w:b/>
          <w:color w:val="auto"/>
          <w:sz w:val="36"/>
          <w:szCs w:val="36"/>
          <w:highlight w:val="none"/>
          <w:lang w:val="en-US" w:eastAsia="zh-CN"/>
        </w:rPr>
      </w:pPr>
    </w:p>
    <w:p w14:paraId="1C47F756">
      <w:pPr>
        <w:pStyle w:val="20"/>
        <w:adjustRightInd w:val="0"/>
        <w:snapToGrid w:val="0"/>
        <w:spacing w:before="0" w:beforeAutospacing="0" w:after="0" w:afterAutospacing="0"/>
        <w:jc w:val="both"/>
        <w:outlineLvl w:val="0"/>
        <w:rPr>
          <w:rFonts w:hint="default" w:ascii="Times New Roman" w:hAnsi="Times New Roman" w:eastAsia="宋体" w:cs="Times New Roman"/>
          <w:b/>
          <w:color w:val="auto"/>
          <w:sz w:val="36"/>
          <w:szCs w:val="36"/>
          <w:highlight w:val="none"/>
          <w:lang w:val="en-US" w:eastAsia="zh-CN"/>
        </w:rPr>
      </w:pPr>
    </w:p>
    <w:p w14:paraId="5A07DDD9">
      <w:pPr>
        <w:pStyle w:val="20"/>
        <w:adjustRightInd w:val="0"/>
        <w:snapToGrid w:val="0"/>
        <w:spacing w:before="0" w:beforeAutospacing="0" w:after="0" w:afterAutospacing="0"/>
        <w:jc w:val="both"/>
        <w:outlineLvl w:val="0"/>
        <w:rPr>
          <w:rFonts w:hint="default" w:ascii="Times New Roman" w:hAnsi="Times New Roman" w:eastAsia="宋体" w:cs="Times New Roman"/>
          <w:b/>
          <w:color w:val="auto"/>
          <w:sz w:val="36"/>
          <w:szCs w:val="36"/>
          <w:highlight w:val="none"/>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138158A">
      <w:pPr>
        <w:rPr>
          <w:rFonts w:hint="eastAsia"/>
          <w:color w:val="auto"/>
          <w:lang w:val="en-US" w:eastAsia="zh-CN"/>
        </w:rPr>
      </w:pPr>
      <w:r>
        <w:rPr>
          <w:rFonts w:hint="eastAsia"/>
          <w:b/>
          <w:bCs/>
          <w:color w:val="auto"/>
          <w:sz w:val="24"/>
          <w:szCs w:val="24"/>
          <w:lang w:val="en-US" w:eastAsia="zh-CN"/>
        </w:rPr>
        <w:t>附图</w:t>
      </w:r>
    </w:p>
    <w:p w14:paraId="2A840484">
      <w:pPr>
        <w:spacing w:line="360" w:lineRule="auto"/>
        <w:rPr>
          <w:rFonts w:hint="eastAsia"/>
          <w:color w:val="auto"/>
          <w:sz w:val="24"/>
          <w:szCs w:val="24"/>
          <w:lang w:val="en-US" w:eastAsia="zh-CN"/>
        </w:rPr>
      </w:pPr>
      <w:r>
        <w:rPr>
          <w:rFonts w:hint="eastAsia"/>
          <w:color w:val="auto"/>
          <w:sz w:val="24"/>
          <w:szCs w:val="24"/>
          <w:lang w:val="en-US" w:eastAsia="zh-CN"/>
        </w:rPr>
        <w:t>附图1 项目地理位置示意图</w:t>
      </w:r>
    </w:p>
    <w:p w14:paraId="0E3A572B">
      <w:pPr>
        <w:spacing w:line="360" w:lineRule="auto"/>
        <w:rPr>
          <w:rFonts w:hint="eastAsia"/>
          <w:color w:val="auto"/>
          <w:sz w:val="24"/>
          <w:szCs w:val="24"/>
          <w:lang w:val="en-US" w:eastAsia="zh-CN"/>
        </w:rPr>
      </w:pPr>
      <w:r>
        <w:rPr>
          <w:rFonts w:hint="eastAsia"/>
          <w:color w:val="auto"/>
          <w:sz w:val="24"/>
          <w:szCs w:val="24"/>
          <w:lang w:val="en-US" w:eastAsia="zh-CN"/>
        </w:rPr>
        <w:t>附图2 项目周边关系图</w:t>
      </w:r>
    </w:p>
    <w:p w14:paraId="48B263DD">
      <w:pPr>
        <w:spacing w:line="360" w:lineRule="auto"/>
        <w:rPr>
          <w:rFonts w:hint="default"/>
          <w:color w:val="auto"/>
          <w:sz w:val="24"/>
          <w:szCs w:val="24"/>
          <w:lang w:val="en-US" w:eastAsia="zh-CN"/>
        </w:rPr>
      </w:pPr>
      <w:r>
        <w:rPr>
          <w:rFonts w:hint="eastAsia"/>
          <w:color w:val="auto"/>
          <w:sz w:val="24"/>
          <w:szCs w:val="24"/>
          <w:lang w:val="en-US" w:eastAsia="zh-CN"/>
        </w:rPr>
        <w:t>附图3 项目1层平面布局图</w:t>
      </w:r>
    </w:p>
    <w:p w14:paraId="7E0EE9E0">
      <w:pPr>
        <w:spacing w:line="360" w:lineRule="auto"/>
        <w:rPr>
          <w:rFonts w:hint="eastAsia"/>
          <w:color w:val="auto"/>
          <w:sz w:val="24"/>
          <w:szCs w:val="24"/>
          <w:lang w:val="en-US" w:eastAsia="zh-CN"/>
        </w:rPr>
      </w:pPr>
      <w:r>
        <w:rPr>
          <w:rFonts w:hint="eastAsia"/>
          <w:color w:val="auto"/>
          <w:sz w:val="24"/>
          <w:szCs w:val="24"/>
          <w:lang w:val="en-US" w:eastAsia="zh-CN"/>
        </w:rPr>
        <w:t>附图4 项目2层平面布局图</w:t>
      </w:r>
    </w:p>
    <w:p w14:paraId="63E3B760">
      <w:pPr>
        <w:spacing w:line="360" w:lineRule="auto"/>
        <w:rPr>
          <w:rFonts w:hint="eastAsia"/>
          <w:color w:val="auto"/>
          <w:sz w:val="24"/>
          <w:szCs w:val="24"/>
          <w:lang w:val="en-US" w:eastAsia="zh-CN"/>
        </w:rPr>
      </w:pPr>
      <w:r>
        <w:rPr>
          <w:rFonts w:hint="eastAsia"/>
          <w:color w:val="auto"/>
          <w:sz w:val="24"/>
          <w:szCs w:val="24"/>
          <w:lang w:val="en-US" w:eastAsia="zh-CN"/>
        </w:rPr>
        <w:t>附图5 项目3层平面布局图</w:t>
      </w:r>
    </w:p>
    <w:p w14:paraId="759B476B">
      <w:pPr>
        <w:spacing w:line="360" w:lineRule="auto"/>
        <w:rPr>
          <w:rFonts w:hint="eastAsia"/>
          <w:color w:val="auto"/>
          <w:sz w:val="24"/>
          <w:szCs w:val="24"/>
          <w:lang w:val="en-US" w:eastAsia="zh-CN"/>
        </w:rPr>
      </w:pPr>
      <w:r>
        <w:rPr>
          <w:rFonts w:hint="eastAsia"/>
          <w:color w:val="auto"/>
          <w:sz w:val="24"/>
          <w:szCs w:val="24"/>
          <w:lang w:val="en-US" w:eastAsia="zh-CN"/>
        </w:rPr>
        <w:t>附图6 项目4层平面布局图</w:t>
      </w:r>
    </w:p>
    <w:p w14:paraId="49E35F7C">
      <w:pPr>
        <w:spacing w:line="360" w:lineRule="auto"/>
        <w:rPr>
          <w:rFonts w:hint="default"/>
          <w:color w:val="auto"/>
          <w:sz w:val="24"/>
          <w:szCs w:val="24"/>
          <w:lang w:val="en-US" w:eastAsia="zh-CN"/>
        </w:rPr>
      </w:pPr>
      <w:r>
        <w:rPr>
          <w:rFonts w:hint="eastAsia"/>
          <w:color w:val="auto"/>
          <w:sz w:val="24"/>
          <w:szCs w:val="24"/>
          <w:lang w:val="en-US" w:eastAsia="zh-CN"/>
        </w:rPr>
        <w:t>附图7 项目周边敏感目标分布图</w:t>
      </w:r>
    </w:p>
    <w:p w14:paraId="064A03BB">
      <w:pPr>
        <w:rPr>
          <w:rFonts w:hint="eastAsia"/>
          <w:color w:val="auto"/>
          <w:lang w:val="en-US" w:eastAsia="zh-CN"/>
        </w:rPr>
      </w:pPr>
    </w:p>
    <w:p w14:paraId="036C8A3C">
      <w:pPr>
        <w:rPr>
          <w:rFonts w:hint="default"/>
          <w:b/>
          <w:bCs/>
          <w:color w:val="auto"/>
          <w:sz w:val="24"/>
          <w:szCs w:val="24"/>
          <w:lang w:val="en-US" w:eastAsia="zh-CN"/>
        </w:rPr>
      </w:pPr>
      <w:r>
        <w:rPr>
          <w:rFonts w:hint="eastAsia"/>
          <w:b/>
          <w:bCs/>
          <w:color w:val="auto"/>
          <w:sz w:val="24"/>
          <w:szCs w:val="24"/>
          <w:lang w:val="en-US" w:eastAsia="zh-CN"/>
        </w:rPr>
        <w:t>附件</w:t>
      </w:r>
    </w:p>
    <w:p w14:paraId="5CE7AC54">
      <w:pPr>
        <w:spacing w:line="360" w:lineRule="auto"/>
        <w:rPr>
          <w:rFonts w:hint="default"/>
          <w:color w:val="auto"/>
          <w:sz w:val="24"/>
          <w:szCs w:val="24"/>
          <w:lang w:val="en-US" w:eastAsia="zh-CN"/>
        </w:rPr>
      </w:pPr>
      <w:r>
        <w:rPr>
          <w:rFonts w:hint="eastAsia"/>
          <w:color w:val="auto"/>
          <w:sz w:val="24"/>
          <w:szCs w:val="24"/>
          <w:lang w:val="en-US" w:eastAsia="zh-CN"/>
        </w:rPr>
        <w:t>附件1 营业执照</w:t>
      </w:r>
    </w:p>
    <w:p w14:paraId="142887CE">
      <w:pPr>
        <w:spacing w:line="360" w:lineRule="auto"/>
        <w:rPr>
          <w:rFonts w:hint="eastAsia"/>
          <w:color w:val="auto"/>
          <w:sz w:val="24"/>
          <w:szCs w:val="24"/>
          <w:lang w:val="en-US" w:eastAsia="zh-CN"/>
        </w:rPr>
      </w:pPr>
      <w:r>
        <w:rPr>
          <w:rFonts w:hint="eastAsia"/>
          <w:color w:val="auto"/>
          <w:sz w:val="24"/>
          <w:szCs w:val="24"/>
          <w:lang w:val="en-US" w:eastAsia="zh-CN"/>
        </w:rPr>
        <w:t>附件2 房产证</w:t>
      </w:r>
    </w:p>
    <w:p w14:paraId="2D48549A">
      <w:pPr>
        <w:spacing w:line="360" w:lineRule="auto"/>
        <w:rPr>
          <w:rFonts w:hint="eastAsia"/>
          <w:color w:val="auto"/>
          <w:sz w:val="24"/>
          <w:szCs w:val="24"/>
          <w:lang w:val="en-US" w:eastAsia="zh-CN"/>
        </w:rPr>
      </w:pPr>
      <w:r>
        <w:rPr>
          <w:rFonts w:hint="eastAsia"/>
          <w:color w:val="auto"/>
          <w:sz w:val="24"/>
          <w:szCs w:val="24"/>
          <w:lang w:val="en-US" w:eastAsia="zh-CN"/>
        </w:rPr>
        <w:t>附件3 房屋租用合同</w:t>
      </w:r>
    </w:p>
    <w:p w14:paraId="777B8CD2">
      <w:pPr>
        <w:spacing w:line="360" w:lineRule="auto"/>
        <w:rPr>
          <w:rFonts w:hint="default"/>
          <w:color w:val="auto"/>
          <w:sz w:val="24"/>
          <w:szCs w:val="24"/>
          <w:lang w:val="en-US" w:eastAsia="zh-CN"/>
        </w:rPr>
      </w:pPr>
      <w:r>
        <w:rPr>
          <w:rFonts w:hint="eastAsia"/>
          <w:color w:val="auto"/>
          <w:sz w:val="24"/>
          <w:szCs w:val="24"/>
          <w:lang w:val="en-US" w:eastAsia="zh-CN"/>
        </w:rPr>
        <w:t>附件4 危废处置合同</w:t>
      </w:r>
    </w:p>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roman"/>
    <w:pitch w:val="default"/>
    <w:sig w:usb0="F7FFAEFF" w:usb1="F9DFFFFF" w:usb2="0000007F" w:usb3="00000000" w:csb0="203F01FF" w:csb1="DFFF0000"/>
  </w:font>
  <w:font w:name="TimesNewRoman">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MS PGothic">
    <w:panose1 w:val="020B0600070205080204"/>
    <w:charset w:val="80"/>
    <w:family w:val="auto"/>
    <w:pitch w:val="default"/>
    <w:sig w:usb0="E00002FF" w:usb1="6AC7FDFB" w:usb2="08000012" w:usb3="00000000" w:csb0="4002009F" w:csb1="DFD70000"/>
  </w:font>
  <w:font w:name="Symbol">
    <w:panose1 w:val="05050102010706020507"/>
    <w:charset w:val="00"/>
    <w:family w:val="auto"/>
    <w:pitch w:val="default"/>
    <w:sig w:usb0="00000000" w:usb1="00000000" w:usb2="00000000" w:usb3="00000000" w:csb0="80000000"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F2B62">
    <w:pPr>
      <w:pStyle w:val="14"/>
      <w:tabs>
        <w:tab w:val="center" w:pos="4422"/>
        <w:tab w:val="clear" w:pos="4153"/>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F1EB4F">
                          <w:pPr>
                            <w:pStyle w:val="14"/>
                            <w:rPr>
                              <w:sz w:val="32"/>
                              <w:szCs w:val="36"/>
                            </w:rPr>
                          </w:pPr>
                          <w:r>
                            <w:rPr>
                              <w:sz w:val="32"/>
                              <w:szCs w:val="36"/>
                            </w:rPr>
                            <w:t xml:space="preserve">— </w:t>
                          </w:r>
                          <w:r>
                            <w:rPr>
                              <w:sz w:val="32"/>
                              <w:szCs w:val="36"/>
                            </w:rPr>
                            <w:fldChar w:fldCharType="begin"/>
                          </w:r>
                          <w:r>
                            <w:rPr>
                              <w:sz w:val="32"/>
                              <w:szCs w:val="36"/>
                            </w:rPr>
                            <w:instrText xml:space="preserve"> PAGE  \* MERGEFORMAT </w:instrText>
                          </w:r>
                          <w:r>
                            <w:rPr>
                              <w:sz w:val="32"/>
                              <w:szCs w:val="36"/>
                            </w:rPr>
                            <w:fldChar w:fldCharType="separate"/>
                          </w:r>
                          <w:r>
                            <w:rPr>
                              <w:sz w:val="32"/>
                              <w:szCs w:val="36"/>
                            </w:rPr>
                            <w:t>1</w:t>
                          </w:r>
                          <w:r>
                            <w:rPr>
                              <w:sz w:val="32"/>
                              <w:szCs w:val="36"/>
                            </w:rPr>
                            <w:fldChar w:fldCharType="end"/>
                          </w:r>
                          <w:r>
                            <w:rPr>
                              <w:sz w:val="32"/>
                              <w:szCs w:val="36"/>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78F1EB4F">
                    <w:pPr>
                      <w:pStyle w:val="14"/>
                      <w:rPr>
                        <w:sz w:val="32"/>
                        <w:szCs w:val="36"/>
                      </w:rPr>
                    </w:pPr>
                    <w:r>
                      <w:rPr>
                        <w:sz w:val="32"/>
                        <w:szCs w:val="36"/>
                      </w:rPr>
                      <w:t xml:space="preserve">— </w:t>
                    </w:r>
                    <w:r>
                      <w:rPr>
                        <w:sz w:val="32"/>
                        <w:szCs w:val="36"/>
                      </w:rPr>
                      <w:fldChar w:fldCharType="begin"/>
                    </w:r>
                    <w:r>
                      <w:rPr>
                        <w:sz w:val="32"/>
                        <w:szCs w:val="36"/>
                      </w:rPr>
                      <w:instrText xml:space="preserve"> PAGE  \* MERGEFORMAT </w:instrText>
                    </w:r>
                    <w:r>
                      <w:rPr>
                        <w:sz w:val="32"/>
                        <w:szCs w:val="36"/>
                      </w:rPr>
                      <w:fldChar w:fldCharType="separate"/>
                    </w:r>
                    <w:r>
                      <w:rPr>
                        <w:sz w:val="32"/>
                        <w:szCs w:val="36"/>
                      </w:rPr>
                      <w:t>1</w:t>
                    </w:r>
                    <w:r>
                      <w:rPr>
                        <w:sz w:val="32"/>
                        <w:szCs w:val="36"/>
                      </w:rPr>
                      <w:fldChar w:fldCharType="end"/>
                    </w:r>
                    <w:r>
                      <w:rPr>
                        <w:sz w:val="32"/>
                        <w:szCs w:val="36"/>
                      </w:rPr>
                      <w:t xml:space="preserve"> —</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8C5AB4">
                          <w:pPr>
                            <w:pStyle w:val="14"/>
                            <w:rPr>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78C5AB4">
                    <w:pPr>
                      <w:pStyle w:val="14"/>
                      <w:rPr>
                        <w:sz w:val="28"/>
                        <w:szCs w:val="28"/>
                      </w:rPr>
                    </w:pP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00E57">
    <w:pPr>
      <w:pStyle w:val="14"/>
      <w:ind w:firstLine="360"/>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14397D1">
                          <w:pPr>
                            <w:pStyle w:val="14"/>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24</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wfDAy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qczSjRT6Pjl+7fL&#10;j1+Xn18J7iBQY/0CcQ8WkaF9a1qMzXDvcRl5t6VT8ReMCPyQ93yVV7SB8PhoPp3Px3Bx+IYD8LPH&#10;59b58E4YRaKRU4f+JVnZaedDFzqExGzabGspUw+lJk1OZ6/fjNODqwfgUsdYkaahh4mUutKjFdp9&#10;2/Pcm+IMms50k+It39YoZcd8uGcOo4HysTzhDp9SGqQ0vUVJZdyXf93HeHQMXkoajFpONTaLEvle&#10;o5MADIPhBmM/GPqobg1md4KltDyZeOCCHMzSGfUZG7WOOeBimiNTTsNg3oZu3LGRXKzXKQizZ1nY&#10;6QfLI3SUx9v1MUDOpHIUpVMC3YkHTF/qU78pcbz/PKeox3+H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jB8MDICAABlBAAADgAAAAAAAAABACAAAAAfAQAAZHJzL2Uyb0RvYy54bWxQSwUG&#10;AAAAAAYABgBZAQAAwwUAAAAA&#10;">
              <v:fill on="f" focussize="0,0"/>
              <v:stroke on="f" weight="0.5pt"/>
              <v:imagedata o:title=""/>
              <o:lock v:ext="edit" aspectratio="f"/>
              <v:textbox inset="0mm,0mm,0mm,0mm" style="mso-fit-shape-to-text:t;">
                <w:txbxContent>
                  <w:p w14:paraId="214397D1">
                    <w:pPr>
                      <w:pStyle w:val="14"/>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24</w:t>
                    </w:r>
                    <w:r>
                      <w:rPr>
                        <w:sz w:val="28"/>
                        <w:szCs w:val="28"/>
                      </w:rPr>
                      <w:fldChar w:fldCharType="end"/>
                    </w:r>
                    <w:r>
                      <w:rPr>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BAA6B">
    <w:r>
      <w:pict>
        <v:shape id="IPGWMV_P-BB50_T-3_U-94D9AAC8" o:spid="_x0000_s2049" o:spt="75" alt="IPGWMV_P-BB50_T-3_U-94D9AAC8" type="#_x0000_t75" style="position:absolute;left:0pt;margin-left:0pt;margin-top:0pt;height:840pt;width:594pt;mso-position-horizontal-relative:page;mso-position-vertical-relative:page;z-index:-251657216;mso-width-relative:page;mso-height-relative:page;" filled="f" stroked="f" coordsize="21600,21600">
          <v:path/>
          <v:fill on="f" focussize="0,0"/>
          <v:stroke on="f"/>
          <v:imagedata r:id="rId1" o:title="QK-C561E1DC-B45C7407-DE741D22-319-461.png"/>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A49F6"/>
    <w:multiLevelType w:val="singleLevel"/>
    <w:tmpl w:val="82CA49F6"/>
    <w:lvl w:ilvl="0" w:tentative="0">
      <w:start w:val="1"/>
      <w:numFmt w:val="decimal"/>
      <w:lvlText w:val="表2-%1"/>
      <w:lvlJc w:val="left"/>
      <w:pPr>
        <w:tabs>
          <w:tab w:val="left" w:pos="420"/>
        </w:tabs>
        <w:ind w:left="425" w:hanging="425"/>
      </w:pPr>
      <w:rPr>
        <w:rFonts w:hint="default"/>
        <w:b/>
        <w:bCs/>
        <w:color w:val="auto"/>
      </w:rPr>
    </w:lvl>
  </w:abstractNum>
  <w:abstractNum w:abstractNumId="1">
    <w:nsid w:val="8F6CC6E6"/>
    <w:multiLevelType w:val="singleLevel"/>
    <w:tmpl w:val="8F6CC6E6"/>
    <w:lvl w:ilvl="0" w:tentative="0">
      <w:start w:val="1"/>
      <w:numFmt w:val="chineseCounting"/>
      <w:suff w:val="nothing"/>
      <w:lvlText w:val="%1、"/>
      <w:lvlJc w:val="left"/>
      <w:rPr>
        <w:rFonts w:hint="eastAsia"/>
      </w:rPr>
    </w:lvl>
  </w:abstractNum>
  <w:abstractNum w:abstractNumId="2">
    <w:nsid w:val="92B73433"/>
    <w:multiLevelType w:val="singleLevel"/>
    <w:tmpl w:val="92B73433"/>
    <w:lvl w:ilvl="0" w:tentative="0">
      <w:start w:val="1"/>
      <w:numFmt w:val="decimal"/>
      <w:suff w:val="space"/>
      <w:lvlText w:val="%1."/>
      <w:lvlJc w:val="left"/>
    </w:lvl>
  </w:abstractNum>
  <w:abstractNum w:abstractNumId="3">
    <w:nsid w:val="95F4319A"/>
    <w:multiLevelType w:val="singleLevel"/>
    <w:tmpl w:val="95F4319A"/>
    <w:lvl w:ilvl="0" w:tentative="0">
      <w:start w:val="1"/>
      <w:numFmt w:val="decimal"/>
      <w:lvlText w:val="%1."/>
      <w:lvlJc w:val="left"/>
      <w:pPr>
        <w:tabs>
          <w:tab w:val="left" w:pos="312"/>
        </w:tabs>
      </w:pPr>
    </w:lvl>
  </w:abstractNum>
  <w:abstractNum w:abstractNumId="4">
    <w:nsid w:val="9D77E336"/>
    <w:multiLevelType w:val="singleLevel"/>
    <w:tmpl w:val="9D77E336"/>
    <w:lvl w:ilvl="0" w:tentative="0">
      <w:start w:val="1"/>
      <w:numFmt w:val="decimal"/>
      <w:suff w:val="space"/>
      <w:lvlText w:val="%1."/>
      <w:lvlJc w:val="left"/>
    </w:lvl>
  </w:abstractNum>
  <w:abstractNum w:abstractNumId="5">
    <w:nsid w:val="A377B6BD"/>
    <w:multiLevelType w:val="singleLevel"/>
    <w:tmpl w:val="A377B6BD"/>
    <w:lvl w:ilvl="0" w:tentative="0">
      <w:start w:val="1"/>
      <w:numFmt w:val="chineseCounting"/>
      <w:suff w:val="nothing"/>
      <w:lvlText w:val="%1、"/>
      <w:lvlJc w:val="left"/>
      <w:pPr>
        <w:ind w:left="0" w:firstLine="420"/>
      </w:pPr>
      <w:rPr>
        <w:rFonts w:hint="eastAsia"/>
      </w:rPr>
    </w:lvl>
  </w:abstractNum>
  <w:abstractNum w:abstractNumId="6">
    <w:nsid w:val="A6FB92C4"/>
    <w:multiLevelType w:val="singleLevel"/>
    <w:tmpl w:val="A6FB92C4"/>
    <w:lvl w:ilvl="0" w:tentative="0">
      <w:start w:val="1"/>
      <w:numFmt w:val="decimal"/>
      <w:lvlText w:val="%1"/>
      <w:lvlJc w:val="left"/>
      <w:pPr>
        <w:tabs>
          <w:tab w:val="left" w:pos="420"/>
        </w:tabs>
        <w:ind w:left="425" w:leftChars="0" w:hanging="425" w:firstLineChars="0"/>
      </w:pPr>
      <w:rPr>
        <w:rFonts w:hint="default"/>
      </w:rPr>
    </w:lvl>
  </w:abstractNum>
  <w:abstractNum w:abstractNumId="7">
    <w:nsid w:val="A821ACA8"/>
    <w:multiLevelType w:val="singleLevel"/>
    <w:tmpl w:val="A821ACA8"/>
    <w:lvl w:ilvl="0" w:tentative="0">
      <w:start w:val="1"/>
      <w:numFmt w:val="decimal"/>
      <w:suff w:val="space"/>
      <w:lvlText w:val="%1."/>
      <w:lvlJc w:val="left"/>
    </w:lvl>
  </w:abstractNum>
  <w:abstractNum w:abstractNumId="8">
    <w:nsid w:val="AFE24593"/>
    <w:multiLevelType w:val="singleLevel"/>
    <w:tmpl w:val="AFE24593"/>
    <w:lvl w:ilvl="0" w:tentative="0">
      <w:start w:val="1"/>
      <w:numFmt w:val="decimal"/>
      <w:lvlText w:val="%1."/>
      <w:lvlJc w:val="left"/>
      <w:pPr>
        <w:tabs>
          <w:tab w:val="left" w:pos="312"/>
        </w:tabs>
      </w:pPr>
    </w:lvl>
  </w:abstractNum>
  <w:abstractNum w:abstractNumId="9">
    <w:nsid w:val="B81179E9"/>
    <w:multiLevelType w:val="singleLevel"/>
    <w:tmpl w:val="B81179E9"/>
    <w:lvl w:ilvl="0" w:tentative="0">
      <w:start w:val="1"/>
      <w:numFmt w:val="decimalEnclosedCircleChinese"/>
      <w:suff w:val="nothing"/>
      <w:lvlText w:val="%1　"/>
      <w:lvlJc w:val="left"/>
      <w:pPr>
        <w:ind w:left="0" w:firstLine="400"/>
      </w:pPr>
      <w:rPr>
        <w:rFonts w:hint="eastAsia"/>
      </w:rPr>
    </w:lvl>
  </w:abstractNum>
  <w:abstractNum w:abstractNumId="10">
    <w:nsid w:val="BBDF91AB"/>
    <w:multiLevelType w:val="singleLevel"/>
    <w:tmpl w:val="BBDF91AB"/>
    <w:lvl w:ilvl="0" w:tentative="0">
      <w:start w:val="1"/>
      <w:numFmt w:val="decimal"/>
      <w:suff w:val="space"/>
      <w:lvlText w:val="%1."/>
      <w:lvlJc w:val="left"/>
    </w:lvl>
  </w:abstractNum>
  <w:abstractNum w:abstractNumId="11">
    <w:nsid w:val="BE3E05FE"/>
    <w:multiLevelType w:val="singleLevel"/>
    <w:tmpl w:val="BE3E05FE"/>
    <w:lvl w:ilvl="0" w:tentative="0">
      <w:start w:val="1"/>
      <w:numFmt w:val="decimalEnclosedCircleChinese"/>
      <w:suff w:val="nothing"/>
      <w:lvlText w:val="%1　"/>
      <w:lvlJc w:val="left"/>
      <w:pPr>
        <w:ind w:left="0" w:firstLine="400"/>
      </w:pPr>
      <w:rPr>
        <w:rFonts w:hint="eastAsia"/>
      </w:rPr>
    </w:lvl>
  </w:abstractNum>
  <w:abstractNum w:abstractNumId="12">
    <w:nsid w:val="C6484467"/>
    <w:multiLevelType w:val="singleLevel"/>
    <w:tmpl w:val="C6484467"/>
    <w:lvl w:ilvl="0" w:tentative="0">
      <w:start w:val="1"/>
      <w:numFmt w:val="decimalEnclosedCircleChinese"/>
      <w:suff w:val="nothing"/>
      <w:lvlText w:val="%1　"/>
      <w:lvlJc w:val="left"/>
      <w:pPr>
        <w:ind w:left="0" w:firstLine="400"/>
      </w:pPr>
      <w:rPr>
        <w:rFonts w:hint="eastAsia"/>
      </w:rPr>
    </w:lvl>
  </w:abstractNum>
  <w:abstractNum w:abstractNumId="13">
    <w:nsid w:val="C74A42D3"/>
    <w:multiLevelType w:val="singleLevel"/>
    <w:tmpl w:val="C74A42D3"/>
    <w:lvl w:ilvl="0" w:tentative="0">
      <w:start w:val="1"/>
      <w:numFmt w:val="decimalEnclosedCircleChinese"/>
      <w:suff w:val="nothing"/>
      <w:lvlText w:val="%1　"/>
      <w:lvlJc w:val="left"/>
      <w:pPr>
        <w:ind w:left="0" w:firstLine="400"/>
      </w:pPr>
      <w:rPr>
        <w:rFonts w:hint="eastAsia"/>
      </w:rPr>
    </w:lvl>
  </w:abstractNum>
  <w:abstractNum w:abstractNumId="14">
    <w:nsid w:val="C792BAC1"/>
    <w:multiLevelType w:val="singleLevel"/>
    <w:tmpl w:val="C792BAC1"/>
    <w:lvl w:ilvl="0" w:tentative="0">
      <w:start w:val="1"/>
      <w:numFmt w:val="decimalEnclosedCircleChinese"/>
      <w:suff w:val="nothing"/>
      <w:lvlText w:val="%1　"/>
      <w:lvlJc w:val="left"/>
      <w:pPr>
        <w:ind w:left="0" w:firstLine="400"/>
      </w:pPr>
      <w:rPr>
        <w:rFonts w:hint="eastAsia"/>
      </w:rPr>
    </w:lvl>
  </w:abstractNum>
  <w:abstractNum w:abstractNumId="15">
    <w:nsid w:val="CC4AC097"/>
    <w:multiLevelType w:val="singleLevel"/>
    <w:tmpl w:val="CC4AC097"/>
    <w:lvl w:ilvl="0" w:tentative="0">
      <w:start w:val="2"/>
      <w:numFmt w:val="decimal"/>
      <w:suff w:val="nothing"/>
      <w:lvlText w:val="%1、"/>
      <w:lvlJc w:val="left"/>
    </w:lvl>
  </w:abstractNum>
  <w:abstractNum w:abstractNumId="16">
    <w:nsid w:val="D06A845A"/>
    <w:multiLevelType w:val="singleLevel"/>
    <w:tmpl w:val="D06A845A"/>
    <w:lvl w:ilvl="0" w:tentative="0">
      <w:start w:val="1"/>
      <w:numFmt w:val="decimal"/>
      <w:lvlText w:val="%1."/>
      <w:lvlJc w:val="left"/>
      <w:pPr>
        <w:tabs>
          <w:tab w:val="left" w:pos="312"/>
        </w:tabs>
      </w:pPr>
    </w:lvl>
  </w:abstractNum>
  <w:abstractNum w:abstractNumId="17">
    <w:nsid w:val="D2E66460"/>
    <w:multiLevelType w:val="singleLevel"/>
    <w:tmpl w:val="D2E66460"/>
    <w:lvl w:ilvl="0" w:tentative="0">
      <w:start w:val="1"/>
      <w:numFmt w:val="decimal"/>
      <w:lvlText w:val="图1-%1"/>
      <w:lvlJc w:val="left"/>
      <w:pPr>
        <w:tabs>
          <w:tab w:val="left" w:pos="420"/>
        </w:tabs>
        <w:ind w:left="425" w:leftChars="0" w:hanging="425" w:firstLineChars="0"/>
      </w:pPr>
      <w:rPr>
        <w:rFonts w:hint="default"/>
        <w:b/>
        <w:bCs/>
      </w:rPr>
    </w:lvl>
  </w:abstractNum>
  <w:abstractNum w:abstractNumId="18">
    <w:nsid w:val="D95763AB"/>
    <w:multiLevelType w:val="singleLevel"/>
    <w:tmpl w:val="D95763AB"/>
    <w:lvl w:ilvl="0" w:tentative="0">
      <w:start w:val="1"/>
      <w:numFmt w:val="decimalEnclosedCircleChinese"/>
      <w:suff w:val="nothing"/>
      <w:lvlText w:val="%1　"/>
      <w:lvlJc w:val="left"/>
      <w:pPr>
        <w:tabs>
          <w:tab w:val="left" w:pos="0"/>
        </w:tabs>
        <w:ind w:left="20" w:firstLine="400"/>
      </w:pPr>
      <w:rPr>
        <w:rFonts w:hint="eastAsia" w:ascii="Times New Roman" w:hAnsi="Times New Roman" w:eastAsia="Times New Roman" w:cs="Times New Roman"/>
        <w:color w:val="auto"/>
        <w:sz w:val="21"/>
        <w:szCs w:val="21"/>
        <w:highlight w:val="none"/>
      </w:rPr>
    </w:lvl>
  </w:abstractNum>
  <w:abstractNum w:abstractNumId="19">
    <w:nsid w:val="DDF2C8A8"/>
    <w:multiLevelType w:val="singleLevel"/>
    <w:tmpl w:val="DDF2C8A8"/>
    <w:lvl w:ilvl="0" w:tentative="0">
      <w:start w:val="1"/>
      <w:numFmt w:val="decimal"/>
      <w:lvlText w:val="%1."/>
      <w:lvlJc w:val="left"/>
      <w:pPr>
        <w:tabs>
          <w:tab w:val="left" w:pos="312"/>
        </w:tabs>
      </w:pPr>
    </w:lvl>
  </w:abstractNum>
  <w:abstractNum w:abstractNumId="20">
    <w:nsid w:val="E23D0A08"/>
    <w:multiLevelType w:val="singleLevel"/>
    <w:tmpl w:val="E23D0A08"/>
    <w:lvl w:ilvl="0" w:tentative="0">
      <w:start w:val="2"/>
      <w:numFmt w:val="decimal"/>
      <w:suff w:val="nothing"/>
      <w:lvlText w:val="%1）"/>
      <w:lvlJc w:val="left"/>
    </w:lvl>
  </w:abstractNum>
  <w:abstractNum w:abstractNumId="21">
    <w:nsid w:val="EF7F2199"/>
    <w:multiLevelType w:val="singleLevel"/>
    <w:tmpl w:val="EF7F2199"/>
    <w:lvl w:ilvl="0" w:tentative="0">
      <w:start w:val="1"/>
      <w:numFmt w:val="decimalEnclosedCircleChinese"/>
      <w:suff w:val="nothing"/>
      <w:lvlText w:val="%1　"/>
      <w:lvlJc w:val="left"/>
      <w:pPr>
        <w:ind w:left="0" w:firstLine="400"/>
      </w:pPr>
      <w:rPr>
        <w:rFonts w:hint="eastAsia"/>
      </w:rPr>
    </w:lvl>
  </w:abstractNum>
  <w:abstractNum w:abstractNumId="22">
    <w:nsid w:val="F7D767D8"/>
    <w:multiLevelType w:val="singleLevel"/>
    <w:tmpl w:val="F7D767D8"/>
    <w:lvl w:ilvl="0" w:tentative="0">
      <w:start w:val="1"/>
      <w:numFmt w:val="decimal"/>
      <w:suff w:val="nothing"/>
      <w:lvlText w:val="%1　"/>
      <w:lvlJc w:val="left"/>
      <w:pPr>
        <w:ind w:left="0" w:firstLine="0"/>
      </w:pPr>
      <w:rPr>
        <w:rFonts w:hint="default" w:ascii="Times New Roman" w:hAnsi="Times New Roman" w:cs="Times New Roman"/>
        <w:snapToGrid w:val="0"/>
        <w:color w:val="auto"/>
        <w:spacing w:val="-20"/>
        <w:sz w:val="18"/>
        <w:szCs w:val="18"/>
        <w:highlight w:val="none"/>
      </w:rPr>
    </w:lvl>
  </w:abstractNum>
  <w:abstractNum w:abstractNumId="23">
    <w:nsid w:val="F816CB3E"/>
    <w:multiLevelType w:val="singleLevel"/>
    <w:tmpl w:val="F816CB3E"/>
    <w:lvl w:ilvl="0" w:tentative="0">
      <w:start w:val="1"/>
      <w:numFmt w:val="decimal"/>
      <w:suff w:val="nothing"/>
      <w:lvlText w:val="图2.%1"/>
      <w:lvlJc w:val="left"/>
      <w:pPr>
        <w:ind w:left="0" w:firstLine="403"/>
      </w:pPr>
      <w:rPr>
        <w:rFonts w:hint="default"/>
        <w:b/>
        <w:bCs/>
        <w:highlight w:val="none"/>
      </w:rPr>
    </w:lvl>
  </w:abstractNum>
  <w:abstractNum w:abstractNumId="24">
    <w:nsid w:val="FE9FABE4"/>
    <w:multiLevelType w:val="singleLevel"/>
    <w:tmpl w:val="FE9FABE4"/>
    <w:lvl w:ilvl="0" w:tentative="0">
      <w:start w:val="1"/>
      <w:numFmt w:val="decimal"/>
      <w:lvlText w:val="%1."/>
      <w:lvlJc w:val="left"/>
      <w:pPr>
        <w:tabs>
          <w:tab w:val="left" w:pos="312"/>
        </w:tabs>
      </w:pPr>
    </w:lvl>
  </w:abstractNum>
  <w:abstractNum w:abstractNumId="25">
    <w:nsid w:val="00914AB5"/>
    <w:multiLevelType w:val="singleLevel"/>
    <w:tmpl w:val="00914AB5"/>
    <w:lvl w:ilvl="0" w:tentative="0">
      <w:start w:val="1"/>
      <w:numFmt w:val="decimal"/>
      <w:lvlText w:val="%1"/>
      <w:lvlJc w:val="left"/>
      <w:pPr>
        <w:tabs>
          <w:tab w:val="left" w:pos="420"/>
        </w:tabs>
        <w:ind w:left="425" w:leftChars="0" w:hanging="425" w:firstLineChars="0"/>
      </w:pPr>
      <w:rPr>
        <w:rFonts w:hint="default"/>
      </w:rPr>
    </w:lvl>
  </w:abstractNum>
  <w:abstractNum w:abstractNumId="26">
    <w:nsid w:val="0A37CA6C"/>
    <w:multiLevelType w:val="singleLevel"/>
    <w:tmpl w:val="0A37CA6C"/>
    <w:lvl w:ilvl="0" w:tentative="0">
      <w:start w:val="1"/>
      <w:numFmt w:val="decimal"/>
      <w:suff w:val="nothing"/>
      <w:lvlText w:val="%1、"/>
      <w:lvlJc w:val="left"/>
    </w:lvl>
  </w:abstractNum>
  <w:abstractNum w:abstractNumId="27">
    <w:nsid w:val="10CB2A01"/>
    <w:multiLevelType w:val="singleLevel"/>
    <w:tmpl w:val="10CB2A01"/>
    <w:lvl w:ilvl="0" w:tentative="0">
      <w:start w:val="1"/>
      <w:numFmt w:val="decimalEnclosedCircleChinese"/>
      <w:suff w:val="nothing"/>
      <w:lvlText w:val="%1　"/>
      <w:lvlJc w:val="left"/>
      <w:pPr>
        <w:ind w:left="0" w:firstLine="400"/>
      </w:pPr>
      <w:rPr>
        <w:rFonts w:hint="eastAsia"/>
      </w:rPr>
    </w:lvl>
  </w:abstractNum>
  <w:abstractNum w:abstractNumId="28">
    <w:nsid w:val="18CF62C4"/>
    <w:multiLevelType w:val="singleLevel"/>
    <w:tmpl w:val="18CF62C4"/>
    <w:lvl w:ilvl="0" w:tentative="0">
      <w:start w:val="1"/>
      <w:numFmt w:val="chineseCounting"/>
      <w:suff w:val="nothing"/>
      <w:lvlText w:val="%1、"/>
      <w:lvlJc w:val="left"/>
      <w:pPr>
        <w:ind w:left="-420" w:firstLine="420"/>
      </w:pPr>
      <w:rPr>
        <w:rFonts w:hint="eastAsia"/>
        <w:b/>
        <w:bCs/>
        <w:sz w:val="24"/>
        <w:szCs w:val="24"/>
      </w:rPr>
    </w:lvl>
  </w:abstractNum>
  <w:abstractNum w:abstractNumId="29">
    <w:nsid w:val="197BCEEB"/>
    <w:multiLevelType w:val="singleLevel"/>
    <w:tmpl w:val="197BCEEB"/>
    <w:lvl w:ilvl="0" w:tentative="0">
      <w:start w:val="1"/>
      <w:numFmt w:val="decimal"/>
      <w:lvlText w:val="%1"/>
      <w:lvlJc w:val="left"/>
      <w:pPr>
        <w:tabs>
          <w:tab w:val="left" w:pos="420"/>
        </w:tabs>
        <w:ind w:left="425" w:leftChars="0" w:hanging="425" w:firstLineChars="0"/>
      </w:pPr>
      <w:rPr>
        <w:rFonts w:hint="default"/>
      </w:rPr>
    </w:lvl>
  </w:abstractNum>
  <w:abstractNum w:abstractNumId="30">
    <w:nsid w:val="1B36D586"/>
    <w:multiLevelType w:val="singleLevel"/>
    <w:tmpl w:val="1B36D586"/>
    <w:lvl w:ilvl="0" w:tentative="0">
      <w:start w:val="1"/>
      <w:numFmt w:val="decimal"/>
      <w:lvlText w:val="%1."/>
      <w:lvlJc w:val="left"/>
      <w:pPr>
        <w:tabs>
          <w:tab w:val="left" w:pos="312"/>
        </w:tabs>
      </w:pPr>
    </w:lvl>
  </w:abstractNum>
  <w:abstractNum w:abstractNumId="31">
    <w:nsid w:val="22534506"/>
    <w:multiLevelType w:val="singleLevel"/>
    <w:tmpl w:val="22534506"/>
    <w:lvl w:ilvl="0" w:tentative="0">
      <w:start w:val="1"/>
      <w:numFmt w:val="decimal"/>
      <w:suff w:val="space"/>
      <w:lvlText w:val="%1."/>
      <w:lvlJc w:val="left"/>
    </w:lvl>
  </w:abstractNum>
  <w:abstractNum w:abstractNumId="32">
    <w:nsid w:val="2485C606"/>
    <w:multiLevelType w:val="singleLevel"/>
    <w:tmpl w:val="2485C606"/>
    <w:lvl w:ilvl="0" w:tentative="0">
      <w:start w:val="1"/>
      <w:numFmt w:val="decimal"/>
      <w:suff w:val="nothing"/>
      <w:lvlText w:val="（%1）"/>
      <w:lvlJc w:val="left"/>
    </w:lvl>
  </w:abstractNum>
  <w:abstractNum w:abstractNumId="33">
    <w:nsid w:val="2B310BDA"/>
    <w:multiLevelType w:val="singleLevel"/>
    <w:tmpl w:val="2B310BDA"/>
    <w:lvl w:ilvl="0" w:tentative="0">
      <w:start w:val="1"/>
      <w:numFmt w:val="decimal"/>
      <w:suff w:val="nothing"/>
      <w:lvlText w:val="%1、"/>
      <w:lvlJc w:val="left"/>
    </w:lvl>
  </w:abstractNum>
  <w:abstractNum w:abstractNumId="34">
    <w:nsid w:val="329002CD"/>
    <w:multiLevelType w:val="singleLevel"/>
    <w:tmpl w:val="329002CD"/>
    <w:lvl w:ilvl="0" w:tentative="0">
      <w:start w:val="1"/>
      <w:numFmt w:val="decimal"/>
      <w:suff w:val="nothing"/>
      <w:lvlText w:val="%1、"/>
      <w:lvlJc w:val="left"/>
    </w:lvl>
  </w:abstractNum>
  <w:abstractNum w:abstractNumId="35">
    <w:nsid w:val="37002C56"/>
    <w:multiLevelType w:val="singleLevel"/>
    <w:tmpl w:val="37002C56"/>
    <w:lvl w:ilvl="0" w:tentative="0">
      <w:start w:val="1"/>
      <w:numFmt w:val="chineseCounting"/>
      <w:suff w:val="nothing"/>
      <w:lvlText w:val="%1、"/>
      <w:lvlJc w:val="left"/>
      <w:pPr>
        <w:ind w:left="-442" w:firstLine="420"/>
      </w:pPr>
      <w:rPr>
        <w:rFonts w:hint="eastAsia"/>
      </w:rPr>
    </w:lvl>
  </w:abstractNum>
  <w:abstractNum w:abstractNumId="36">
    <w:nsid w:val="390F296A"/>
    <w:multiLevelType w:val="singleLevel"/>
    <w:tmpl w:val="390F296A"/>
    <w:lvl w:ilvl="0" w:tentative="0">
      <w:start w:val="1"/>
      <w:numFmt w:val="decimalEnclosedCircleChinese"/>
      <w:suff w:val="nothing"/>
      <w:lvlText w:val="%1　"/>
      <w:lvlJc w:val="left"/>
      <w:pPr>
        <w:ind w:left="0" w:firstLine="400"/>
      </w:pPr>
      <w:rPr>
        <w:rFonts w:hint="eastAsia"/>
      </w:rPr>
    </w:lvl>
  </w:abstractNum>
  <w:abstractNum w:abstractNumId="37">
    <w:nsid w:val="39EA943C"/>
    <w:multiLevelType w:val="singleLevel"/>
    <w:tmpl w:val="39EA943C"/>
    <w:lvl w:ilvl="0" w:tentative="0">
      <w:start w:val="1"/>
      <w:numFmt w:val="decimalEnclosedCircleChinese"/>
      <w:suff w:val="nothing"/>
      <w:lvlText w:val="%1　"/>
      <w:lvlJc w:val="left"/>
      <w:pPr>
        <w:ind w:left="0" w:firstLine="400"/>
      </w:pPr>
      <w:rPr>
        <w:rFonts w:hint="eastAsia"/>
      </w:rPr>
    </w:lvl>
  </w:abstractNum>
  <w:abstractNum w:abstractNumId="38">
    <w:nsid w:val="3D43D5D0"/>
    <w:multiLevelType w:val="singleLevel"/>
    <w:tmpl w:val="3D43D5D0"/>
    <w:lvl w:ilvl="0" w:tentative="0">
      <w:start w:val="1"/>
      <w:numFmt w:val="decimalEnclosedCircleChinese"/>
      <w:suff w:val="nothing"/>
      <w:lvlText w:val="%1　"/>
      <w:lvlJc w:val="left"/>
      <w:pPr>
        <w:ind w:left="0" w:firstLine="400"/>
      </w:pPr>
      <w:rPr>
        <w:rFonts w:hint="eastAsia"/>
      </w:rPr>
    </w:lvl>
  </w:abstractNum>
  <w:abstractNum w:abstractNumId="39">
    <w:nsid w:val="46E5DCD5"/>
    <w:multiLevelType w:val="singleLevel"/>
    <w:tmpl w:val="46E5DCD5"/>
    <w:lvl w:ilvl="0" w:tentative="0">
      <w:start w:val="1"/>
      <w:numFmt w:val="decimal"/>
      <w:suff w:val="space"/>
      <w:lvlText w:val="表3-%1"/>
      <w:lvlJc w:val="left"/>
      <w:pPr>
        <w:ind w:left="425" w:hanging="425"/>
      </w:pPr>
      <w:rPr>
        <w:rFonts w:hint="default"/>
        <w:b/>
        <w:bCs/>
        <w:color w:val="auto"/>
        <w:sz w:val="24"/>
        <w:szCs w:val="24"/>
      </w:rPr>
    </w:lvl>
  </w:abstractNum>
  <w:abstractNum w:abstractNumId="40">
    <w:nsid w:val="495C44B5"/>
    <w:multiLevelType w:val="singleLevel"/>
    <w:tmpl w:val="495C44B5"/>
    <w:lvl w:ilvl="0" w:tentative="0">
      <w:start w:val="1"/>
      <w:numFmt w:val="decimal"/>
      <w:suff w:val="nothing"/>
      <w:lvlText w:val="（%1）"/>
      <w:lvlJc w:val="left"/>
      <w:rPr>
        <w:rFonts w:hint="default"/>
        <w:b/>
        <w:bCs/>
      </w:rPr>
    </w:lvl>
  </w:abstractNum>
  <w:abstractNum w:abstractNumId="41">
    <w:nsid w:val="4DFE428C"/>
    <w:multiLevelType w:val="singleLevel"/>
    <w:tmpl w:val="4DFE428C"/>
    <w:lvl w:ilvl="0" w:tentative="0">
      <w:start w:val="1"/>
      <w:numFmt w:val="decimal"/>
      <w:lvlText w:val="%1."/>
      <w:lvlJc w:val="left"/>
      <w:pPr>
        <w:tabs>
          <w:tab w:val="left" w:pos="312"/>
        </w:tabs>
      </w:pPr>
    </w:lvl>
  </w:abstractNum>
  <w:abstractNum w:abstractNumId="42">
    <w:nsid w:val="56A68241"/>
    <w:multiLevelType w:val="singleLevel"/>
    <w:tmpl w:val="56A68241"/>
    <w:lvl w:ilvl="0" w:tentative="0">
      <w:start w:val="1"/>
      <w:numFmt w:val="decimal"/>
      <w:suff w:val="space"/>
      <w:lvlText w:val="%1."/>
      <w:lvlJc w:val="left"/>
    </w:lvl>
  </w:abstractNum>
  <w:abstractNum w:abstractNumId="43">
    <w:nsid w:val="5887DB75"/>
    <w:multiLevelType w:val="singleLevel"/>
    <w:tmpl w:val="5887DB75"/>
    <w:lvl w:ilvl="0" w:tentative="0">
      <w:start w:val="1"/>
      <w:numFmt w:val="decimal"/>
      <w:lvlText w:val="表1-%1"/>
      <w:lvlJc w:val="left"/>
      <w:pPr>
        <w:tabs>
          <w:tab w:val="left" w:pos="420"/>
        </w:tabs>
        <w:ind w:left="425" w:leftChars="0" w:hanging="425" w:firstLineChars="0"/>
      </w:pPr>
      <w:rPr>
        <w:rFonts w:hint="default"/>
      </w:rPr>
    </w:lvl>
  </w:abstractNum>
  <w:abstractNum w:abstractNumId="44">
    <w:nsid w:val="5D16C219"/>
    <w:multiLevelType w:val="singleLevel"/>
    <w:tmpl w:val="5D16C219"/>
    <w:lvl w:ilvl="0" w:tentative="0">
      <w:start w:val="1"/>
      <w:numFmt w:val="decimal"/>
      <w:suff w:val="nothing"/>
      <w:lvlText w:val="（%1）"/>
      <w:lvlJc w:val="left"/>
    </w:lvl>
  </w:abstractNum>
  <w:abstractNum w:abstractNumId="45">
    <w:nsid w:val="62AA806D"/>
    <w:multiLevelType w:val="singleLevel"/>
    <w:tmpl w:val="62AA806D"/>
    <w:lvl w:ilvl="0" w:tentative="0">
      <w:start w:val="1"/>
      <w:numFmt w:val="decimal"/>
      <w:lvlText w:val="表4-%1"/>
      <w:lvlJc w:val="left"/>
      <w:pPr>
        <w:tabs>
          <w:tab w:val="left" w:pos="420"/>
        </w:tabs>
        <w:ind w:left="425" w:leftChars="0" w:hanging="425" w:firstLineChars="0"/>
      </w:pPr>
      <w:rPr>
        <w:rFonts w:hint="default"/>
        <w:b/>
        <w:bCs/>
        <w:sz w:val="24"/>
        <w:szCs w:val="24"/>
      </w:rPr>
    </w:lvl>
  </w:abstractNum>
  <w:abstractNum w:abstractNumId="46">
    <w:nsid w:val="71DE203D"/>
    <w:multiLevelType w:val="singleLevel"/>
    <w:tmpl w:val="71DE203D"/>
    <w:lvl w:ilvl="0" w:tentative="0">
      <w:start w:val="1"/>
      <w:numFmt w:val="decimalEnclosedCircleChinese"/>
      <w:suff w:val="nothing"/>
      <w:lvlText w:val="%1　"/>
      <w:lvlJc w:val="left"/>
      <w:pPr>
        <w:ind w:left="0" w:firstLine="400"/>
      </w:pPr>
      <w:rPr>
        <w:rFonts w:hint="eastAsia"/>
      </w:rPr>
    </w:lvl>
  </w:abstractNum>
  <w:abstractNum w:abstractNumId="47">
    <w:nsid w:val="79973A19"/>
    <w:multiLevelType w:val="singleLevel"/>
    <w:tmpl w:val="79973A19"/>
    <w:lvl w:ilvl="0" w:tentative="0">
      <w:start w:val="1"/>
      <w:numFmt w:val="decimal"/>
      <w:lvlText w:val="%1."/>
      <w:lvlJc w:val="left"/>
      <w:pPr>
        <w:ind w:left="425" w:hanging="425"/>
      </w:pPr>
      <w:rPr>
        <w:rFonts w:hint="default"/>
      </w:rPr>
    </w:lvl>
  </w:abstractNum>
  <w:abstractNum w:abstractNumId="48">
    <w:nsid w:val="79EB4547"/>
    <w:multiLevelType w:val="singleLevel"/>
    <w:tmpl w:val="79EB4547"/>
    <w:lvl w:ilvl="0" w:tentative="0">
      <w:start w:val="1"/>
      <w:numFmt w:val="decimal"/>
      <w:suff w:val="nothing"/>
      <w:lvlText w:val="（%1）"/>
      <w:lvlJc w:val="left"/>
    </w:lvl>
  </w:abstractNum>
  <w:num w:numId="1">
    <w:abstractNumId w:val="3"/>
  </w:num>
  <w:num w:numId="2">
    <w:abstractNumId w:val="34"/>
  </w:num>
  <w:num w:numId="3">
    <w:abstractNumId w:val="17"/>
  </w:num>
  <w:num w:numId="4">
    <w:abstractNumId w:val="43"/>
  </w:num>
  <w:num w:numId="5">
    <w:abstractNumId w:val="15"/>
  </w:num>
  <w:num w:numId="6">
    <w:abstractNumId w:val="35"/>
  </w:num>
  <w:num w:numId="7">
    <w:abstractNumId w:val="40"/>
  </w:num>
  <w:num w:numId="8">
    <w:abstractNumId w:val="41"/>
  </w:num>
  <w:num w:numId="9">
    <w:abstractNumId w:val="16"/>
  </w:num>
  <w:num w:numId="10">
    <w:abstractNumId w:val="24"/>
  </w:num>
  <w:num w:numId="11">
    <w:abstractNumId w:val="19"/>
  </w:num>
  <w:num w:numId="12">
    <w:abstractNumId w:val="20"/>
  </w:num>
  <w:num w:numId="13">
    <w:abstractNumId w:val="7"/>
  </w:num>
  <w:num w:numId="14">
    <w:abstractNumId w:val="4"/>
  </w:num>
  <w:num w:numId="15">
    <w:abstractNumId w:val="10"/>
  </w:num>
  <w:num w:numId="16">
    <w:abstractNumId w:val="8"/>
  </w:num>
  <w:num w:numId="17">
    <w:abstractNumId w:val="42"/>
  </w:num>
  <w:num w:numId="18">
    <w:abstractNumId w:val="30"/>
  </w:num>
  <w:num w:numId="19">
    <w:abstractNumId w:val="31"/>
  </w:num>
  <w:num w:numId="20">
    <w:abstractNumId w:val="2"/>
  </w:num>
  <w:num w:numId="21">
    <w:abstractNumId w:val="1"/>
  </w:num>
  <w:num w:numId="22">
    <w:abstractNumId w:val="0"/>
  </w:num>
  <w:num w:numId="23">
    <w:abstractNumId w:val="25"/>
  </w:num>
  <w:num w:numId="24">
    <w:abstractNumId w:val="6"/>
  </w:num>
  <w:num w:numId="25">
    <w:abstractNumId w:val="23"/>
  </w:num>
  <w:num w:numId="26">
    <w:abstractNumId w:val="33"/>
  </w:num>
  <w:num w:numId="27">
    <w:abstractNumId w:val="44"/>
  </w:num>
  <w:num w:numId="28">
    <w:abstractNumId w:val="14"/>
  </w:num>
  <w:num w:numId="29">
    <w:abstractNumId w:val="11"/>
  </w:num>
  <w:num w:numId="30">
    <w:abstractNumId w:val="13"/>
  </w:num>
  <w:num w:numId="31">
    <w:abstractNumId w:val="39"/>
  </w:num>
  <w:num w:numId="32">
    <w:abstractNumId w:val="28"/>
  </w:num>
  <w:num w:numId="33">
    <w:abstractNumId w:val="47"/>
  </w:num>
  <w:num w:numId="34">
    <w:abstractNumId w:val="46"/>
  </w:num>
  <w:num w:numId="35">
    <w:abstractNumId w:val="37"/>
  </w:num>
  <w:num w:numId="36">
    <w:abstractNumId w:val="48"/>
  </w:num>
  <w:num w:numId="37">
    <w:abstractNumId w:val="26"/>
  </w:num>
  <w:num w:numId="38">
    <w:abstractNumId w:val="5"/>
  </w:num>
  <w:num w:numId="39">
    <w:abstractNumId w:val="32"/>
  </w:num>
  <w:num w:numId="40">
    <w:abstractNumId w:val="45"/>
  </w:num>
  <w:num w:numId="41">
    <w:abstractNumId w:val="29"/>
  </w:num>
  <w:num w:numId="42">
    <w:abstractNumId w:val="38"/>
  </w:num>
  <w:num w:numId="43">
    <w:abstractNumId w:val="18"/>
  </w:num>
  <w:num w:numId="44">
    <w:abstractNumId w:val="27"/>
  </w:num>
  <w:num w:numId="45">
    <w:abstractNumId w:val="36"/>
  </w:num>
  <w:num w:numId="46">
    <w:abstractNumId w:val="22"/>
  </w:num>
  <w:num w:numId="47">
    <w:abstractNumId w:val="9"/>
  </w:num>
  <w:num w:numId="48">
    <w:abstractNumId w:val="12"/>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1MGU1ODJlYWE2ODNmZmM4MWJmY2Y4Njg1NDk5ZDgifQ=="/>
  </w:docVars>
  <w:rsids>
    <w:rsidRoot w:val="00172A27"/>
    <w:rsid w:val="00042383"/>
    <w:rsid w:val="00076791"/>
    <w:rsid w:val="000A002F"/>
    <w:rsid w:val="000C1FF9"/>
    <w:rsid w:val="000D49EA"/>
    <w:rsid w:val="00103897"/>
    <w:rsid w:val="0011590D"/>
    <w:rsid w:val="0011760F"/>
    <w:rsid w:val="00172A27"/>
    <w:rsid w:val="001D7D62"/>
    <w:rsid w:val="00212CDA"/>
    <w:rsid w:val="00214EA5"/>
    <w:rsid w:val="00225A44"/>
    <w:rsid w:val="00236FBD"/>
    <w:rsid w:val="00247343"/>
    <w:rsid w:val="00294959"/>
    <w:rsid w:val="002B06D1"/>
    <w:rsid w:val="00305CE7"/>
    <w:rsid w:val="00307A95"/>
    <w:rsid w:val="00360E24"/>
    <w:rsid w:val="00381040"/>
    <w:rsid w:val="003C28DE"/>
    <w:rsid w:val="003F417C"/>
    <w:rsid w:val="00417EF4"/>
    <w:rsid w:val="00425A1B"/>
    <w:rsid w:val="00441793"/>
    <w:rsid w:val="00443541"/>
    <w:rsid w:val="00446D34"/>
    <w:rsid w:val="0046550B"/>
    <w:rsid w:val="00473031"/>
    <w:rsid w:val="00475BFE"/>
    <w:rsid w:val="00490B57"/>
    <w:rsid w:val="004C0647"/>
    <w:rsid w:val="004E43BF"/>
    <w:rsid w:val="00501B2B"/>
    <w:rsid w:val="005319D6"/>
    <w:rsid w:val="00544619"/>
    <w:rsid w:val="0055574E"/>
    <w:rsid w:val="00577718"/>
    <w:rsid w:val="005A0FB6"/>
    <w:rsid w:val="005A7208"/>
    <w:rsid w:val="005C4D2E"/>
    <w:rsid w:val="006336EF"/>
    <w:rsid w:val="00635B77"/>
    <w:rsid w:val="006360BD"/>
    <w:rsid w:val="0066749F"/>
    <w:rsid w:val="00683FF1"/>
    <w:rsid w:val="006911F9"/>
    <w:rsid w:val="006F7850"/>
    <w:rsid w:val="007402CA"/>
    <w:rsid w:val="0078768E"/>
    <w:rsid w:val="0083050D"/>
    <w:rsid w:val="00844285"/>
    <w:rsid w:val="00846033"/>
    <w:rsid w:val="00867FFD"/>
    <w:rsid w:val="00885B23"/>
    <w:rsid w:val="008C6C96"/>
    <w:rsid w:val="008D313A"/>
    <w:rsid w:val="009224FE"/>
    <w:rsid w:val="009269A2"/>
    <w:rsid w:val="00937981"/>
    <w:rsid w:val="009A13B3"/>
    <w:rsid w:val="009A63EB"/>
    <w:rsid w:val="009A7605"/>
    <w:rsid w:val="009E4D10"/>
    <w:rsid w:val="00A13691"/>
    <w:rsid w:val="00A36E92"/>
    <w:rsid w:val="00A41184"/>
    <w:rsid w:val="00A81D22"/>
    <w:rsid w:val="00AE30C4"/>
    <w:rsid w:val="00AF1302"/>
    <w:rsid w:val="00B2494E"/>
    <w:rsid w:val="00B74651"/>
    <w:rsid w:val="00B76409"/>
    <w:rsid w:val="00B93F2F"/>
    <w:rsid w:val="00BA0E00"/>
    <w:rsid w:val="00BE1545"/>
    <w:rsid w:val="00C33E5A"/>
    <w:rsid w:val="00C528D4"/>
    <w:rsid w:val="00C621A8"/>
    <w:rsid w:val="00CB77BE"/>
    <w:rsid w:val="00CE26AE"/>
    <w:rsid w:val="00CF5500"/>
    <w:rsid w:val="00D40D69"/>
    <w:rsid w:val="00D479B0"/>
    <w:rsid w:val="00D82C72"/>
    <w:rsid w:val="00DA0C51"/>
    <w:rsid w:val="00DB32E3"/>
    <w:rsid w:val="00DD3279"/>
    <w:rsid w:val="00DE079A"/>
    <w:rsid w:val="00E05F53"/>
    <w:rsid w:val="00EB60B2"/>
    <w:rsid w:val="00ED33C1"/>
    <w:rsid w:val="00EF7950"/>
    <w:rsid w:val="00F036C9"/>
    <w:rsid w:val="00F30697"/>
    <w:rsid w:val="00F443C8"/>
    <w:rsid w:val="00FB62F5"/>
    <w:rsid w:val="00FC206D"/>
    <w:rsid w:val="010417EE"/>
    <w:rsid w:val="010827C0"/>
    <w:rsid w:val="010F3B4F"/>
    <w:rsid w:val="01154EDD"/>
    <w:rsid w:val="011963C9"/>
    <w:rsid w:val="011B2E8F"/>
    <w:rsid w:val="01214EA6"/>
    <w:rsid w:val="01233A9E"/>
    <w:rsid w:val="012515C4"/>
    <w:rsid w:val="012958F6"/>
    <w:rsid w:val="012B64AF"/>
    <w:rsid w:val="01325A8F"/>
    <w:rsid w:val="01331319"/>
    <w:rsid w:val="01341807"/>
    <w:rsid w:val="0136557F"/>
    <w:rsid w:val="01395070"/>
    <w:rsid w:val="01396E1E"/>
    <w:rsid w:val="013B1D7A"/>
    <w:rsid w:val="013C690E"/>
    <w:rsid w:val="01420154"/>
    <w:rsid w:val="01437EC0"/>
    <w:rsid w:val="01453A14"/>
    <w:rsid w:val="01464FA1"/>
    <w:rsid w:val="0147778C"/>
    <w:rsid w:val="01483505"/>
    <w:rsid w:val="014852B3"/>
    <w:rsid w:val="01497B84"/>
    <w:rsid w:val="014F219D"/>
    <w:rsid w:val="014F6641"/>
    <w:rsid w:val="01565DA4"/>
    <w:rsid w:val="015A3E73"/>
    <w:rsid w:val="016420B7"/>
    <w:rsid w:val="01664E35"/>
    <w:rsid w:val="01687703"/>
    <w:rsid w:val="01695955"/>
    <w:rsid w:val="016C0FA1"/>
    <w:rsid w:val="017165B7"/>
    <w:rsid w:val="017716F4"/>
    <w:rsid w:val="017C6D0A"/>
    <w:rsid w:val="017D4F5C"/>
    <w:rsid w:val="017E6F26"/>
    <w:rsid w:val="01852063"/>
    <w:rsid w:val="01863CD4"/>
    <w:rsid w:val="018750D4"/>
    <w:rsid w:val="018856AF"/>
    <w:rsid w:val="01910A08"/>
    <w:rsid w:val="0196601E"/>
    <w:rsid w:val="01967DCC"/>
    <w:rsid w:val="01A324E9"/>
    <w:rsid w:val="01A506ED"/>
    <w:rsid w:val="01A73D87"/>
    <w:rsid w:val="01A81D9E"/>
    <w:rsid w:val="01A85D51"/>
    <w:rsid w:val="01AC1704"/>
    <w:rsid w:val="01AF5332"/>
    <w:rsid w:val="01B446F6"/>
    <w:rsid w:val="01B666C0"/>
    <w:rsid w:val="01B80C08"/>
    <w:rsid w:val="01B85F94"/>
    <w:rsid w:val="01BB5A85"/>
    <w:rsid w:val="01BD17FD"/>
    <w:rsid w:val="01BD7A4F"/>
    <w:rsid w:val="01C20BC1"/>
    <w:rsid w:val="01C34939"/>
    <w:rsid w:val="01CA3F1A"/>
    <w:rsid w:val="01CF32DE"/>
    <w:rsid w:val="01D152A8"/>
    <w:rsid w:val="01D1627A"/>
    <w:rsid w:val="01D17056"/>
    <w:rsid w:val="01D408F4"/>
    <w:rsid w:val="01E07623"/>
    <w:rsid w:val="01E66FA5"/>
    <w:rsid w:val="01E857F1"/>
    <w:rsid w:val="01E90844"/>
    <w:rsid w:val="01EB6738"/>
    <w:rsid w:val="01F01BD2"/>
    <w:rsid w:val="01F176F8"/>
    <w:rsid w:val="01F571E8"/>
    <w:rsid w:val="01F62F61"/>
    <w:rsid w:val="01FA47FF"/>
    <w:rsid w:val="01FB2325"/>
    <w:rsid w:val="02000D3F"/>
    <w:rsid w:val="02025461"/>
    <w:rsid w:val="02027416"/>
    <w:rsid w:val="020372A9"/>
    <w:rsid w:val="0204742C"/>
    <w:rsid w:val="02072A78"/>
    <w:rsid w:val="020D21BB"/>
    <w:rsid w:val="020E02AA"/>
    <w:rsid w:val="020F621C"/>
    <w:rsid w:val="02140D77"/>
    <w:rsid w:val="021653B1"/>
    <w:rsid w:val="0216715F"/>
    <w:rsid w:val="02180623"/>
    <w:rsid w:val="02191E9F"/>
    <w:rsid w:val="021A09FD"/>
    <w:rsid w:val="021C23A2"/>
    <w:rsid w:val="02235B22"/>
    <w:rsid w:val="0229022E"/>
    <w:rsid w:val="02291994"/>
    <w:rsid w:val="022C5744"/>
    <w:rsid w:val="02301FCF"/>
    <w:rsid w:val="02337D11"/>
    <w:rsid w:val="023615AF"/>
    <w:rsid w:val="0236335D"/>
    <w:rsid w:val="02380E83"/>
    <w:rsid w:val="023F0464"/>
    <w:rsid w:val="02454286"/>
    <w:rsid w:val="02467A44"/>
    <w:rsid w:val="02480AFD"/>
    <w:rsid w:val="02493090"/>
    <w:rsid w:val="02502671"/>
    <w:rsid w:val="025263E9"/>
    <w:rsid w:val="02553FCA"/>
    <w:rsid w:val="025658D6"/>
    <w:rsid w:val="025739FF"/>
    <w:rsid w:val="025926C3"/>
    <w:rsid w:val="025D4572"/>
    <w:rsid w:val="0261487E"/>
    <w:rsid w:val="02624152"/>
    <w:rsid w:val="026305F6"/>
    <w:rsid w:val="02641C78"/>
    <w:rsid w:val="026E0D49"/>
    <w:rsid w:val="0273635F"/>
    <w:rsid w:val="027427F8"/>
    <w:rsid w:val="027D0F8C"/>
    <w:rsid w:val="027D288D"/>
    <w:rsid w:val="027D71DE"/>
    <w:rsid w:val="027F2F56"/>
    <w:rsid w:val="028B18FB"/>
    <w:rsid w:val="02900CBF"/>
    <w:rsid w:val="029511B3"/>
    <w:rsid w:val="0295277A"/>
    <w:rsid w:val="0295339B"/>
    <w:rsid w:val="02954528"/>
    <w:rsid w:val="029562D6"/>
    <w:rsid w:val="029C3B08"/>
    <w:rsid w:val="029F53A6"/>
    <w:rsid w:val="02A12ECC"/>
    <w:rsid w:val="02A227A1"/>
    <w:rsid w:val="02AB256F"/>
    <w:rsid w:val="02AD7AC3"/>
    <w:rsid w:val="02B06E10"/>
    <w:rsid w:val="02B26E88"/>
    <w:rsid w:val="02B40E52"/>
    <w:rsid w:val="02B7624C"/>
    <w:rsid w:val="02B83DDE"/>
    <w:rsid w:val="02B8562E"/>
    <w:rsid w:val="02BA21E0"/>
    <w:rsid w:val="02BC1AB4"/>
    <w:rsid w:val="02BD28BB"/>
    <w:rsid w:val="02C31095"/>
    <w:rsid w:val="02C57001"/>
    <w:rsid w:val="02C72207"/>
    <w:rsid w:val="02CA1EB1"/>
    <w:rsid w:val="02CB1CF7"/>
    <w:rsid w:val="02CD38AA"/>
    <w:rsid w:val="02CF7A3A"/>
    <w:rsid w:val="02D21D84"/>
    <w:rsid w:val="02D74B40"/>
    <w:rsid w:val="02DE0C76"/>
    <w:rsid w:val="02DF1815"/>
    <w:rsid w:val="02E14102"/>
    <w:rsid w:val="02E90BCF"/>
    <w:rsid w:val="02F23728"/>
    <w:rsid w:val="030516AD"/>
    <w:rsid w:val="03060F81"/>
    <w:rsid w:val="03082F4B"/>
    <w:rsid w:val="03083819"/>
    <w:rsid w:val="03097F81"/>
    <w:rsid w:val="030A0A72"/>
    <w:rsid w:val="030E7E36"/>
    <w:rsid w:val="03117E77"/>
    <w:rsid w:val="03124D54"/>
    <w:rsid w:val="0317318F"/>
    <w:rsid w:val="031D6EFB"/>
    <w:rsid w:val="031E276F"/>
    <w:rsid w:val="031F2043"/>
    <w:rsid w:val="031F2C3C"/>
    <w:rsid w:val="032338E1"/>
    <w:rsid w:val="03241F4C"/>
    <w:rsid w:val="03247659"/>
    <w:rsid w:val="032558AB"/>
    <w:rsid w:val="03276338"/>
    <w:rsid w:val="032D650E"/>
    <w:rsid w:val="032F04D8"/>
    <w:rsid w:val="033311CF"/>
    <w:rsid w:val="03377AA2"/>
    <w:rsid w:val="03380F32"/>
    <w:rsid w:val="033835B9"/>
    <w:rsid w:val="03400B54"/>
    <w:rsid w:val="03404493"/>
    <w:rsid w:val="03411FB9"/>
    <w:rsid w:val="03433F84"/>
    <w:rsid w:val="03435D32"/>
    <w:rsid w:val="03455F4E"/>
    <w:rsid w:val="03457CFC"/>
    <w:rsid w:val="034D6BB0"/>
    <w:rsid w:val="034F46D6"/>
    <w:rsid w:val="03595555"/>
    <w:rsid w:val="035B12CD"/>
    <w:rsid w:val="035C6DF3"/>
    <w:rsid w:val="035E789D"/>
    <w:rsid w:val="03634626"/>
    <w:rsid w:val="036363D4"/>
    <w:rsid w:val="036439CE"/>
    <w:rsid w:val="03675EC4"/>
    <w:rsid w:val="036B6BBE"/>
    <w:rsid w:val="036D2DAF"/>
    <w:rsid w:val="036E446E"/>
    <w:rsid w:val="03760E3D"/>
    <w:rsid w:val="03824AAC"/>
    <w:rsid w:val="03885E3A"/>
    <w:rsid w:val="038A1CB4"/>
    <w:rsid w:val="038D16A3"/>
    <w:rsid w:val="038D51FF"/>
    <w:rsid w:val="038F71C9"/>
    <w:rsid w:val="03962305"/>
    <w:rsid w:val="03977E2B"/>
    <w:rsid w:val="03993BA4"/>
    <w:rsid w:val="039C5442"/>
    <w:rsid w:val="039E42B2"/>
    <w:rsid w:val="03A2514E"/>
    <w:rsid w:val="03A52548"/>
    <w:rsid w:val="03AF1619"/>
    <w:rsid w:val="03B24E15"/>
    <w:rsid w:val="03B66504"/>
    <w:rsid w:val="03B70B69"/>
    <w:rsid w:val="03B96EA9"/>
    <w:rsid w:val="03BB7FBE"/>
    <w:rsid w:val="03C2134C"/>
    <w:rsid w:val="03C9092D"/>
    <w:rsid w:val="03CA1FAF"/>
    <w:rsid w:val="03CD3AA3"/>
    <w:rsid w:val="03CE7CF1"/>
    <w:rsid w:val="03D177E1"/>
    <w:rsid w:val="03D33559"/>
    <w:rsid w:val="03D35307"/>
    <w:rsid w:val="03D472D2"/>
    <w:rsid w:val="03D80B70"/>
    <w:rsid w:val="03DB0660"/>
    <w:rsid w:val="03DB41BC"/>
    <w:rsid w:val="03E017D2"/>
    <w:rsid w:val="03EA43FF"/>
    <w:rsid w:val="03F37758"/>
    <w:rsid w:val="03F67248"/>
    <w:rsid w:val="03FB03BA"/>
    <w:rsid w:val="03FE03B1"/>
    <w:rsid w:val="03FF434E"/>
    <w:rsid w:val="03FF60FC"/>
    <w:rsid w:val="0402799B"/>
    <w:rsid w:val="04090D29"/>
    <w:rsid w:val="040A2CF3"/>
    <w:rsid w:val="040B458F"/>
    <w:rsid w:val="041871BE"/>
    <w:rsid w:val="04194CE4"/>
    <w:rsid w:val="04275653"/>
    <w:rsid w:val="042A0CA0"/>
    <w:rsid w:val="042B26C2"/>
    <w:rsid w:val="04301D26"/>
    <w:rsid w:val="043128C5"/>
    <w:rsid w:val="04333FF8"/>
    <w:rsid w:val="043349B6"/>
    <w:rsid w:val="04334F81"/>
    <w:rsid w:val="04335DA6"/>
    <w:rsid w:val="043868A8"/>
    <w:rsid w:val="043A1A2F"/>
    <w:rsid w:val="043B2771"/>
    <w:rsid w:val="043F299D"/>
    <w:rsid w:val="04463D2B"/>
    <w:rsid w:val="04470273"/>
    <w:rsid w:val="04477AA3"/>
    <w:rsid w:val="044E0E32"/>
    <w:rsid w:val="04510922"/>
    <w:rsid w:val="045521C0"/>
    <w:rsid w:val="04561A95"/>
    <w:rsid w:val="04581CB1"/>
    <w:rsid w:val="04590024"/>
    <w:rsid w:val="045B70AB"/>
    <w:rsid w:val="045D72C7"/>
    <w:rsid w:val="045F303F"/>
    <w:rsid w:val="0462668B"/>
    <w:rsid w:val="046441B2"/>
    <w:rsid w:val="04657F2A"/>
    <w:rsid w:val="04695C6C"/>
    <w:rsid w:val="0471044C"/>
    <w:rsid w:val="04781A0B"/>
    <w:rsid w:val="04784101"/>
    <w:rsid w:val="04785EAF"/>
    <w:rsid w:val="047A7F1E"/>
    <w:rsid w:val="047C3421"/>
    <w:rsid w:val="047C599F"/>
    <w:rsid w:val="047D1717"/>
    <w:rsid w:val="04842AA6"/>
    <w:rsid w:val="048A5A25"/>
    <w:rsid w:val="048B5B27"/>
    <w:rsid w:val="048F0F53"/>
    <w:rsid w:val="049031F8"/>
    <w:rsid w:val="04926F71"/>
    <w:rsid w:val="04934A97"/>
    <w:rsid w:val="04936845"/>
    <w:rsid w:val="049D3B67"/>
    <w:rsid w:val="04A13CAC"/>
    <w:rsid w:val="04A171B4"/>
    <w:rsid w:val="04A3117E"/>
    <w:rsid w:val="04A863DD"/>
    <w:rsid w:val="04A942BA"/>
    <w:rsid w:val="04AB3B8E"/>
    <w:rsid w:val="04AE7B23"/>
    <w:rsid w:val="04B8274F"/>
    <w:rsid w:val="04BB2116"/>
    <w:rsid w:val="04BD38C2"/>
    <w:rsid w:val="04C00734"/>
    <w:rsid w:val="04C133B2"/>
    <w:rsid w:val="04D43423"/>
    <w:rsid w:val="04D96D31"/>
    <w:rsid w:val="04E3586E"/>
    <w:rsid w:val="04EA6DAD"/>
    <w:rsid w:val="04ED23F9"/>
    <w:rsid w:val="04F027A9"/>
    <w:rsid w:val="04F274F3"/>
    <w:rsid w:val="04F27A0F"/>
    <w:rsid w:val="04FD0162"/>
    <w:rsid w:val="05080FE1"/>
    <w:rsid w:val="050D4849"/>
    <w:rsid w:val="050E015C"/>
    <w:rsid w:val="051756C8"/>
    <w:rsid w:val="05177D7E"/>
    <w:rsid w:val="051931EE"/>
    <w:rsid w:val="051A0D14"/>
    <w:rsid w:val="051C4A8C"/>
    <w:rsid w:val="051C683A"/>
    <w:rsid w:val="051F632A"/>
    <w:rsid w:val="051F7A75"/>
    <w:rsid w:val="05236321"/>
    <w:rsid w:val="0524048F"/>
    <w:rsid w:val="05241B93"/>
    <w:rsid w:val="05257DE5"/>
    <w:rsid w:val="052851DF"/>
    <w:rsid w:val="052B1173"/>
    <w:rsid w:val="052D4EEB"/>
    <w:rsid w:val="0530678A"/>
    <w:rsid w:val="05340028"/>
    <w:rsid w:val="05341DD6"/>
    <w:rsid w:val="0539188E"/>
    <w:rsid w:val="053973EC"/>
    <w:rsid w:val="053C081B"/>
    <w:rsid w:val="053C512E"/>
    <w:rsid w:val="053C6A73"/>
    <w:rsid w:val="053C7CB9"/>
    <w:rsid w:val="053E74DA"/>
    <w:rsid w:val="05412745"/>
    <w:rsid w:val="0548762F"/>
    <w:rsid w:val="05544226"/>
    <w:rsid w:val="0559183C"/>
    <w:rsid w:val="055C757F"/>
    <w:rsid w:val="055E2512"/>
    <w:rsid w:val="0560706F"/>
    <w:rsid w:val="05656433"/>
    <w:rsid w:val="056F1060"/>
    <w:rsid w:val="057448C8"/>
    <w:rsid w:val="0577215D"/>
    <w:rsid w:val="05776166"/>
    <w:rsid w:val="057A17B3"/>
    <w:rsid w:val="057C19CF"/>
    <w:rsid w:val="057E5243"/>
    <w:rsid w:val="0580326D"/>
    <w:rsid w:val="05812B41"/>
    <w:rsid w:val="05832D5D"/>
    <w:rsid w:val="05834B0B"/>
    <w:rsid w:val="05850883"/>
    <w:rsid w:val="0591547A"/>
    <w:rsid w:val="05946D18"/>
    <w:rsid w:val="059D3E1F"/>
    <w:rsid w:val="05A01219"/>
    <w:rsid w:val="05A21435"/>
    <w:rsid w:val="05A31CFB"/>
    <w:rsid w:val="05A36F5B"/>
    <w:rsid w:val="05A47E39"/>
    <w:rsid w:val="05A54A82"/>
    <w:rsid w:val="05A64CE0"/>
    <w:rsid w:val="05AA02EA"/>
    <w:rsid w:val="05AA653C"/>
    <w:rsid w:val="05AC4062"/>
    <w:rsid w:val="05AD3936"/>
    <w:rsid w:val="05B12AB7"/>
    <w:rsid w:val="05B1320D"/>
    <w:rsid w:val="05B461E1"/>
    <w:rsid w:val="05B66C8F"/>
    <w:rsid w:val="05BD626F"/>
    <w:rsid w:val="05BE2530"/>
    <w:rsid w:val="05C0366A"/>
    <w:rsid w:val="05C25634"/>
    <w:rsid w:val="05C63706"/>
    <w:rsid w:val="05C70E9C"/>
    <w:rsid w:val="05CA098C"/>
    <w:rsid w:val="05CB0A83"/>
    <w:rsid w:val="05CF2FDE"/>
    <w:rsid w:val="05CF7D50"/>
    <w:rsid w:val="05D13AC9"/>
    <w:rsid w:val="05D43ADD"/>
    <w:rsid w:val="05D47115"/>
    <w:rsid w:val="05DC58AA"/>
    <w:rsid w:val="05DD246D"/>
    <w:rsid w:val="05DE61E6"/>
    <w:rsid w:val="05DF62C8"/>
    <w:rsid w:val="05E042B0"/>
    <w:rsid w:val="05E239E4"/>
    <w:rsid w:val="05E74E14"/>
    <w:rsid w:val="05EA6938"/>
    <w:rsid w:val="05EA6F2B"/>
    <w:rsid w:val="05EC0902"/>
    <w:rsid w:val="05EC4069"/>
    <w:rsid w:val="05F45A09"/>
    <w:rsid w:val="05F67F28"/>
    <w:rsid w:val="05F72E03"/>
    <w:rsid w:val="05FC2474"/>
    <w:rsid w:val="05FC4B31"/>
    <w:rsid w:val="05FE0636"/>
    <w:rsid w:val="06011662"/>
    <w:rsid w:val="06055520"/>
    <w:rsid w:val="06071754"/>
    <w:rsid w:val="06085010"/>
    <w:rsid w:val="060C045C"/>
    <w:rsid w:val="060C2D53"/>
    <w:rsid w:val="060C68AF"/>
    <w:rsid w:val="060E0879"/>
    <w:rsid w:val="060F2843"/>
    <w:rsid w:val="06131F48"/>
    <w:rsid w:val="061754B1"/>
    <w:rsid w:val="061834A6"/>
    <w:rsid w:val="0619141B"/>
    <w:rsid w:val="061C50A9"/>
    <w:rsid w:val="061C5AAE"/>
    <w:rsid w:val="061D286A"/>
    <w:rsid w:val="061D6D0E"/>
    <w:rsid w:val="062005AC"/>
    <w:rsid w:val="062B0EAC"/>
    <w:rsid w:val="062C21B1"/>
    <w:rsid w:val="062C6F51"/>
    <w:rsid w:val="06336531"/>
    <w:rsid w:val="063858F6"/>
    <w:rsid w:val="06396850"/>
    <w:rsid w:val="063F594E"/>
    <w:rsid w:val="0642670C"/>
    <w:rsid w:val="06451DC1"/>
    <w:rsid w:val="064614D7"/>
    <w:rsid w:val="06475B39"/>
    <w:rsid w:val="064921AF"/>
    <w:rsid w:val="064A7D7E"/>
    <w:rsid w:val="064E306E"/>
    <w:rsid w:val="064E336B"/>
    <w:rsid w:val="064F2365"/>
    <w:rsid w:val="065169B7"/>
    <w:rsid w:val="06540256"/>
    <w:rsid w:val="0654294E"/>
    <w:rsid w:val="06565D7C"/>
    <w:rsid w:val="06590829"/>
    <w:rsid w:val="065C448B"/>
    <w:rsid w:val="065F10D4"/>
    <w:rsid w:val="06654211"/>
    <w:rsid w:val="06655EF0"/>
    <w:rsid w:val="066806ED"/>
    <w:rsid w:val="06691F53"/>
    <w:rsid w:val="06694317"/>
    <w:rsid w:val="066B3BEC"/>
    <w:rsid w:val="066D1D8C"/>
    <w:rsid w:val="066E57BB"/>
    <w:rsid w:val="067313A5"/>
    <w:rsid w:val="067A4160"/>
    <w:rsid w:val="067A5F0E"/>
    <w:rsid w:val="067F1777"/>
    <w:rsid w:val="067F52D3"/>
    <w:rsid w:val="068602C1"/>
    <w:rsid w:val="06872F1A"/>
    <w:rsid w:val="068872E6"/>
    <w:rsid w:val="068F128E"/>
    <w:rsid w:val="069074E0"/>
    <w:rsid w:val="06911C3B"/>
    <w:rsid w:val="06935222"/>
    <w:rsid w:val="06966BB5"/>
    <w:rsid w:val="06982838"/>
    <w:rsid w:val="06A05249"/>
    <w:rsid w:val="06A12870"/>
    <w:rsid w:val="06AB431A"/>
    <w:rsid w:val="06AE06DA"/>
    <w:rsid w:val="06AE3E0A"/>
    <w:rsid w:val="06B01930"/>
    <w:rsid w:val="06B37672"/>
    <w:rsid w:val="06B43D0A"/>
    <w:rsid w:val="06B72BC7"/>
    <w:rsid w:val="06C1141B"/>
    <w:rsid w:val="06C26280"/>
    <w:rsid w:val="06C61153"/>
    <w:rsid w:val="06C70A28"/>
    <w:rsid w:val="06CE3D7C"/>
    <w:rsid w:val="06D01FD2"/>
    <w:rsid w:val="06D03D80"/>
    <w:rsid w:val="06D067E2"/>
    <w:rsid w:val="06D111D0"/>
    <w:rsid w:val="06D33870"/>
    <w:rsid w:val="06D870D9"/>
    <w:rsid w:val="06E03F5B"/>
    <w:rsid w:val="06E4782C"/>
    <w:rsid w:val="06EA6EE5"/>
    <w:rsid w:val="06EE06AA"/>
    <w:rsid w:val="06F061D0"/>
    <w:rsid w:val="06F2019A"/>
    <w:rsid w:val="06F20FC3"/>
    <w:rsid w:val="06F3181D"/>
    <w:rsid w:val="06F85F55"/>
    <w:rsid w:val="06FF3E10"/>
    <w:rsid w:val="07025814"/>
    <w:rsid w:val="07047ECE"/>
    <w:rsid w:val="07061550"/>
    <w:rsid w:val="070954E4"/>
    <w:rsid w:val="070B3997"/>
    <w:rsid w:val="070D0B30"/>
    <w:rsid w:val="07146C2B"/>
    <w:rsid w:val="07153E89"/>
    <w:rsid w:val="071623D5"/>
    <w:rsid w:val="071A4FFB"/>
    <w:rsid w:val="071D689A"/>
    <w:rsid w:val="071E2D3E"/>
    <w:rsid w:val="071F3380"/>
    <w:rsid w:val="0721638A"/>
    <w:rsid w:val="07222102"/>
    <w:rsid w:val="072639A0"/>
    <w:rsid w:val="072702BE"/>
    <w:rsid w:val="07283BBC"/>
    <w:rsid w:val="072916E2"/>
    <w:rsid w:val="072E5A65"/>
    <w:rsid w:val="072F2CD8"/>
    <w:rsid w:val="07342561"/>
    <w:rsid w:val="0736405C"/>
    <w:rsid w:val="07373DFF"/>
    <w:rsid w:val="073A744C"/>
    <w:rsid w:val="073C1416"/>
    <w:rsid w:val="073C7668"/>
    <w:rsid w:val="073F0F06"/>
    <w:rsid w:val="0744651C"/>
    <w:rsid w:val="07462294"/>
    <w:rsid w:val="07465DF0"/>
    <w:rsid w:val="074A1D85"/>
    <w:rsid w:val="074A3B33"/>
    <w:rsid w:val="074B3407"/>
    <w:rsid w:val="074D3623"/>
    <w:rsid w:val="07524795"/>
    <w:rsid w:val="0753050D"/>
    <w:rsid w:val="075514AC"/>
    <w:rsid w:val="07585D35"/>
    <w:rsid w:val="075B5D40"/>
    <w:rsid w:val="075E138C"/>
    <w:rsid w:val="075E75DE"/>
    <w:rsid w:val="075F5104"/>
    <w:rsid w:val="075F6EB2"/>
    <w:rsid w:val="07603356"/>
    <w:rsid w:val="076444C8"/>
    <w:rsid w:val="076646E5"/>
    <w:rsid w:val="07697D31"/>
    <w:rsid w:val="076B1CFB"/>
    <w:rsid w:val="076B3AA9"/>
    <w:rsid w:val="076D7821"/>
    <w:rsid w:val="0774305B"/>
    <w:rsid w:val="077527CF"/>
    <w:rsid w:val="07762B7A"/>
    <w:rsid w:val="0777244E"/>
    <w:rsid w:val="07795B6B"/>
    <w:rsid w:val="077C3C20"/>
    <w:rsid w:val="077E558A"/>
    <w:rsid w:val="077F1302"/>
    <w:rsid w:val="07807FC3"/>
    <w:rsid w:val="07853608"/>
    <w:rsid w:val="078D3A1F"/>
    <w:rsid w:val="0790350F"/>
    <w:rsid w:val="07922158"/>
    <w:rsid w:val="079254DA"/>
    <w:rsid w:val="07943000"/>
    <w:rsid w:val="079B438E"/>
    <w:rsid w:val="079F1B8B"/>
    <w:rsid w:val="07A10397"/>
    <w:rsid w:val="07A42E2C"/>
    <w:rsid w:val="07A52108"/>
    <w:rsid w:val="07AA45D1"/>
    <w:rsid w:val="07AF3996"/>
    <w:rsid w:val="07B40D33"/>
    <w:rsid w:val="07B62F76"/>
    <w:rsid w:val="07BA233A"/>
    <w:rsid w:val="07BC4304"/>
    <w:rsid w:val="07BD6694"/>
    <w:rsid w:val="07BE62CF"/>
    <w:rsid w:val="07C17B6D"/>
    <w:rsid w:val="07C40FCD"/>
    <w:rsid w:val="07C97778"/>
    <w:rsid w:val="07CB4548"/>
    <w:rsid w:val="07CC63DA"/>
    <w:rsid w:val="07CD6512"/>
    <w:rsid w:val="07D35EAA"/>
    <w:rsid w:val="07D4164E"/>
    <w:rsid w:val="07DA3E06"/>
    <w:rsid w:val="07E00BD3"/>
    <w:rsid w:val="07E21FBD"/>
    <w:rsid w:val="07ED0962"/>
    <w:rsid w:val="07EE5683"/>
    <w:rsid w:val="07F67816"/>
    <w:rsid w:val="07F95559"/>
    <w:rsid w:val="07FC5336"/>
    <w:rsid w:val="0802440D"/>
    <w:rsid w:val="080261BB"/>
    <w:rsid w:val="080B1758"/>
    <w:rsid w:val="080D690E"/>
    <w:rsid w:val="0814739E"/>
    <w:rsid w:val="08167EB9"/>
    <w:rsid w:val="081F44B1"/>
    <w:rsid w:val="08202AE5"/>
    <w:rsid w:val="08204893"/>
    <w:rsid w:val="08234384"/>
    <w:rsid w:val="08236767"/>
    <w:rsid w:val="08262763"/>
    <w:rsid w:val="08285910"/>
    <w:rsid w:val="082D7CB6"/>
    <w:rsid w:val="08316AA1"/>
    <w:rsid w:val="08362309"/>
    <w:rsid w:val="083640B7"/>
    <w:rsid w:val="08386081"/>
    <w:rsid w:val="0840304B"/>
    <w:rsid w:val="0845254C"/>
    <w:rsid w:val="084E1401"/>
    <w:rsid w:val="084F5179"/>
    <w:rsid w:val="085048C6"/>
    <w:rsid w:val="08512C9F"/>
    <w:rsid w:val="085409E1"/>
    <w:rsid w:val="08555E8D"/>
    <w:rsid w:val="08577C79"/>
    <w:rsid w:val="0858227F"/>
    <w:rsid w:val="0858402D"/>
    <w:rsid w:val="08585DDB"/>
    <w:rsid w:val="085D1644"/>
    <w:rsid w:val="085D7896"/>
    <w:rsid w:val="085F360E"/>
    <w:rsid w:val="08607386"/>
    <w:rsid w:val="086329D2"/>
    <w:rsid w:val="08687FE8"/>
    <w:rsid w:val="086A1FB2"/>
    <w:rsid w:val="086C1887"/>
    <w:rsid w:val="08795696"/>
    <w:rsid w:val="087E3C7F"/>
    <w:rsid w:val="08874912"/>
    <w:rsid w:val="0889068B"/>
    <w:rsid w:val="088C3CD7"/>
    <w:rsid w:val="088D67EF"/>
    <w:rsid w:val="088E3EF3"/>
    <w:rsid w:val="08901A19"/>
    <w:rsid w:val="08911C32"/>
    <w:rsid w:val="08931509"/>
    <w:rsid w:val="0895702F"/>
    <w:rsid w:val="089C04F5"/>
    <w:rsid w:val="089D5658"/>
    <w:rsid w:val="089D5EE4"/>
    <w:rsid w:val="08A4283A"/>
    <w:rsid w:val="08A6215D"/>
    <w:rsid w:val="08AC1497"/>
    <w:rsid w:val="08AC3CEF"/>
    <w:rsid w:val="08B15F75"/>
    <w:rsid w:val="08B374B6"/>
    <w:rsid w:val="08B57B6C"/>
    <w:rsid w:val="08B7391C"/>
    <w:rsid w:val="08B919E5"/>
    <w:rsid w:val="08BD20E2"/>
    <w:rsid w:val="08C5394F"/>
    <w:rsid w:val="08C61F81"/>
    <w:rsid w:val="08C755FA"/>
    <w:rsid w:val="08CB2A51"/>
    <w:rsid w:val="08CE0793"/>
    <w:rsid w:val="08CF1E16"/>
    <w:rsid w:val="08D21E73"/>
    <w:rsid w:val="08DB6A0C"/>
    <w:rsid w:val="08E32C9A"/>
    <w:rsid w:val="08E4407A"/>
    <w:rsid w:val="08E81855"/>
    <w:rsid w:val="08EA7EEC"/>
    <w:rsid w:val="08EC53DD"/>
    <w:rsid w:val="08F0070A"/>
    <w:rsid w:val="08F33D56"/>
    <w:rsid w:val="08F57ACE"/>
    <w:rsid w:val="08F71A98"/>
    <w:rsid w:val="08FA3336"/>
    <w:rsid w:val="08FD2E27"/>
    <w:rsid w:val="08FE4543"/>
    <w:rsid w:val="09000221"/>
    <w:rsid w:val="09061CDB"/>
    <w:rsid w:val="090B5543"/>
    <w:rsid w:val="090D306A"/>
    <w:rsid w:val="09137F54"/>
    <w:rsid w:val="09175C96"/>
    <w:rsid w:val="09217A45"/>
    <w:rsid w:val="092403B3"/>
    <w:rsid w:val="09265ED9"/>
    <w:rsid w:val="09271C52"/>
    <w:rsid w:val="09295FE2"/>
    <w:rsid w:val="092C7268"/>
    <w:rsid w:val="093117F7"/>
    <w:rsid w:val="09381F46"/>
    <w:rsid w:val="09383E5F"/>
    <w:rsid w:val="093D1475"/>
    <w:rsid w:val="09436EC0"/>
    <w:rsid w:val="094620D8"/>
    <w:rsid w:val="09486768"/>
    <w:rsid w:val="094B46B8"/>
    <w:rsid w:val="094B7B50"/>
    <w:rsid w:val="094D16B8"/>
    <w:rsid w:val="095073FA"/>
    <w:rsid w:val="09524F20"/>
    <w:rsid w:val="09526CCE"/>
    <w:rsid w:val="09542451"/>
    <w:rsid w:val="095429DE"/>
    <w:rsid w:val="0955056D"/>
    <w:rsid w:val="095567BF"/>
    <w:rsid w:val="095E38C5"/>
    <w:rsid w:val="09615163"/>
    <w:rsid w:val="096360DE"/>
    <w:rsid w:val="09646A02"/>
    <w:rsid w:val="096B2561"/>
    <w:rsid w:val="096D1D5A"/>
    <w:rsid w:val="097204B5"/>
    <w:rsid w:val="09722434"/>
    <w:rsid w:val="09731054"/>
    <w:rsid w:val="09732A37"/>
    <w:rsid w:val="097529BD"/>
    <w:rsid w:val="09756E61"/>
    <w:rsid w:val="09774E16"/>
    <w:rsid w:val="097906FF"/>
    <w:rsid w:val="097B5A0D"/>
    <w:rsid w:val="098175B4"/>
    <w:rsid w:val="09853F9F"/>
    <w:rsid w:val="09874773"/>
    <w:rsid w:val="098B21E0"/>
    <w:rsid w:val="098D5F59"/>
    <w:rsid w:val="098E1A6C"/>
    <w:rsid w:val="09921B1B"/>
    <w:rsid w:val="099224C2"/>
    <w:rsid w:val="0995305F"/>
    <w:rsid w:val="09954E0D"/>
    <w:rsid w:val="099A2423"/>
    <w:rsid w:val="099E1F14"/>
    <w:rsid w:val="099F5C8C"/>
    <w:rsid w:val="09A552C3"/>
    <w:rsid w:val="09A6526C"/>
    <w:rsid w:val="09A80FE4"/>
    <w:rsid w:val="09A908B8"/>
    <w:rsid w:val="09A92503"/>
    <w:rsid w:val="09B2776D"/>
    <w:rsid w:val="09B434E5"/>
    <w:rsid w:val="09B53D61"/>
    <w:rsid w:val="09B554AF"/>
    <w:rsid w:val="09B71227"/>
    <w:rsid w:val="09B96D4E"/>
    <w:rsid w:val="09C0632E"/>
    <w:rsid w:val="09C474A0"/>
    <w:rsid w:val="09C65D3C"/>
    <w:rsid w:val="09CF031F"/>
    <w:rsid w:val="09D019BF"/>
    <w:rsid w:val="09D21BBD"/>
    <w:rsid w:val="09D27E0F"/>
    <w:rsid w:val="09D516AE"/>
    <w:rsid w:val="09DB3168"/>
    <w:rsid w:val="09DB4F16"/>
    <w:rsid w:val="09E0077E"/>
    <w:rsid w:val="09E13DD4"/>
    <w:rsid w:val="09E85450"/>
    <w:rsid w:val="09EA6F07"/>
    <w:rsid w:val="09ED4C49"/>
    <w:rsid w:val="09ED69F7"/>
    <w:rsid w:val="09EF46F9"/>
    <w:rsid w:val="09F204B1"/>
    <w:rsid w:val="09F41F52"/>
    <w:rsid w:val="09F935EE"/>
    <w:rsid w:val="09F93BE8"/>
    <w:rsid w:val="09F9539C"/>
    <w:rsid w:val="09FE6E56"/>
    <w:rsid w:val="0A00672A"/>
    <w:rsid w:val="0A0106F5"/>
    <w:rsid w:val="0A0124A3"/>
    <w:rsid w:val="0A026946"/>
    <w:rsid w:val="0A054BE4"/>
    <w:rsid w:val="0A096DD5"/>
    <w:rsid w:val="0A0B2D2F"/>
    <w:rsid w:val="0A0F6915"/>
    <w:rsid w:val="0A165F4E"/>
    <w:rsid w:val="0A193C90"/>
    <w:rsid w:val="0A195C1F"/>
    <w:rsid w:val="0A1E3055"/>
    <w:rsid w:val="0A1E4E03"/>
    <w:rsid w:val="0A1F2635"/>
    <w:rsid w:val="0A20501F"/>
    <w:rsid w:val="0A2C39C3"/>
    <w:rsid w:val="0A2D5046"/>
    <w:rsid w:val="0A2E4A30"/>
    <w:rsid w:val="0A305D6B"/>
    <w:rsid w:val="0A361C66"/>
    <w:rsid w:val="0A3B59B5"/>
    <w:rsid w:val="0A3B7458"/>
    <w:rsid w:val="0A3D797F"/>
    <w:rsid w:val="0A3E3EAB"/>
    <w:rsid w:val="0A546A76"/>
    <w:rsid w:val="0A586566"/>
    <w:rsid w:val="0A595E3B"/>
    <w:rsid w:val="0A5B7E05"/>
    <w:rsid w:val="0A5C592B"/>
    <w:rsid w:val="0A5D3B7D"/>
    <w:rsid w:val="0A60366D"/>
    <w:rsid w:val="0A642BB8"/>
    <w:rsid w:val="0A652087"/>
    <w:rsid w:val="0A652A31"/>
    <w:rsid w:val="0A71382C"/>
    <w:rsid w:val="0A73514E"/>
    <w:rsid w:val="0A762E91"/>
    <w:rsid w:val="0A7648BF"/>
    <w:rsid w:val="0A7669ED"/>
    <w:rsid w:val="0A776340"/>
    <w:rsid w:val="0A7B4003"/>
    <w:rsid w:val="0A8119D2"/>
    <w:rsid w:val="0A821835"/>
    <w:rsid w:val="0A8245A3"/>
    <w:rsid w:val="0A831CCA"/>
    <w:rsid w:val="0A84735B"/>
    <w:rsid w:val="0A8643B4"/>
    <w:rsid w:val="0A876E4C"/>
    <w:rsid w:val="0A894972"/>
    <w:rsid w:val="0A8B5265"/>
    <w:rsid w:val="0A8D16B6"/>
    <w:rsid w:val="0A8E1F88"/>
    <w:rsid w:val="0A92134D"/>
    <w:rsid w:val="0A924546"/>
    <w:rsid w:val="0A9B28F7"/>
    <w:rsid w:val="0A9F3ACB"/>
    <w:rsid w:val="0A9F4195"/>
    <w:rsid w:val="0AA277E2"/>
    <w:rsid w:val="0AA572D2"/>
    <w:rsid w:val="0AA74DF8"/>
    <w:rsid w:val="0AAD64D4"/>
    <w:rsid w:val="0AAE6186"/>
    <w:rsid w:val="0AAE6D74"/>
    <w:rsid w:val="0AAE7354"/>
    <w:rsid w:val="0AAF0151"/>
    <w:rsid w:val="0AB13EC9"/>
    <w:rsid w:val="0AB319EF"/>
    <w:rsid w:val="0AB37C41"/>
    <w:rsid w:val="0AB44767"/>
    <w:rsid w:val="0AB45767"/>
    <w:rsid w:val="0ABB4D47"/>
    <w:rsid w:val="0ABC5BC4"/>
    <w:rsid w:val="0ABE2142"/>
    <w:rsid w:val="0AC0235E"/>
    <w:rsid w:val="0AC7549A"/>
    <w:rsid w:val="0AC77248"/>
    <w:rsid w:val="0ACA1658"/>
    <w:rsid w:val="0ACF434F"/>
    <w:rsid w:val="0AD1239D"/>
    <w:rsid w:val="0AD23916"/>
    <w:rsid w:val="0AD43E4B"/>
    <w:rsid w:val="0AD6392F"/>
    <w:rsid w:val="0AD916A4"/>
    <w:rsid w:val="0ADA114D"/>
    <w:rsid w:val="0ADB0155"/>
    <w:rsid w:val="0ADE3D74"/>
    <w:rsid w:val="0ADF4592"/>
    <w:rsid w:val="0AE20526"/>
    <w:rsid w:val="0AE33940"/>
    <w:rsid w:val="0AE4604C"/>
    <w:rsid w:val="0AE60C00"/>
    <w:rsid w:val="0AE93662"/>
    <w:rsid w:val="0AE9630D"/>
    <w:rsid w:val="0AEA2F37"/>
    <w:rsid w:val="0AEB20D2"/>
    <w:rsid w:val="0AEC0E42"/>
    <w:rsid w:val="0AED3B3A"/>
    <w:rsid w:val="0AEE0C79"/>
    <w:rsid w:val="0AF73FD1"/>
    <w:rsid w:val="0AFB3396"/>
    <w:rsid w:val="0AFD710E"/>
    <w:rsid w:val="0AFE7153"/>
    <w:rsid w:val="0B00275A"/>
    <w:rsid w:val="0B0142F8"/>
    <w:rsid w:val="0B016BFE"/>
    <w:rsid w:val="0B03361E"/>
    <w:rsid w:val="0B057D70"/>
    <w:rsid w:val="0B065FC2"/>
    <w:rsid w:val="0B072072"/>
    <w:rsid w:val="0B095AB3"/>
    <w:rsid w:val="0B097861"/>
    <w:rsid w:val="0B0B4989"/>
    <w:rsid w:val="0B112BB9"/>
    <w:rsid w:val="0B116715"/>
    <w:rsid w:val="0B18726F"/>
    <w:rsid w:val="0B187AA4"/>
    <w:rsid w:val="0B1C0A91"/>
    <w:rsid w:val="0B1F7084"/>
    <w:rsid w:val="0B2428ED"/>
    <w:rsid w:val="0B27418B"/>
    <w:rsid w:val="0B297F03"/>
    <w:rsid w:val="0B2C17A1"/>
    <w:rsid w:val="0B426A4E"/>
    <w:rsid w:val="0B4F7FE6"/>
    <w:rsid w:val="0B5125A3"/>
    <w:rsid w:val="0B512FB6"/>
    <w:rsid w:val="0B521208"/>
    <w:rsid w:val="0B5331D2"/>
    <w:rsid w:val="0B55411C"/>
    <w:rsid w:val="0B586924"/>
    <w:rsid w:val="0B5D195B"/>
    <w:rsid w:val="0B6017B9"/>
    <w:rsid w:val="0B622204"/>
    <w:rsid w:val="0B633415"/>
    <w:rsid w:val="0B6369A2"/>
    <w:rsid w:val="0B664CB3"/>
    <w:rsid w:val="0B697506"/>
    <w:rsid w:val="0B6D4294"/>
    <w:rsid w:val="0B6E5C7D"/>
    <w:rsid w:val="0B70168E"/>
    <w:rsid w:val="0B73117E"/>
    <w:rsid w:val="0B732F2C"/>
    <w:rsid w:val="0B756CA4"/>
    <w:rsid w:val="0B786794"/>
    <w:rsid w:val="0B7A42BB"/>
    <w:rsid w:val="0B7D3DAB"/>
    <w:rsid w:val="0B7E6C6B"/>
    <w:rsid w:val="0B7F2855"/>
    <w:rsid w:val="0B7F7B23"/>
    <w:rsid w:val="0B832C7E"/>
    <w:rsid w:val="0B860EB1"/>
    <w:rsid w:val="0B8615FF"/>
    <w:rsid w:val="0B892750"/>
    <w:rsid w:val="0B8B64C8"/>
    <w:rsid w:val="0B8D0492"/>
    <w:rsid w:val="0B8D04E6"/>
    <w:rsid w:val="0B923CFA"/>
    <w:rsid w:val="0B995089"/>
    <w:rsid w:val="0B996E37"/>
    <w:rsid w:val="0B9D61FB"/>
    <w:rsid w:val="0BA17A99"/>
    <w:rsid w:val="0BA46B52"/>
    <w:rsid w:val="0BA61553"/>
    <w:rsid w:val="0BA63302"/>
    <w:rsid w:val="0BAB0918"/>
    <w:rsid w:val="0BAB4DBC"/>
    <w:rsid w:val="0BAD28E2"/>
    <w:rsid w:val="0BAE21B6"/>
    <w:rsid w:val="0BB2614A"/>
    <w:rsid w:val="0BB62502"/>
    <w:rsid w:val="0BB70F4B"/>
    <w:rsid w:val="0BBA0B5B"/>
    <w:rsid w:val="0BC33EB3"/>
    <w:rsid w:val="0BC95B3E"/>
    <w:rsid w:val="0BCD088E"/>
    <w:rsid w:val="0BCD419B"/>
    <w:rsid w:val="0BD065D0"/>
    <w:rsid w:val="0BD10FD4"/>
    <w:rsid w:val="0BD54C38"/>
    <w:rsid w:val="0BD87233"/>
    <w:rsid w:val="0BD936D7"/>
    <w:rsid w:val="0BDE0CED"/>
    <w:rsid w:val="0BE34556"/>
    <w:rsid w:val="0BE43E2A"/>
    <w:rsid w:val="0BE65DF4"/>
    <w:rsid w:val="0BEA58E4"/>
    <w:rsid w:val="0BED0F30"/>
    <w:rsid w:val="0BEE30CD"/>
    <w:rsid w:val="0BF16C73"/>
    <w:rsid w:val="0BF538E8"/>
    <w:rsid w:val="0BF64289"/>
    <w:rsid w:val="0BFB5CEE"/>
    <w:rsid w:val="0C063DA0"/>
    <w:rsid w:val="0C0C51C6"/>
    <w:rsid w:val="0C0E410A"/>
    <w:rsid w:val="0C1741FF"/>
    <w:rsid w:val="0C175FAD"/>
    <w:rsid w:val="0C177D5B"/>
    <w:rsid w:val="0C18633A"/>
    <w:rsid w:val="0C1C1816"/>
    <w:rsid w:val="0C1C35C4"/>
    <w:rsid w:val="0C1D53EF"/>
    <w:rsid w:val="0C1E733C"/>
    <w:rsid w:val="0C230DF6"/>
    <w:rsid w:val="0C28640C"/>
    <w:rsid w:val="0C2C7CAB"/>
    <w:rsid w:val="0C2D3A23"/>
    <w:rsid w:val="0C3504B5"/>
    <w:rsid w:val="0C3C3C66"/>
    <w:rsid w:val="0C3C5C5D"/>
    <w:rsid w:val="0C405504"/>
    <w:rsid w:val="0C4072B2"/>
    <w:rsid w:val="0C4405E2"/>
    <w:rsid w:val="0C460641"/>
    <w:rsid w:val="0C464E2B"/>
    <w:rsid w:val="0C4A1EDF"/>
    <w:rsid w:val="0C50246A"/>
    <w:rsid w:val="0C5165ED"/>
    <w:rsid w:val="0C525237"/>
    <w:rsid w:val="0C582030"/>
    <w:rsid w:val="0C5E3BDC"/>
    <w:rsid w:val="0C63281E"/>
    <w:rsid w:val="0C6531BD"/>
    <w:rsid w:val="0C655925"/>
    <w:rsid w:val="0C662A91"/>
    <w:rsid w:val="0C6C62F9"/>
    <w:rsid w:val="0C6D4563"/>
    <w:rsid w:val="0C741865"/>
    <w:rsid w:val="0C7927C4"/>
    <w:rsid w:val="0C796C68"/>
    <w:rsid w:val="0C7E602C"/>
    <w:rsid w:val="0C7E65A6"/>
    <w:rsid w:val="0C803B53"/>
    <w:rsid w:val="0C807FF6"/>
    <w:rsid w:val="0C8278CB"/>
    <w:rsid w:val="0C874AB1"/>
    <w:rsid w:val="0C8E2713"/>
    <w:rsid w:val="0C8E27C5"/>
    <w:rsid w:val="0C915D60"/>
    <w:rsid w:val="0C965414"/>
    <w:rsid w:val="0C981B18"/>
    <w:rsid w:val="0C985340"/>
    <w:rsid w:val="0C9F66CF"/>
    <w:rsid w:val="0CA23AC9"/>
    <w:rsid w:val="0CAC0DEC"/>
    <w:rsid w:val="0CAD06C0"/>
    <w:rsid w:val="0CAF268A"/>
    <w:rsid w:val="0CAF495E"/>
    <w:rsid w:val="0CB101B0"/>
    <w:rsid w:val="0CB90E13"/>
    <w:rsid w:val="0CBB102F"/>
    <w:rsid w:val="0CBD0903"/>
    <w:rsid w:val="0CBD6B55"/>
    <w:rsid w:val="0CBE467B"/>
    <w:rsid w:val="0CBF26C9"/>
    <w:rsid w:val="0CBF5B3A"/>
    <w:rsid w:val="0CC004E9"/>
    <w:rsid w:val="0CC26880"/>
    <w:rsid w:val="0CC33C1B"/>
    <w:rsid w:val="0CC47EE3"/>
    <w:rsid w:val="0CC55A09"/>
    <w:rsid w:val="0CC66C75"/>
    <w:rsid w:val="0CC71781"/>
    <w:rsid w:val="0CCA3020"/>
    <w:rsid w:val="0CCC323C"/>
    <w:rsid w:val="0CCC4FEA"/>
    <w:rsid w:val="0CCF6888"/>
    <w:rsid w:val="0CD21ED4"/>
    <w:rsid w:val="0CD43E9E"/>
    <w:rsid w:val="0CD67C16"/>
    <w:rsid w:val="0CD8398F"/>
    <w:rsid w:val="0CDD2D53"/>
    <w:rsid w:val="0CE045F1"/>
    <w:rsid w:val="0CE40585"/>
    <w:rsid w:val="0CEA5470"/>
    <w:rsid w:val="0CF26C99"/>
    <w:rsid w:val="0CF32576"/>
    <w:rsid w:val="0CF84031"/>
    <w:rsid w:val="0CF87B8D"/>
    <w:rsid w:val="0CF956B3"/>
    <w:rsid w:val="0CFD1647"/>
    <w:rsid w:val="0CFD51A3"/>
    <w:rsid w:val="0CFF0F1B"/>
    <w:rsid w:val="0D002EE5"/>
    <w:rsid w:val="0D0364DD"/>
    <w:rsid w:val="0D093B48"/>
    <w:rsid w:val="0D0C188A"/>
    <w:rsid w:val="0D215336"/>
    <w:rsid w:val="0D240982"/>
    <w:rsid w:val="0D2766C4"/>
    <w:rsid w:val="0D2B7F62"/>
    <w:rsid w:val="0D2C7836"/>
    <w:rsid w:val="0D2E2A9B"/>
    <w:rsid w:val="0D2E3D85"/>
    <w:rsid w:val="0D330BC5"/>
    <w:rsid w:val="0D3F3B5F"/>
    <w:rsid w:val="0D445B34"/>
    <w:rsid w:val="0D4B23B2"/>
    <w:rsid w:val="0D4F1E8D"/>
    <w:rsid w:val="0D51729D"/>
    <w:rsid w:val="0D553231"/>
    <w:rsid w:val="0D5648B3"/>
    <w:rsid w:val="0D5C636E"/>
    <w:rsid w:val="0D5D3E94"/>
    <w:rsid w:val="0D682F64"/>
    <w:rsid w:val="0D69025C"/>
    <w:rsid w:val="0D6E7E4F"/>
    <w:rsid w:val="0D70006B"/>
    <w:rsid w:val="0D701E19"/>
    <w:rsid w:val="0D774F56"/>
    <w:rsid w:val="0D7A4A46"/>
    <w:rsid w:val="0D7A67F4"/>
    <w:rsid w:val="0D814026"/>
    <w:rsid w:val="0D815DD4"/>
    <w:rsid w:val="0D8F7523"/>
    <w:rsid w:val="0D906017"/>
    <w:rsid w:val="0D957AD2"/>
    <w:rsid w:val="0D9961D1"/>
    <w:rsid w:val="0D9C676A"/>
    <w:rsid w:val="0DA25D4B"/>
    <w:rsid w:val="0DA63A8D"/>
    <w:rsid w:val="0DA675E9"/>
    <w:rsid w:val="0DA815B3"/>
    <w:rsid w:val="0DA9532B"/>
    <w:rsid w:val="0DB42481"/>
    <w:rsid w:val="0DB46D20"/>
    <w:rsid w:val="0DB52D2F"/>
    <w:rsid w:val="0DB77A48"/>
    <w:rsid w:val="0DB8556E"/>
    <w:rsid w:val="0DB8731C"/>
    <w:rsid w:val="0DB951E4"/>
    <w:rsid w:val="0DBA12E6"/>
    <w:rsid w:val="0DBD3B65"/>
    <w:rsid w:val="0DBD4932"/>
    <w:rsid w:val="0DC14423"/>
    <w:rsid w:val="0DC65EDD"/>
    <w:rsid w:val="0DC67C8B"/>
    <w:rsid w:val="0DC77235"/>
    <w:rsid w:val="0DC7755F"/>
    <w:rsid w:val="0DCE08EE"/>
    <w:rsid w:val="0DD01DAA"/>
    <w:rsid w:val="0DD34156"/>
    <w:rsid w:val="0DD979BE"/>
    <w:rsid w:val="0DDC6E3D"/>
    <w:rsid w:val="0DDF6F9F"/>
    <w:rsid w:val="0DE5281D"/>
    <w:rsid w:val="0DE819AF"/>
    <w:rsid w:val="0DEE2D3E"/>
    <w:rsid w:val="0DF02F5A"/>
    <w:rsid w:val="0DF62C9E"/>
    <w:rsid w:val="0DF751C4"/>
    <w:rsid w:val="0E032C8D"/>
    <w:rsid w:val="0E0A1E1D"/>
    <w:rsid w:val="0E0E6AF5"/>
    <w:rsid w:val="0E1739B8"/>
    <w:rsid w:val="0E19425F"/>
    <w:rsid w:val="0E1A1D85"/>
    <w:rsid w:val="0E1B7FD7"/>
    <w:rsid w:val="0E1C78AB"/>
    <w:rsid w:val="0E1E1875"/>
    <w:rsid w:val="0E1F1149"/>
    <w:rsid w:val="0E204F4D"/>
    <w:rsid w:val="0E2126D9"/>
    <w:rsid w:val="0E281DBF"/>
    <w:rsid w:val="0E2D36D6"/>
    <w:rsid w:val="0E2E7E25"/>
    <w:rsid w:val="0E3177FA"/>
    <w:rsid w:val="0E325320"/>
    <w:rsid w:val="0E340E7E"/>
    <w:rsid w:val="0E39434A"/>
    <w:rsid w:val="0E3C1CFB"/>
    <w:rsid w:val="0E3E39CE"/>
    <w:rsid w:val="0E407A3D"/>
    <w:rsid w:val="0E4137B5"/>
    <w:rsid w:val="0E4536AF"/>
    <w:rsid w:val="0E456E02"/>
    <w:rsid w:val="0E4610F4"/>
    <w:rsid w:val="0E462B7A"/>
    <w:rsid w:val="0E4D292A"/>
    <w:rsid w:val="0E4F5ED2"/>
    <w:rsid w:val="0E601E8E"/>
    <w:rsid w:val="0E6059EA"/>
    <w:rsid w:val="0E6574A4"/>
    <w:rsid w:val="0E6652FE"/>
    <w:rsid w:val="0E680D42"/>
    <w:rsid w:val="0E6928D6"/>
    <w:rsid w:val="0E6A4ABA"/>
    <w:rsid w:val="0E6B152D"/>
    <w:rsid w:val="0E6D26E7"/>
    <w:rsid w:val="0E6D6359"/>
    <w:rsid w:val="0E6F3E7F"/>
    <w:rsid w:val="0E71409B"/>
    <w:rsid w:val="0E745939"/>
    <w:rsid w:val="0E7B4B53"/>
    <w:rsid w:val="0E7E40C2"/>
    <w:rsid w:val="0E8042DE"/>
    <w:rsid w:val="0E811D9B"/>
    <w:rsid w:val="0E813326"/>
    <w:rsid w:val="0E843362"/>
    <w:rsid w:val="0E8536A2"/>
    <w:rsid w:val="0E87566C"/>
    <w:rsid w:val="0E875C90"/>
    <w:rsid w:val="0E8813E4"/>
    <w:rsid w:val="0E884F40"/>
    <w:rsid w:val="0E8A2A67"/>
    <w:rsid w:val="0E8C4A31"/>
    <w:rsid w:val="0E8E59FB"/>
    <w:rsid w:val="0E8F2773"/>
    <w:rsid w:val="0E912047"/>
    <w:rsid w:val="0E924011"/>
    <w:rsid w:val="0E927B6D"/>
    <w:rsid w:val="0E96765D"/>
    <w:rsid w:val="0E9953A0"/>
    <w:rsid w:val="0E9B1118"/>
    <w:rsid w:val="0EA0228A"/>
    <w:rsid w:val="0EA33EF7"/>
    <w:rsid w:val="0EA7186A"/>
    <w:rsid w:val="0EA855E3"/>
    <w:rsid w:val="0EA87391"/>
    <w:rsid w:val="0EAA4EB7"/>
    <w:rsid w:val="0EB36461"/>
    <w:rsid w:val="0EB75826"/>
    <w:rsid w:val="0EB9159E"/>
    <w:rsid w:val="0EBB70C4"/>
    <w:rsid w:val="0EBC4BEA"/>
    <w:rsid w:val="0EC56195"/>
    <w:rsid w:val="0EC817E1"/>
    <w:rsid w:val="0EC95C85"/>
    <w:rsid w:val="0ECC307F"/>
    <w:rsid w:val="0ED62150"/>
    <w:rsid w:val="0ED939EE"/>
    <w:rsid w:val="0EDC703A"/>
    <w:rsid w:val="0EDF1579"/>
    <w:rsid w:val="0EE52393"/>
    <w:rsid w:val="0EE54141"/>
    <w:rsid w:val="0EE7435D"/>
    <w:rsid w:val="0EE76B4E"/>
    <w:rsid w:val="0EE859DF"/>
    <w:rsid w:val="0EEE7499"/>
    <w:rsid w:val="0EEF4FBF"/>
    <w:rsid w:val="0EF12AE6"/>
    <w:rsid w:val="0EF40828"/>
    <w:rsid w:val="0F022F45"/>
    <w:rsid w:val="0F024CF3"/>
    <w:rsid w:val="0F041E04"/>
    <w:rsid w:val="0F072309"/>
    <w:rsid w:val="0F0A3BA7"/>
    <w:rsid w:val="0F0D45F7"/>
    <w:rsid w:val="0F136F00"/>
    <w:rsid w:val="0F1E7653"/>
    <w:rsid w:val="0F203DE2"/>
    <w:rsid w:val="0F22689D"/>
    <w:rsid w:val="0F242EBB"/>
    <w:rsid w:val="0F270324"/>
    <w:rsid w:val="0F296723"/>
    <w:rsid w:val="0F2F6254"/>
    <w:rsid w:val="0F346E76"/>
    <w:rsid w:val="0F3550C8"/>
    <w:rsid w:val="0F36499C"/>
    <w:rsid w:val="0F3A0931"/>
    <w:rsid w:val="0F3A26DF"/>
    <w:rsid w:val="0F3B6457"/>
    <w:rsid w:val="0F3D21CF"/>
    <w:rsid w:val="0F3F5F47"/>
    <w:rsid w:val="0F421593"/>
    <w:rsid w:val="0F436B50"/>
    <w:rsid w:val="0F44530B"/>
    <w:rsid w:val="0F4F5A5E"/>
    <w:rsid w:val="0F53554E"/>
    <w:rsid w:val="0F557518"/>
    <w:rsid w:val="0F5B4403"/>
    <w:rsid w:val="0F5F5CA1"/>
    <w:rsid w:val="0F6239E3"/>
    <w:rsid w:val="0F655282"/>
    <w:rsid w:val="0F67724C"/>
    <w:rsid w:val="0F6862D5"/>
    <w:rsid w:val="0F6C6610"/>
    <w:rsid w:val="0F7006C6"/>
    <w:rsid w:val="0F751969"/>
    <w:rsid w:val="0F7756E1"/>
    <w:rsid w:val="0F781459"/>
    <w:rsid w:val="0F786D63"/>
    <w:rsid w:val="0F786E19"/>
    <w:rsid w:val="0F7D6A6F"/>
    <w:rsid w:val="0F803E6A"/>
    <w:rsid w:val="0F851480"/>
    <w:rsid w:val="0F8C0A60"/>
    <w:rsid w:val="0F8D6B37"/>
    <w:rsid w:val="0F900551"/>
    <w:rsid w:val="0F930041"/>
    <w:rsid w:val="0F933B9D"/>
    <w:rsid w:val="0F94421F"/>
    <w:rsid w:val="0F9478B3"/>
    <w:rsid w:val="0F952BE5"/>
    <w:rsid w:val="0F985657"/>
    <w:rsid w:val="0F9B0EE8"/>
    <w:rsid w:val="0F9F39DA"/>
    <w:rsid w:val="0FA36571"/>
    <w:rsid w:val="0FA67D74"/>
    <w:rsid w:val="0FA97864"/>
    <w:rsid w:val="0FAD5F50"/>
    <w:rsid w:val="0FAE1726"/>
    <w:rsid w:val="0FAE4E7B"/>
    <w:rsid w:val="0FAE692A"/>
    <w:rsid w:val="0FAF52CB"/>
    <w:rsid w:val="0FB56209"/>
    <w:rsid w:val="0FBF2BE4"/>
    <w:rsid w:val="0FBF2FB7"/>
    <w:rsid w:val="0FC14BAE"/>
    <w:rsid w:val="0FD146C5"/>
    <w:rsid w:val="0FD20B69"/>
    <w:rsid w:val="0FD541B5"/>
    <w:rsid w:val="0FD556FA"/>
    <w:rsid w:val="0FD77F2D"/>
    <w:rsid w:val="0FD857C7"/>
    <w:rsid w:val="0FD85A54"/>
    <w:rsid w:val="0FDC047D"/>
    <w:rsid w:val="0FDD19F6"/>
    <w:rsid w:val="0FE44E94"/>
    <w:rsid w:val="0FE95EB3"/>
    <w:rsid w:val="0FEA38D7"/>
    <w:rsid w:val="0FF334F9"/>
    <w:rsid w:val="0FF52AC8"/>
    <w:rsid w:val="10090303"/>
    <w:rsid w:val="1010343F"/>
    <w:rsid w:val="101173EF"/>
    <w:rsid w:val="102127F5"/>
    <w:rsid w:val="10260EB5"/>
    <w:rsid w:val="10262C63"/>
    <w:rsid w:val="10277CAB"/>
    <w:rsid w:val="10284C2D"/>
    <w:rsid w:val="102B0279"/>
    <w:rsid w:val="102B64CB"/>
    <w:rsid w:val="102D5D9F"/>
    <w:rsid w:val="102F5781"/>
    <w:rsid w:val="1030329B"/>
    <w:rsid w:val="10341E1C"/>
    <w:rsid w:val="1036730D"/>
    <w:rsid w:val="1037079D"/>
    <w:rsid w:val="103A0BA0"/>
    <w:rsid w:val="103C2486"/>
    <w:rsid w:val="103E61FE"/>
    <w:rsid w:val="1041184B"/>
    <w:rsid w:val="10412DE6"/>
    <w:rsid w:val="104322BF"/>
    <w:rsid w:val="10455B4B"/>
    <w:rsid w:val="1045758D"/>
    <w:rsid w:val="104650B3"/>
    <w:rsid w:val="104A6951"/>
    <w:rsid w:val="104B091B"/>
    <w:rsid w:val="104D01F0"/>
    <w:rsid w:val="104D4694"/>
    <w:rsid w:val="104F21BA"/>
    <w:rsid w:val="1054157E"/>
    <w:rsid w:val="105C48D7"/>
    <w:rsid w:val="106B20F4"/>
    <w:rsid w:val="10725EA8"/>
    <w:rsid w:val="10755FB8"/>
    <w:rsid w:val="107B4D5D"/>
    <w:rsid w:val="107B7182"/>
    <w:rsid w:val="107C0AD5"/>
    <w:rsid w:val="107F04D7"/>
    <w:rsid w:val="10806817"/>
    <w:rsid w:val="1081433D"/>
    <w:rsid w:val="10831E63"/>
    <w:rsid w:val="10856F1B"/>
    <w:rsid w:val="108C6F6A"/>
    <w:rsid w:val="108F0808"/>
    <w:rsid w:val="10947BCD"/>
    <w:rsid w:val="109615A3"/>
    <w:rsid w:val="1097590F"/>
    <w:rsid w:val="109D1ACA"/>
    <w:rsid w:val="109E4EEF"/>
    <w:rsid w:val="10A225A6"/>
    <w:rsid w:val="10A36056"/>
    <w:rsid w:val="10A87B1C"/>
    <w:rsid w:val="10AB4F16"/>
    <w:rsid w:val="10AD2A04"/>
    <w:rsid w:val="10AE7FBC"/>
    <w:rsid w:val="10AF2C58"/>
    <w:rsid w:val="10B154F6"/>
    <w:rsid w:val="10B71B0D"/>
    <w:rsid w:val="10B93AD7"/>
    <w:rsid w:val="10B956BE"/>
    <w:rsid w:val="10BC7123"/>
    <w:rsid w:val="10BE10ED"/>
    <w:rsid w:val="10C06C14"/>
    <w:rsid w:val="10C64545"/>
    <w:rsid w:val="10C75DB2"/>
    <w:rsid w:val="10CA1840"/>
    <w:rsid w:val="10CB66A1"/>
    <w:rsid w:val="10CF32FA"/>
    <w:rsid w:val="10D03F34"/>
    <w:rsid w:val="10D206F5"/>
    <w:rsid w:val="10D601E5"/>
    <w:rsid w:val="10D73F5D"/>
    <w:rsid w:val="10D75D0B"/>
    <w:rsid w:val="10DA102E"/>
    <w:rsid w:val="10DE2100"/>
    <w:rsid w:val="10E16B8A"/>
    <w:rsid w:val="10E2302E"/>
    <w:rsid w:val="10E24BEF"/>
    <w:rsid w:val="10E548CC"/>
    <w:rsid w:val="10E8616A"/>
    <w:rsid w:val="10E87F18"/>
    <w:rsid w:val="10EC7A09"/>
    <w:rsid w:val="10ED552F"/>
    <w:rsid w:val="10F17525"/>
    <w:rsid w:val="10F35682"/>
    <w:rsid w:val="10F36FE9"/>
    <w:rsid w:val="10F37004"/>
    <w:rsid w:val="10F62529"/>
    <w:rsid w:val="10F93ED3"/>
    <w:rsid w:val="10FB40F0"/>
    <w:rsid w:val="10FB5E9E"/>
    <w:rsid w:val="10FF6476"/>
    <w:rsid w:val="11050ACA"/>
    <w:rsid w:val="11056D1C"/>
    <w:rsid w:val="1107522D"/>
    <w:rsid w:val="110D277C"/>
    <w:rsid w:val="11131439"/>
    <w:rsid w:val="111451B1"/>
    <w:rsid w:val="11166833"/>
    <w:rsid w:val="11177B40"/>
    <w:rsid w:val="11186A50"/>
    <w:rsid w:val="1119164B"/>
    <w:rsid w:val="111D4066"/>
    <w:rsid w:val="111E1B8C"/>
    <w:rsid w:val="11291F54"/>
    <w:rsid w:val="1129448A"/>
    <w:rsid w:val="112C6057"/>
    <w:rsid w:val="112E1DCF"/>
    <w:rsid w:val="113349F9"/>
    <w:rsid w:val="11380EA0"/>
    <w:rsid w:val="113849FC"/>
    <w:rsid w:val="11390774"/>
    <w:rsid w:val="11421D1E"/>
    <w:rsid w:val="1142587A"/>
    <w:rsid w:val="114535BD"/>
    <w:rsid w:val="1145536B"/>
    <w:rsid w:val="1146147C"/>
    <w:rsid w:val="11494E5B"/>
    <w:rsid w:val="114A2981"/>
    <w:rsid w:val="114E2471"/>
    <w:rsid w:val="114E27DF"/>
    <w:rsid w:val="11513D10"/>
    <w:rsid w:val="1154735C"/>
    <w:rsid w:val="11551A52"/>
    <w:rsid w:val="1155307D"/>
    <w:rsid w:val="11561326"/>
    <w:rsid w:val="1158509E"/>
    <w:rsid w:val="11602D5A"/>
    <w:rsid w:val="11616D28"/>
    <w:rsid w:val="11625F1D"/>
    <w:rsid w:val="1164141F"/>
    <w:rsid w:val="116E2B13"/>
    <w:rsid w:val="116F23E8"/>
    <w:rsid w:val="117C4C32"/>
    <w:rsid w:val="117D68B3"/>
    <w:rsid w:val="11823EC9"/>
    <w:rsid w:val="118D5F21"/>
    <w:rsid w:val="118E0AC0"/>
    <w:rsid w:val="119200E9"/>
    <w:rsid w:val="11954AE4"/>
    <w:rsid w:val="1198193E"/>
    <w:rsid w:val="11987B90"/>
    <w:rsid w:val="119F4A7B"/>
    <w:rsid w:val="11A007F3"/>
    <w:rsid w:val="11A2456B"/>
    <w:rsid w:val="11A52549"/>
    <w:rsid w:val="11A6405B"/>
    <w:rsid w:val="11A77DD3"/>
    <w:rsid w:val="11AA3420"/>
    <w:rsid w:val="11AF6BD3"/>
    <w:rsid w:val="11B0140B"/>
    <w:rsid w:val="11B20C52"/>
    <w:rsid w:val="11B322D4"/>
    <w:rsid w:val="11B47AAB"/>
    <w:rsid w:val="11B61DC5"/>
    <w:rsid w:val="11BA7B07"/>
    <w:rsid w:val="11BD13A5"/>
    <w:rsid w:val="11C0052E"/>
    <w:rsid w:val="11C444E1"/>
    <w:rsid w:val="11C73FD2"/>
    <w:rsid w:val="11C97D4A"/>
    <w:rsid w:val="11D16BFE"/>
    <w:rsid w:val="11D23D90"/>
    <w:rsid w:val="11D81D3B"/>
    <w:rsid w:val="11DF30C9"/>
    <w:rsid w:val="11E15093"/>
    <w:rsid w:val="11E42DD6"/>
    <w:rsid w:val="11E60706"/>
    <w:rsid w:val="11F0700F"/>
    <w:rsid w:val="11F8062F"/>
    <w:rsid w:val="11F8418B"/>
    <w:rsid w:val="11F970A4"/>
    <w:rsid w:val="11FE1526"/>
    <w:rsid w:val="1202325C"/>
    <w:rsid w:val="12062999"/>
    <w:rsid w:val="12064AFA"/>
    <w:rsid w:val="12080872"/>
    <w:rsid w:val="12081C36"/>
    <w:rsid w:val="120945EA"/>
    <w:rsid w:val="120B2110"/>
    <w:rsid w:val="120C7C36"/>
    <w:rsid w:val="121216F1"/>
    <w:rsid w:val="12154D3D"/>
    <w:rsid w:val="121F796A"/>
    <w:rsid w:val="12205576"/>
    <w:rsid w:val="12211934"/>
    <w:rsid w:val="122214CC"/>
    <w:rsid w:val="122272CD"/>
    <w:rsid w:val="122338FE"/>
    <w:rsid w:val="12266F4A"/>
    <w:rsid w:val="122907E8"/>
    <w:rsid w:val="12296A3A"/>
    <w:rsid w:val="122D46DF"/>
    <w:rsid w:val="122E1D73"/>
    <w:rsid w:val="122E4051"/>
    <w:rsid w:val="1232769D"/>
    <w:rsid w:val="123553DF"/>
    <w:rsid w:val="1235718D"/>
    <w:rsid w:val="12372F05"/>
    <w:rsid w:val="12394ECF"/>
    <w:rsid w:val="123A29F6"/>
    <w:rsid w:val="123D6042"/>
    <w:rsid w:val="123F625E"/>
    <w:rsid w:val="124473D0"/>
    <w:rsid w:val="12483364"/>
    <w:rsid w:val="12485112"/>
    <w:rsid w:val="12486EC1"/>
    <w:rsid w:val="124D2729"/>
    <w:rsid w:val="1255782F"/>
    <w:rsid w:val="125735A8"/>
    <w:rsid w:val="125E66E4"/>
    <w:rsid w:val="12617F82"/>
    <w:rsid w:val="12655CC4"/>
    <w:rsid w:val="12681311"/>
    <w:rsid w:val="12696E37"/>
    <w:rsid w:val="126D202A"/>
    <w:rsid w:val="127001C5"/>
    <w:rsid w:val="1272218F"/>
    <w:rsid w:val="12751C80"/>
    <w:rsid w:val="127557DC"/>
    <w:rsid w:val="12792963"/>
    <w:rsid w:val="127A7296"/>
    <w:rsid w:val="127E0B34"/>
    <w:rsid w:val="127E6E6D"/>
    <w:rsid w:val="12802419"/>
    <w:rsid w:val="12843C71"/>
    <w:rsid w:val="12865C3B"/>
    <w:rsid w:val="12887C05"/>
    <w:rsid w:val="128D0E5D"/>
    <w:rsid w:val="128E285B"/>
    <w:rsid w:val="12944A1D"/>
    <w:rsid w:val="12971BF6"/>
    <w:rsid w:val="129C545E"/>
    <w:rsid w:val="129E4D32"/>
    <w:rsid w:val="12A019F6"/>
    <w:rsid w:val="12A04F4F"/>
    <w:rsid w:val="12A06CFD"/>
    <w:rsid w:val="12A57D4D"/>
    <w:rsid w:val="12AD31C8"/>
    <w:rsid w:val="12B02CB8"/>
    <w:rsid w:val="12B207DE"/>
    <w:rsid w:val="12B565C6"/>
    <w:rsid w:val="12BC165D"/>
    <w:rsid w:val="12C02EFB"/>
    <w:rsid w:val="12C16C73"/>
    <w:rsid w:val="12C53284"/>
    <w:rsid w:val="12C66037"/>
    <w:rsid w:val="12CF1390"/>
    <w:rsid w:val="12D035FD"/>
    <w:rsid w:val="12DE15D3"/>
    <w:rsid w:val="12DE7825"/>
    <w:rsid w:val="12E162D1"/>
    <w:rsid w:val="12E36BE9"/>
    <w:rsid w:val="12E50BB3"/>
    <w:rsid w:val="12E52961"/>
    <w:rsid w:val="12EA441C"/>
    <w:rsid w:val="12EA7F78"/>
    <w:rsid w:val="12EC4418"/>
    <w:rsid w:val="12F157AA"/>
    <w:rsid w:val="12F2507E"/>
    <w:rsid w:val="12F64B6E"/>
    <w:rsid w:val="12F71C17"/>
    <w:rsid w:val="12F901BB"/>
    <w:rsid w:val="12FB3F33"/>
    <w:rsid w:val="12FE1C75"/>
    <w:rsid w:val="13023513"/>
    <w:rsid w:val="13054DB2"/>
    <w:rsid w:val="130628D8"/>
    <w:rsid w:val="13082AF4"/>
    <w:rsid w:val="130A36C0"/>
    <w:rsid w:val="130B4B50"/>
    <w:rsid w:val="130C11DC"/>
    <w:rsid w:val="130C4392"/>
    <w:rsid w:val="13142D14"/>
    <w:rsid w:val="1317796F"/>
    <w:rsid w:val="1319260B"/>
    <w:rsid w:val="13223BB5"/>
    <w:rsid w:val="132632F9"/>
    <w:rsid w:val="1331143C"/>
    <w:rsid w:val="133833D9"/>
    <w:rsid w:val="1340228E"/>
    <w:rsid w:val="13421B62"/>
    <w:rsid w:val="134A0A16"/>
    <w:rsid w:val="134A4EBA"/>
    <w:rsid w:val="13547AE7"/>
    <w:rsid w:val="13561AB1"/>
    <w:rsid w:val="135D2E40"/>
    <w:rsid w:val="135D4BEE"/>
    <w:rsid w:val="13655850"/>
    <w:rsid w:val="13662116"/>
    <w:rsid w:val="136E3E94"/>
    <w:rsid w:val="136F4921"/>
    <w:rsid w:val="137141F5"/>
    <w:rsid w:val="137311EF"/>
    <w:rsid w:val="137F2DB6"/>
    <w:rsid w:val="138008DC"/>
    <w:rsid w:val="13824654"/>
    <w:rsid w:val="13857CA0"/>
    <w:rsid w:val="13873A19"/>
    <w:rsid w:val="13873AD6"/>
    <w:rsid w:val="138959E3"/>
    <w:rsid w:val="138A3509"/>
    <w:rsid w:val="138C54D3"/>
    <w:rsid w:val="13904FC3"/>
    <w:rsid w:val="139323BD"/>
    <w:rsid w:val="13944C51"/>
    <w:rsid w:val="13946135"/>
    <w:rsid w:val="13983E78"/>
    <w:rsid w:val="13992083"/>
    <w:rsid w:val="1399374C"/>
    <w:rsid w:val="139A199E"/>
    <w:rsid w:val="139A637E"/>
    <w:rsid w:val="139D323C"/>
    <w:rsid w:val="13A1426D"/>
    <w:rsid w:val="13A91BE1"/>
    <w:rsid w:val="13AA55D0"/>
    <w:rsid w:val="13AA7707"/>
    <w:rsid w:val="13AE369B"/>
    <w:rsid w:val="13B14F39"/>
    <w:rsid w:val="13B32A60"/>
    <w:rsid w:val="13B501FB"/>
    <w:rsid w:val="13B567D8"/>
    <w:rsid w:val="13B76712"/>
    <w:rsid w:val="13B862C8"/>
    <w:rsid w:val="13BA2040"/>
    <w:rsid w:val="13BD38DE"/>
    <w:rsid w:val="13BF1404"/>
    <w:rsid w:val="13BF4C25"/>
    <w:rsid w:val="13C07C74"/>
    <w:rsid w:val="13C407C9"/>
    <w:rsid w:val="13C702B9"/>
    <w:rsid w:val="13CA1B57"/>
    <w:rsid w:val="13CB74DA"/>
    <w:rsid w:val="13CC1D73"/>
    <w:rsid w:val="13CE7899"/>
    <w:rsid w:val="13D11138"/>
    <w:rsid w:val="13D749A0"/>
    <w:rsid w:val="13D80718"/>
    <w:rsid w:val="13D9039D"/>
    <w:rsid w:val="13E0137B"/>
    <w:rsid w:val="13E23345"/>
    <w:rsid w:val="13E36F2F"/>
    <w:rsid w:val="13E40E6B"/>
    <w:rsid w:val="13E7095B"/>
    <w:rsid w:val="13F05A62"/>
    <w:rsid w:val="13F07810"/>
    <w:rsid w:val="13F24693"/>
    <w:rsid w:val="13F27A08"/>
    <w:rsid w:val="13F41C12"/>
    <w:rsid w:val="13F53078"/>
    <w:rsid w:val="13F8694C"/>
    <w:rsid w:val="13FF7A53"/>
    <w:rsid w:val="14012AC2"/>
    <w:rsid w:val="140137CB"/>
    <w:rsid w:val="14024910"/>
    <w:rsid w:val="1404150D"/>
    <w:rsid w:val="14072DAB"/>
    <w:rsid w:val="14092680"/>
    <w:rsid w:val="14096B23"/>
    <w:rsid w:val="140B464A"/>
    <w:rsid w:val="140E7C96"/>
    <w:rsid w:val="14121E37"/>
    <w:rsid w:val="141554C8"/>
    <w:rsid w:val="141649B0"/>
    <w:rsid w:val="141B23B3"/>
    <w:rsid w:val="142851FC"/>
    <w:rsid w:val="142A67B4"/>
    <w:rsid w:val="14326DB2"/>
    <w:rsid w:val="143F42F3"/>
    <w:rsid w:val="143F60A1"/>
    <w:rsid w:val="14430A9C"/>
    <w:rsid w:val="14435ECB"/>
    <w:rsid w:val="14465682"/>
    <w:rsid w:val="14467430"/>
    <w:rsid w:val="1449308D"/>
    <w:rsid w:val="144933C4"/>
    <w:rsid w:val="144E2788"/>
    <w:rsid w:val="144E4536"/>
    <w:rsid w:val="14504752"/>
    <w:rsid w:val="14515DD5"/>
    <w:rsid w:val="14551D69"/>
    <w:rsid w:val="14603640"/>
    <w:rsid w:val="1461426A"/>
    <w:rsid w:val="14620FA5"/>
    <w:rsid w:val="14630116"/>
    <w:rsid w:val="14636234"/>
    <w:rsid w:val="14641FAC"/>
    <w:rsid w:val="146975C2"/>
    <w:rsid w:val="146D648D"/>
    <w:rsid w:val="1470712F"/>
    <w:rsid w:val="147525EE"/>
    <w:rsid w:val="1475649E"/>
    <w:rsid w:val="14771CDF"/>
    <w:rsid w:val="14776934"/>
    <w:rsid w:val="147A357D"/>
    <w:rsid w:val="147D6BCA"/>
    <w:rsid w:val="148166BA"/>
    <w:rsid w:val="14861F22"/>
    <w:rsid w:val="14863CD0"/>
    <w:rsid w:val="148937C0"/>
    <w:rsid w:val="148B7538"/>
    <w:rsid w:val="148D505F"/>
    <w:rsid w:val="14902DA1"/>
    <w:rsid w:val="14923346"/>
    <w:rsid w:val="1496081E"/>
    <w:rsid w:val="1497412F"/>
    <w:rsid w:val="14A14FAE"/>
    <w:rsid w:val="14A32AD4"/>
    <w:rsid w:val="14A405FA"/>
    <w:rsid w:val="14A8633C"/>
    <w:rsid w:val="14A874BB"/>
    <w:rsid w:val="14AB1989"/>
    <w:rsid w:val="14AD5701"/>
    <w:rsid w:val="14B06F9F"/>
    <w:rsid w:val="14B307DB"/>
    <w:rsid w:val="14B60A59"/>
    <w:rsid w:val="14B613AF"/>
    <w:rsid w:val="14B720DC"/>
    <w:rsid w:val="14B940A6"/>
    <w:rsid w:val="14B94BCE"/>
    <w:rsid w:val="14BC3B96"/>
    <w:rsid w:val="14BE346A"/>
    <w:rsid w:val="14C12D51"/>
    <w:rsid w:val="14C30A80"/>
    <w:rsid w:val="14C50C9C"/>
    <w:rsid w:val="14C52A4A"/>
    <w:rsid w:val="14C8253B"/>
    <w:rsid w:val="14CC2610"/>
    <w:rsid w:val="14CD18FF"/>
    <w:rsid w:val="14CD4474"/>
    <w:rsid w:val="14CD5DA3"/>
    <w:rsid w:val="14CF52C6"/>
    <w:rsid w:val="14CF5677"/>
    <w:rsid w:val="14D233B9"/>
    <w:rsid w:val="14DC1B42"/>
    <w:rsid w:val="14DE58BA"/>
    <w:rsid w:val="14E76E65"/>
    <w:rsid w:val="14EB7FD7"/>
    <w:rsid w:val="14EF7AC7"/>
    <w:rsid w:val="14F21366"/>
    <w:rsid w:val="14F670A8"/>
    <w:rsid w:val="14F71E87"/>
    <w:rsid w:val="14FB56DC"/>
    <w:rsid w:val="14FB646C"/>
    <w:rsid w:val="15035321"/>
    <w:rsid w:val="15051099"/>
    <w:rsid w:val="1505553D"/>
    <w:rsid w:val="1508348E"/>
    <w:rsid w:val="150C68CB"/>
    <w:rsid w:val="151629D1"/>
    <w:rsid w:val="15170DCC"/>
    <w:rsid w:val="1517701E"/>
    <w:rsid w:val="151A411A"/>
    <w:rsid w:val="151C3C4C"/>
    <w:rsid w:val="151C5F1D"/>
    <w:rsid w:val="151D2886"/>
    <w:rsid w:val="151E03AD"/>
    <w:rsid w:val="15205ED3"/>
    <w:rsid w:val="152139F9"/>
    <w:rsid w:val="1525798D"/>
    <w:rsid w:val="15284D87"/>
    <w:rsid w:val="15286307"/>
    <w:rsid w:val="1528650F"/>
    <w:rsid w:val="152F6116"/>
    <w:rsid w:val="153320AA"/>
    <w:rsid w:val="1537146E"/>
    <w:rsid w:val="153951E6"/>
    <w:rsid w:val="153B3244"/>
    <w:rsid w:val="153D07B5"/>
    <w:rsid w:val="154222ED"/>
    <w:rsid w:val="15481B97"/>
    <w:rsid w:val="154C4D2C"/>
    <w:rsid w:val="154D47EE"/>
    <w:rsid w:val="154F308C"/>
    <w:rsid w:val="15504F07"/>
    <w:rsid w:val="15512530"/>
    <w:rsid w:val="1557566D"/>
    <w:rsid w:val="15581B10"/>
    <w:rsid w:val="155C4C28"/>
    <w:rsid w:val="155D7127"/>
    <w:rsid w:val="156264EB"/>
    <w:rsid w:val="15634011"/>
    <w:rsid w:val="15655FDB"/>
    <w:rsid w:val="15673B02"/>
    <w:rsid w:val="156A1844"/>
    <w:rsid w:val="156C0552"/>
    <w:rsid w:val="156C736A"/>
    <w:rsid w:val="156F29B6"/>
    <w:rsid w:val="1574621E"/>
    <w:rsid w:val="15761F97"/>
    <w:rsid w:val="1582711A"/>
    <w:rsid w:val="15887332"/>
    <w:rsid w:val="158A63F2"/>
    <w:rsid w:val="15910B7E"/>
    <w:rsid w:val="15916DD0"/>
    <w:rsid w:val="15962639"/>
    <w:rsid w:val="159A4C5C"/>
    <w:rsid w:val="15AC59B8"/>
    <w:rsid w:val="15AE1730"/>
    <w:rsid w:val="15AE7982"/>
    <w:rsid w:val="15B036FB"/>
    <w:rsid w:val="15BB5BFB"/>
    <w:rsid w:val="15BC4236"/>
    <w:rsid w:val="15C54CCC"/>
    <w:rsid w:val="15C6265A"/>
    <w:rsid w:val="15C727F2"/>
    <w:rsid w:val="15C745A0"/>
    <w:rsid w:val="15C8766A"/>
    <w:rsid w:val="15CA4090"/>
    <w:rsid w:val="15CC022F"/>
    <w:rsid w:val="15CC605B"/>
    <w:rsid w:val="15CE3B81"/>
    <w:rsid w:val="15D13671"/>
    <w:rsid w:val="15D171CD"/>
    <w:rsid w:val="15D469C1"/>
    <w:rsid w:val="15D54F0F"/>
    <w:rsid w:val="15D66ED9"/>
    <w:rsid w:val="15D72415"/>
    <w:rsid w:val="15DA0777"/>
    <w:rsid w:val="15DB2014"/>
    <w:rsid w:val="15DB5153"/>
    <w:rsid w:val="15DD5B72"/>
    <w:rsid w:val="15DE3F67"/>
    <w:rsid w:val="15E11B06"/>
    <w:rsid w:val="15E2587E"/>
    <w:rsid w:val="15E909BB"/>
    <w:rsid w:val="15EB4733"/>
    <w:rsid w:val="15F31839"/>
    <w:rsid w:val="15F555B1"/>
    <w:rsid w:val="15FF1F8C"/>
    <w:rsid w:val="160475A2"/>
    <w:rsid w:val="160C4080"/>
    <w:rsid w:val="16104199"/>
    <w:rsid w:val="1613309D"/>
    <w:rsid w:val="161672D6"/>
    <w:rsid w:val="161C2B3E"/>
    <w:rsid w:val="161E3AB1"/>
    <w:rsid w:val="161F618A"/>
    <w:rsid w:val="16227A29"/>
    <w:rsid w:val="162B4B2F"/>
    <w:rsid w:val="162C0C86"/>
    <w:rsid w:val="162D6610"/>
    <w:rsid w:val="16300397"/>
    <w:rsid w:val="16321ADC"/>
    <w:rsid w:val="16351E52"/>
    <w:rsid w:val="163A7083"/>
    <w:rsid w:val="163D4862"/>
    <w:rsid w:val="16464112"/>
    <w:rsid w:val="165B7DFE"/>
    <w:rsid w:val="165E3157"/>
    <w:rsid w:val="165F0C7D"/>
    <w:rsid w:val="166B7621"/>
    <w:rsid w:val="166D339A"/>
    <w:rsid w:val="167575DE"/>
    <w:rsid w:val="16781D3E"/>
    <w:rsid w:val="167A5AB7"/>
    <w:rsid w:val="167D1103"/>
    <w:rsid w:val="167F30CD"/>
    <w:rsid w:val="167F42A3"/>
    <w:rsid w:val="168129A1"/>
    <w:rsid w:val="168229B3"/>
    <w:rsid w:val="16826719"/>
    <w:rsid w:val="16883EC5"/>
    <w:rsid w:val="16893F4C"/>
    <w:rsid w:val="16895CFA"/>
    <w:rsid w:val="168D57EA"/>
    <w:rsid w:val="168E3310"/>
    <w:rsid w:val="168F6536"/>
    <w:rsid w:val="16921052"/>
    <w:rsid w:val="16922E00"/>
    <w:rsid w:val="16994E4A"/>
    <w:rsid w:val="169C77DB"/>
    <w:rsid w:val="169D0A70"/>
    <w:rsid w:val="169D3553"/>
    <w:rsid w:val="16A32C69"/>
    <w:rsid w:val="16A50D85"/>
    <w:rsid w:val="16A91EF8"/>
    <w:rsid w:val="16AB01C8"/>
    <w:rsid w:val="16B54D41"/>
    <w:rsid w:val="16B70B6C"/>
    <w:rsid w:val="16B8213B"/>
    <w:rsid w:val="16BA2357"/>
    <w:rsid w:val="16BC0089"/>
    <w:rsid w:val="16BE1E47"/>
    <w:rsid w:val="16C16C33"/>
    <w:rsid w:val="16C60CFC"/>
    <w:rsid w:val="16C85C81"/>
    <w:rsid w:val="16C86822"/>
    <w:rsid w:val="16CD208A"/>
    <w:rsid w:val="16CE195E"/>
    <w:rsid w:val="16D46E70"/>
    <w:rsid w:val="16D569B9"/>
    <w:rsid w:val="16D70382"/>
    <w:rsid w:val="16D74CB7"/>
    <w:rsid w:val="16DC051F"/>
    <w:rsid w:val="16DC22CD"/>
    <w:rsid w:val="16E318AE"/>
    <w:rsid w:val="16F07B27"/>
    <w:rsid w:val="16F245C5"/>
    <w:rsid w:val="16F45869"/>
    <w:rsid w:val="16F47617"/>
    <w:rsid w:val="16F83DC9"/>
    <w:rsid w:val="16F95030"/>
    <w:rsid w:val="16FE0496"/>
    <w:rsid w:val="17033CFE"/>
    <w:rsid w:val="170535D2"/>
    <w:rsid w:val="170A508C"/>
    <w:rsid w:val="170A6E3A"/>
    <w:rsid w:val="170B4961"/>
    <w:rsid w:val="170E3AEC"/>
    <w:rsid w:val="170E6162"/>
    <w:rsid w:val="17123F41"/>
    <w:rsid w:val="17171557"/>
    <w:rsid w:val="171A37D0"/>
    <w:rsid w:val="171C6B6E"/>
    <w:rsid w:val="171E6442"/>
    <w:rsid w:val="17255A22"/>
    <w:rsid w:val="172872C1"/>
    <w:rsid w:val="172A4DE7"/>
    <w:rsid w:val="172F4AF3"/>
    <w:rsid w:val="172F68A1"/>
    <w:rsid w:val="173259E9"/>
    <w:rsid w:val="17365E81"/>
    <w:rsid w:val="173739A8"/>
    <w:rsid w:val="17377504"/>
    <w:rsid w:val="173C30A8"/>
    <w:rsid w:val="173E6AE4"/>
    <w:rsid w:val="17404A68"/>
    <w:rsid w:val="174165D4"/>
    <w:rsid w:val="1743234C"/>
    <w:rsid w:val="174560C4"/>
    <w:rsid w:val="17471E3D"/>
    <w:rsid w:val="174B3D3F"/>
    <w:rsid w:val="174B66AA"/>
    <w:rsid w:val="174D6D27"/>
    <w:rsid w:val="174E307B"/>
    <w:rsid w:val="174F484D"/>
    <w:rsid w:val="175005C5"/>
    <w:rsid w:val="17501520"/>
    <w:rsid w:val="17546308"/>
    <w:rsid w:val="17555BDC"/>
    <w:rsid w:val="175579C2"/>
    <w:rsid w:val="17575DF8"/>
    <w:rsid w:val="17591B70"/>
    <w:rsid w:val="175B1444"/>
    <w:rsid w:val="175B7522"/>
    <w:rsid w:val="175D340E"/>
    <w:rsid w:val="176C18A3"/>
    <w:rsid w:val="176F4EEF"/>
    <w:rsid w:val="176F6C9D"/>
    <w:rsid w:val="17710C68"/>
    <w:rsid w:val="177249E0"/>
    <w:rsid w:val="1772678E"/>
    <w:rsid w:val="1774180A"/>
    <w:rsid w:val="17742BCE"/>
    <w:rsid w:val="17773DA4"/>
    <w:rsid w:val="17781D54"/>
    <w:rsid w:val="177B1022"/>
    <w:rsid w:val="177B7D38"/>
    <w:rsid w:val="177E2043"/>
    <w:rsid w:val="17803B29"/>
    <w:rsid w:val="17864105"/>
    <w:rsid w:val="1786728C"/>
    <w:rsid w:val="178A7CAA"/>
    <w:rsid w:val="178D35C8"/>
    <w:rsid w:val="178F2FEA"/>
    <w:rsid w:val="179130B8"/>
    <w:rsid w:val="1792505A"/>
    <w:rsid w:val="17982698"/>
    <w:rsid w:val="1798522F"/>
    <w:rsid w:val="179901BE"/>
    <w:rsid w:val="179B3F36"/>
    <w:rsid w:val="179B7A92"/>
    <w:rsid w:val="17A10E21"/>
    <w:rsid w:val="17A51B58"/>
    <w:rsid w:val="17A57E4D"/>
    <w:rsid w:val="17A76437"/>
    <w:rsid w:val="17A9536A"/>
    <w:rsid w:val="17AC1CA0"/>
    <w:rsid w:val="17AF79E2"/>
    <w:rsid w:val="17B1375A"/>
    <w:rsid w:val="17B67874"/>
    <w:rsid w:val="17B8456B"/>
    <w:rsid w:val="17BA0860"/>
    <w:rsid w:val="17BA3F9F"/>
    <w:rsid w:val="17BE63A1"/>
    <w:rsid w:val="17C074F9"/>
    <w:rsid w:val="17C214C3"/>
    <w:rsid w:val="17C27715"/>
    <w:rsid w:val="17C34EE7"/>
    <w:rsid w:val="17C36FE9"/>
    <w:rsid w:val="17C70888"/>
    <w:rsid w:val="17C76AD9"/>
    <w:rsid w:val="17CC2342"/>
    <w:rsid w:val="17CF3BE0"/>
    <w:rsid w:val="17D11706"/>
    <w:rsid w:val="17D244D2"/>
    <w:rsid w:val="17D336D0"/>
    <w:rsid w:val="17D42FA4"/>
    <w:rsid w:val="17D80CE7"/>
    <w:rsid w:val="17DA4A5F"/>
    <w:rsid w:val="17DF301F"/>
    <w:rsid w:val="17E20185"/>
    <w:rsid w:val="17E256C1"/>
    <w:rsid w:val="17EA0A1A"/>
    <w:rsid w:val="17EC6540"/>
    <w:rsid w:val="17ED1F4D"/>
    <w:rsid w:val="17EE22B8"/>
    <w:rsid w:val="17F02970"/>
    <w:rsid w:val="17F665A1"/>
    <w:rsid w:val="17F673BF"/>
    <w:rsid w:val="17FB2C27"/>
    <w:rsid w:val="17FD074D"/>
    <w:rsid w:val="17FF44C5"/>
    <w:rsid w:val="18041ADC"/>
    <w:rsid w:val="1804388A"/>
    <w:rsid w:val="18047D2E"/>
    <w:rsid w:val="180715CC"/>
    <w:rsid w:val="180716EA"/>
    <w:rsid w:val="1807337A"/>
    <w:rsid w:val="18090EA0"/>
    <w:rsid w:val="180B10BC"/>
    <w:rsid w:val="18137F71"/>
    <w:rsid w:val="18153CE9"/>
    <w:rsid w:val="18194181"/>
    <w:rsid w:val="1820443C"/>
    <w:rsid w:val="1824469F"/>
    <w:rsid w:val="18253800"/>
    <w:rsid w:val="182B350C"/>
    <w:rsid w:val="182B7833"/>
    <w:rsid w:val="18300B23"/>
    <w:rsid w:val="183103F7"/>
    <w:rsid w:val="18335F1D"/>
    <w:rsid w:val="18363C5F"/>
    <w:rsid w:val="183C74C7"/>
    <w:rsid w:val="18412D97"/>
    <w:rsid w:val="18414ADE"/>
    <w:rsid w:val="18455C50"/>
    <w:rsid w:val="18493992"/>
    <w:rsid w:val="18493F95"/>
    <w:rsid w:val="184A3267"/>
    <w:rsid w:val="184E0FA9"/>
    <w:rsid w:val="18561C0B"/>
    <w:rsid w:val="18565113"/>
    <w:rsid w:val="18567E5D"/>
    <w:rsid w:val="185A16FC"/>
    <w:rsid w:val="185B5474"/>
    <w:rsid w:val="18622CA6"/>
    <w:rsid w:val="186500A0"/>
    <w:rsid w:val="186D58D3"/>
    <w:rsid w:val="18711EB8"/>
    <w:rsid w:val="18730A0F"/>
    <w:rsid w:val="187447AF"/>
    <w:rsid w:val="18747B1D"/>
    <w:rsid w:val="187622AE"/>
    <w:rsid w:val="18770500"/>
    <w:rsid w:val="187F5606"/>
    <w:rsid w:val="18846779"/>
    <w:rsid w:val="188D1AD1"/>
    <w:rsid w:val="188E3A9B"/>
    <w:rsid w:val="189310B2"/>
    <w:rsid w:val="189746FE"/>
    <w:rsid w:val="18982224"/>
    <w:rsid w:val="189912C4"/>
    <w:rsid w:val="189F35B2"/>
    <w:rsid w:val="18A006B1"/>
    <w:rsid w:val="18AA258C"/>
    <w:rsid w:val="18B427A7"/>
    <w:rsid w:val="18B64865"/>
    <w:rsid w:val="18B90B18"/>
    <w:rsid w:val="18BA03EC"/>
    <w:rsid w:val="18BC23B6"/>
    <w:rsid w:val="18BC5F12"/>
    <w:rsid w:val="18BD1C8B"/>
    <w:rsid w:val="18BD66DB"/>
    <w:rsid w:val="18BD7EDC"/>
    <w:rsid w:val="18BE0E7D"/>
    <w:rsid w:val="18C0248B"/>
    <w:rsid w:val="18C263A0"/>
    <w:rsid w:val="18C354F3"/>
    <w:rsid w:val="18C82B09"/>
    <w:rsid w:val="18C96881"/>
    <w:rsid w:val="18CE5C46"/>
    <w:rsid w:val="18D05E62"/>
    <w:rsid w:val="18D15B70"/>
    <w:rsid w:val="18D70F9E"/>
    <w:rsid w:val="18D86AC4"/>
    <w:rsid w:val="18DC0363"/>
    <w:rsid w:val="18E67433"/>
    <w:rsid w:val="18ED07C2"/>
    <w:rsid w:val="18ED6A14"/>
    <w:rsid w:val="18FA2EDF"/>
    <w:rsid w:val="18FC27B3"/>
    <w:rsid w:val="18FC6C57"/>
    <w:rsid w:val="18FE29CF"/>
    <w:rsid w:val="190478B9"/>
    <w:rsid w:val="190C374D"/>
    <w:rsid w:val="190D42EB"/>
    <w:rsid w:val="190F0738"/>
    <w:rsid w:val="191129A6"/>
    <w:rsid w:val="191915B7"/>
    <w:rsid w:val="19197809"/>
    <w:rsid w:val="191D647A"/>
    <w:rsid w:val="19232435"/>
    <w:rsid w:val="192501A9"/>
    <w:rsid w:val="19263CD4"/>
    <w:rsid w:val="19265A82"/>
    <w:rsid w:val="192817FA"/>
    <w:rsid w:val="192B3098"/>
    <w:rsid w:val="192C54AB"/>
    <w:rsid w:val="192D0BBE"/>
    <w:rsid w:val="19306900"/>
    <w:rsid w:val="19337AF8"/>
    <w:rsid w:val="19373188"/>
    <w:rsid w:val="19377C8F"/>
    <w:rsid w:val="19383A4E"/>
    <w:rsid w:val="193C0B28"/>
    <w:rsid w:val="193D71F3"/>
    <w:rsid w:val="193F08F1"/>
    <w:rsid w:val="194408DF"/>
    <w:rsid w:val="1944700A"/>
    <w:rsid w:val="194859F8"/>
    <w:rsid w:val="19487651"/>
    <w:rsid w:val="194B6B29"/>
    <w:rsid w:val="19520625"/>
    <w:rsid w:val="19524AC9"/>
    <w:rsid w:val="19526877"/>
    <w:rsid w:val="19545462"/>
    <w:rsid w:val="1954586E"/>
    <w:rsid w:val="195720DF"/>
    <w:rsid w:val="195F2D42"/>
    <w:rsid w:val="19630947"/>
    <w:rsid w:val="1969029C"/>
    <w:rsid w:val="196F567B"/>
    <w:rsid w:val="19742C91"/>
    <w:rsid w:val="1975331A"/>
    <w:rsid w:val="1976457C"/>
    <w:rsid w:val="19766A09"/>
    <w:rsid w:val="1977452F"/>
    <w:rsid w:val="197B401F"/>
    <w:rsid w:val="197B53D3"/>
    <w:rsid w:val="19800A63"/>
    <w:rsid w:val="1981715C"/>
    <w:rsid w:val="19836A30"/>
    <w:rsid w:val="198729C4"/>
    <w:rsid w:val="198A4263"/>
    <w:rsid w:val="198C07E7"/>
    <w:rsid w:val="19946E8F"/>
    <w:rsid w:val="199E1ABC"/>
    <w:rsid w:val="199E7D0E"/>
    <w:rsid w:val="199F6C5D"/>
    <w:rsid w:val="19A370D2"/>
    <w:rsid w:val="19A52ACF"/>
    <w:rsid w:val="19A54BF8"/>
    <w:rsid w:val="19A90B8D"/>
    <w:rsid w:val="19AF1F1B"/>
    <w:rsid w:val="19B23C43"/>
    <w:rsid w:val="19B25567"/>
    <w:rsid w:val="19B32E94"/>
    <w:rsid w:val="19BA7045"/>
    <w:rsid w:val="19C21C4E"/>
    <w:rsid w:val="19C534ED"/>
    <w:rsid w:val="19C77265"/>
    <w:rsid w:val="19CA0B03"/>
    <w:rsid w:val="19CA6D19"/>
    <w:rsid w:val="19CE05F3"/>
    <w:rsid w:val="19DC4392"/>
    <w:rsid w:val="19E00326"/>
    <w:rsid w:val="19E25E4D"/>
    <w:rsid w:val="19E41BC5"/>
    <w:rsid w:val="19E73463"/>
    <w:rsid w:val="19EC2827"/>
    <w:rsid w:val="19EE2A43"/>
    <w:rsid w:val="19F45B80"/>
    <w:rsid w:val="19F811CC"/>
    <w:rsid w:val="19F93196"/>
    <w:rsid w:val="1A077661"/>
    <w:rsid w:val="1A09162B"/>
    <w:rsid w:val="1A0A10D9"/>
    <w:rsid w:val="1A0C111B"/>
    <w:rsid w:val="1A1062B4"/>
    <w:rsid w:val="1A147FD0"/>
    <w:rsid w:val="1A18361C"/>
    <w:rsid w:val="1A187AC0"/>
    <w:rsid w:val="1A1E488E"/>
    <w:rsid w:val="1A200723"/>
    <w:rsid w:val="1A22449B"/>
    <w:rsid w:val="1A231FC1"/>
    <w:rsid w:val="1A255D39"/>
    <w:rsid w:val="1A27385F"/>
    <w:rsid w:val="1A275223"/>
    <w:rsid w:val="1A2A3AC4"/>
    <w:rsid w:val="1A2C356C"/>
    <w:rsid w:val="1A2E0D57"/>
    <w:rsid w:val="1A2F0966"/>
    <w:rsid w:val="1A393593"/>
    <w:rsid w:val="1A3D12D5"/>
    <w:rsid w:val="1A4408B5"/>
    <w:rsid w:val="1A444411"/>
    <w:rsid w:val="1A47372A"/>
    <w:rsid w:val="1A4A39F2"/>
    <w:rsid w:val="1A4A5C7F"/>
    <w:rsid w:val="1A50725A"/>
    <w:rsid w:val="1A5A71F5"/>
    <w:rsid w:val="1A5F49C1"/>
    <w:rsid w:val="1A604FC3"/>
    <w:rsid w:val="1A607BD9"/>
    <w:rsid w:val="1A626F8D"/>
    <w:rsid w:val="1A654388"/>
    <w:rsid w:val="1A672D3E"/>
    <w:rsid w:val="1A676352"/>
    <w:rsid w:val="1A6C5716"/>
    <w:rsid w:val="1A705206"/>
    <w:rsid w:val="1A756CC1"/>
    <w:rsid w:val="1A772A39"/>
    <w:rsid w:val="1A78055F"/>
    <w:rsid w:val="1A7B3BAB"/>
    <w:rsid w:val="1A7F48BE"/>
    <w:rsid w:val="1A824F3A"/>
    <w:rsid w:val="1A861DC6"/>
    <w:rsid w:val="1A882AFB"/>
    <w:rsid w:val="1A89451A"/>
    <w:rsid w:val="1A8962C8"/>
    <w:rsid w:val="1A8E7D82"/>
    <w:rsid w:val="1A911621"/>
    <w:rsid w:val="1A9133CF"/>
    <w:rsid w:val="1A925700"/>
    <w:rsid w:val="1A952EBF"/>
    <w:rsid w:val="1A976C37"/>
    <w:rsid w:val="1A9829AF"/>
    <w:rsid w:val="1A9A0036"/>
    <w:rsid w:val="1A9A1998"/>
    <w:rsid w:val="1A9C249F"/>
    <w:rsid w:val="1A9C424D"/>
    <w:rsid w:val="1A9E35E5"/>
    <w:rsid w:val="1A9F5AEC"/>
    <w:rsid w:val="1AA44EB0"/>
    <w:rsid w:val="1AAB65CD"/>
    <w:rsid w:val="1AAC1FB7"/>
    <w:rsid w:val="1AAE21D3"/>
    <w:rsid w:val="1AB05F4B"/>
    <w:rsid w:val="1AB53561"/>
    <w:rsid w:val="1AB53AAF"/>
    <w:rsid w:val="1AB7627B"/>
    <w:rsid w:val="1AB8583A"/>
    <w:rsid w:val="1ABD70A9"/>
    <w:rsid w:val="1ABF7128"/>
    <w:rsid w:val="1AC50DC4"/>
    <w:rsid w:val="1AC63078"/>
    <w:rsid w:val="1AC8208F"/>
    <w:rsid w:val="1AC91D4C"/>
    <w:rsid w:val="1ACE017F"/>
    <w:rsid w:val="1ACE63D1"/>
    <w:rsid w:val="1AD03EF7"/>
    <w:rsid w:val="1AD27C6F"/>
    <w:rsid w:val="1AD339E7"/>
    <w:rsid w:val="1AD734D7"/>
    <w:rsid w:val="1AD75285"/>
    <w:rsid w:val="1AD87250"/>
    <w:rsid w:val="1ADC289C"/>
    <w:rsid w:val="1AE44224"/>
    <w:rsid w:val="1AF177AE"/>
    <w:rsid w:val="1AF20311"/>
    <w:rsid w:val="1AF22E0F"/>
    <w:rsid w:val="1AF35E37"/>
    <w:rsid w:val="1AF51BB0"/>
    <w:rsid w:val="1AF57E02"/>
    <w:rsid w:val="1AF8344E"/>
    <w:rsid w:val="1AFA5418"/>
    <w:rsid w:val="1AFD0A64"/>
    <w:rsid w:val="1AFE6CB6"/>
    <w:rsid w:val="1B005AA3"/>
    <w:rsid w:val="1B0167A6"/>
    <w:rsid w:val="1B027E29"/>
    <w:rsid w:val="1B040045"/>
    <w:rsid w:val="1B0E4A1F"/>
    <w:rsid w:val="1B192484"/>
    <w:rsid w:val="1B19589E"/>
    <w:rsid w:val="1B1A7868"/>
    <w:rsid w:val="1B1B4B10"/>
    <w:rsid w:val="1B206CF9"/>
    <w:rsid w:val="1B223FF5"/>
    <w:rsid w:val="1B25632E"/>
    <w:rsid w:val="1B283D33"/>
    <w:rsid w:val="1B285AE1"/>
    <w:rsid w:val="1B28788F"/>
    <w:rsid w:val="1B2929B5"/>
    <w:rsid w:val="1B2F50C2"/>
    <w:rsid w:val="1B351FAC"/>
    <w:rsid w:val="1B425EC3"/>
    <w:rsid w:val="1B445528"/>
    <w:rsid w:val="1B4641B9"/>
    <w:rsid w:val="1B4B7383"/>
    <w:rsid w:val="1B4D72F6"/>
    <w:rsid w:val="1B527002"/>
    <w:rsid w:val="1B530684"/>
    <w:rsid w:val="1B542D7A"/>
    <w:rsid w:val="1B5A1A13"/>
    <w:rsid w:val="1B5C1C2F"/>
    <w:rsid w:val="1B60171F"/>
    <w:rsid w:val="1B650AE3"/>
    <w:rsid w:val="1B67674E"/>
    <w:rsid w:val="1B684130"/>
    <w:rsid w:val="1B6A60FA"/>
    <w:rsid w:val="1B6C3361"/>
    <w:rsid w:val="1B715091"/>
    <w:rsid w:val="1B753F12"/>
    <w:rsid w:val="1B7730E6"/>
    <w:rsid w:val="1B773DCE"/>
    <w:rsid w:val="1B786E34"/>
    <w:rsid w:val="1B7C58B1"/>
    <w:rsid w:val="1B7C5E2D"/>
    <w:rsid w:val="1B7E7DF7"/>
    <w:rsid w:val="1B8227E1"/>
    <w:rsid w:val="1B852F33"/>
    <w:rsid w:val="1B8847D2"/>
    <w:rsid w:val="1B897F89"/>
    <w:rsid w:val="1B8A679C"/>
    <w:rsid w:val="1B9273FE"/>
    <w:rsid w:val="1B9969DF"/>
    <w:rsid w:val="1BA3160C"/>
    <w:rsid w:val="1BA84E74"/>
    <w:rsid w:val="1BAA0BEC"/>
    <w:rsid w:val="1BAB226E"/>
    <w:rsid w:val="1BB2184F"/>
    <w:rsid w:val="1BB27DB9"/>
    <w:rsid w:val="1BB747A9"/>
    <w:rsid w:val="1BB83309"/>
    <w:rsid w:val="1BBB6955"/>
    <w:rsid w:val="1BBD091F"/>
    <w:rsid w:val="1BBE6445"/>
    <w:rsid w:val="1BC30238"/>
    <w:rsid w:val="1BC7354C"/>
    <w:rsid w:val="1BC872C4"/>
    <w:rsid w:val="1BCA303C"/>
    <w:rsid w:val="1BCA6B98"/>
    <w:rsid w:val="1BCB1D7E"/>
    <w:rsid w:val="1BCB72FD"/>
    <w:rsid w:val="1BCD0437"/>
    <w:rsid w:val="1BCD6688"/>
    <w:rsid w:val="1BD01CD5"/>
    <w:rsid w:val="1BD25A4D"/>
    <w:rsid w:val="1BD417C5"/>
    <w:rsid w:val="1BD45C69"/>
    <w:rsid w:val="1BD5797C"/>
    <w:rsid w:val="1BD6553D"/>
    <w:rsid w:val="1BD87507"/>
    <w:rsid w:val="1BD9300C"/>
    <w:rsid w:val="1BDB2B53"/>
    <w:rsid w:val="1BDE0896"/>
    <w:rsid w:val="1BE0460E"/>
    <w:rsid w:val="1BE20386"/>
    <w:rsid w:val="1BE22134"/>
    <w:rsid w:val="1BE7774A"/>
    <w:rsid w:val="1BEC6B0F"/>
    <w:rsid w:val="1BED0AD9"/>
    <w:rsid w:val="1BEF3457"/>
    <w:rsid w:val="1BF400B9"/>
    <w:rsid w:val="1BF57933"/>
    <w:rsid w:val="1BF604D2"/>
    <w:rsid w:val="1BF6798D"/>
    <w:rsid w:val="1BF81957"/>
    <w:rsid w:val="1BFD51C0"/>
    <w:rsid w:val="1BFE2CE6"/>
    <w:rsid w:val="1C006A5E"/>
    <w:rsid w:val="1C024584"/>
    <w:rsid w:val="1C055E22"/>
    <w:rsid w:val="1C091D8D"/>
    <w:rsid w:val="1C095610"/>
    <w:rsid w:val="1C0C5403"/>
    <w:rsid w:val="1C0E2F29"/>
    <w:rsid w:val="1C103880"/>
    <w:rsid w:val="1C13053F"/>
    <w:rsid w:val="1C161DDD"/>
    <w:rsid w:val="1C163B8C"/>
    <w:rsid w:val="1C170489"/>
    <w:rsid w:val="1C18194D"/>
    <w:rsid w:val="1C1B3B19"/>
    <w:rsid w:val="1C1B73F4"/>
    <w:rsid w:val="1C27223D"/>
    <w:rsid w:val="1C2B7608"/>
    <w:rsid w:val="1C2C1601"/>
    <w:rsid w:val="1C2D7127"/>
    <w:rsid w:val="1C2F10F1"/>
    <w:rsid w:val="1C2F22BE"/>
    <w:rsid w:val="1C330BE1"/>
    <w:rsid w:val="1C381D54"/>
    <w:rsid w:val="1C3D736A"/>
    <w:rsid w:val="1C3E30E2"/>
    <w:rsid w:val="1C3E504A"/>
    <w:rsid w:val="1C3F7586"/>
    <w:rsid w:val="1C424981"/>
    <w:rsid w:val="1C4526C3"/>
    <w:rsid w:val="1C4A5F2B"/>
    <w:rsid w:val="1C511068"/>
    <w:rsid w:val="1C512E16"/>
    <w:rsid w:val="1C56667E"/>
    <w:rsid w:val="1C5F3784"/>
    <w:rsid w:val="1C625023"/>
    <w:rsid w:val="1C6568C1"/>
    <w:rsid w:val="1C662D65"/>
    <w:rsid w:val="1C672639"/>
    <w:rsid w:val="1C6E1C1A"/>
    <w:rsid w:val="1C6F7740"/>
    <w:rsid w:val="1C721C5B"/>
    <w:rsid w:val="1C744D56"/>
    <w:rsid w:val="1C776E36"/>
    <w:rsid w:val="1C784846"/>
    <w:rsid w:val="1C7A236C"/>
    <w:rsid w:val="1C7B60E4"/>
    <w:rsid w:val="1C7D1E5D"/>
    <w:rsid w:val="1C7D7062"/>
    <w:rsid w:val="1C8026B6"/>
    <w:rsid w:val="1C846B66"/>
    <w:rsid w:val="1C856F63"/>
    <w:rsid w:val="1C8B0A36"/>
    <w:rsid w:val="1C8F393E"/>
    <w:rsid w:val="1C9571A6"/>
    <w:rsid w:val="1C961170"/>
    <w:rsid w:val="1C962F1E"/>
    <w:rsid w:val="1C9A2A0F"/>
    <w:rsid w:val="1CA13D9D"/>
    <w:rsid w:val="1CA218C3"/>
    <w:rsid w:val="1CA61F02"/>
    <w:rsid w:val="1CA6502A"/>
    <w:rsid w:val="1CA7512B"/>
    <w:rsid w:val="1CAB69CA"/>
    <w:rsid w:val="1CAF0084"/>
    <w:rsid w:val="1CB02232"/>
    <w:rsid w:val="1CB17D58"/>
    <w:rsid w:val="1CB2219C"/>
    <w:rsid w:val="1CB530B4"/>
    <w:rsid w:val="1CB57848"/>
    <w:rsid w:val="1CB67C92"/>
    <w:rsid w:val="1CB87339"/>
    <w:rsid w:val="1CBD04AB"/>
    <w:rsid w:val="1CBF5FD1"/>
    <w:rsid w:val="1CC02AA7"/>
    <w:rsid w:val="1CC161ED"/>
    <w:rsid w:val="1CC23D13"/>
    <w:rsid w:val="1CC47A8B"/>
    <w:rsid w:val="1CC730D8"/>
    <w:rsid w:val="1CCA0FFC"/>
    <w:rsid w:val="1CCE090A"/>
    <w:rsid w:val="1CD001DE"/>
    <w:rsid w:val="1CDF602F"/>
    <w:rsid w:val="1CE26164"/>
    <w:rsid w:val="1CE67A02"/>
    <w:rsid w:val="1CEE4B08"/>
    <w:rsid w:val="1CEE68B6"/>
    <w:rsid w:val="1CEE6A7A"/>
    <w:rsid w:val="1CF10155"/>
    <w:rsid w:val="1CF55E97"/>
    <w:rsid w:val="1CF864FE"/>
    <w:rsid w:val="1CF87735"/>
    <w:rsid w:val="1CFA16FF"/>
    <w:rsid w:val="1CFA34AD"/>
    <w:rsid w:val="1CFB407F"/>
    <w:rsid w:val="1CFC5477"/>
    <w:rsid w:val="1CFD2DEB"/>
    <w:rsid w:val="1D0205B4"/>
    <w:rsid w:val="1D0E51AB"/>
    <w:rsid w:val="1D1125A5"/>
    <w:rsid w:val="1D1722B1"/>
    <w:rsid w:val="1D1A58FD"/>
    <w:rsid w:val="1D1C78C7"/>
    <w:rsid w:val="1D1D0F4A"/>
    <w:rsid w:val="1D2624F4"/>
    <w:rsid w:val="1D28635E"/>
    <w:rsid w:val="1D291FE4"/>
    <w:rsid w:val="1D300C7D"/>
    <w:rsid w:val="1D306ECF"/>
    <w:rsid w:val="1D361749"/>
    <w:rsid w:val="1D3A1AFC"/>
    <w:rsid w:val="1D3E15EC"/>
    <w:rsid w:val="1D445D2D"/>
    <w:rsid w:val="1D4A4435"/>
    <w:rsid w:val="1D4B1F5B"/>
    <w:rsid w:val="1D4D7A81"/>
    <w:rsid w:val="1D4E55EC"/>
    <w:rsid w:val="1D50131F"/>
    <w:rsid w:val="1D5030CD"/>
    <w:rsid w:val="1D5202A2"/>
    <w:rsid w:val="1D547061"/>
    <w:rsid w:val="1D5801D4"/>
    <w:rsid w:val="1D5C7CC4"/>
    <w:rsid w:val="1D631052"/>
    <w:rsid w:val="1D6B43AB"/>
    <w:rsid w:val="1D6D1ED1"/>
    <w:rsid w:val="1D7A45EE"/>
    <w:rsid w:val="1D7A4807"/>
    <w:rsid w:val="1D7E40DE"/>
    <w:rsid w:val="1D807281"/>
    <w:rsid w:val="1D862C8F"/>
    <w:rsid w:val="1D876420"/>
    <w:rsid w:val="1D880AB9"/>
    <w:rsid w:val="1D894E19"/>
    <w:rsid w:val="1D8D4321"/>
    <w:rsid w:val="1D9220A3"/>
    <w:rsid w:val="1D9303D6"/>
    <w:rsid w:val="1D943902"/>
    <w:rsid w:val="1D9456B0"/>
    <w:rsid w:val="1D962329"/>
    <w:rsid w:val="1D992CC6"/>
    <w:rsid w:val="1D9A47B6"/>
    <w:rsid w:val="1D9B6A3E"/>
    <w:rsid w:val="1D9C4564"/>
    <w:rsid w:val="1D9C6312"/>
    <w:rsid w:val="1DA4489F"/>
    <w:rsid w:val="1DA53B3F"/>
    <w:rsid w:val="1DAA6C81"/>
    <w:rsid w:val="1DB16262"/>
    <w:rsid w:val="1DB45D52"/>
    <w:rsid w:val="1DBA2C3C"/>
    <w:rsid w:val="1DBD70AE"/>
    <w:rsid w:val="1DBE3824"/>
    <w:rsid w:val="1DC87107"/>
    <w:rsid w:val="1DCB6BF8"/>
    <w:rsid w:val="1DCF03F4"/>
    <w:rsid w:val="1DCF493A"/>
    <w:rsid w:val="1DD261D8"/>
    <w:rsid w:val="1DD36DFA"/>
    <w:rsid w:val="1DD67A76"/>
    <w:rsid w:val="1DD737EE"/>
    <w:rsid w:val="1DD75402"/>
    <w:rsid w:val="1DE026A3"/>
    <w:rsid w:val="1DE06B47"/>
    <w:rsid w:val="1DE32193"/>
    <w:rsid w:val="1DE37C44"/>
    <w:rsid w:val="1DE55F0B"/>
    <w:rsid w:val="1DE63A32"/>
    <w:rsid w:val="1DE765A7"/>
    <w:rsid w:val="1DEB0A3D"/>
    <w:rsid w:val="1DED55CE"/>
    <w:rsid w:val="1DED6B6E"/>
    <w:rsid w:val="1DF517C5"/>
    <w:rsid w:val="1DFE521F"/>
    <w:rsid w:val="1E02610A"/>
    <w:rsid w:val="1E075364"/>
    <w:rsid w:val="1E087E4C"/>
    <w:rsid w:val="1E0F4D36"/>
    <w:rsid w:val="1E114F52"/>
    <w:rsid w:val="1E116D00"/>
    <w:rsid w:val="1E1862E1"/>
    <w:rsid w:val="1E193E07"/>
    <w:rsid w:val="1E1A4FF0"/>
    <w:rsid w:val="1E1E28AB"/>
    <w:rsid w:val="1E1E4F79"/>
    <w:rsid w:val="1E1E766F"/>
    <w:rsid w:val="1E217E45"/>
    <w:rsid w:val="1E220F0E"/>
    <w:rsid w:val="1E28404A"/>
    <w:rsid w:val="1E2F53D8"/>
    <w:rsid w:val="1E340C41"/>
    <w:rsid w:val="1E3E4729"/>
    <w:rsid w:val="1E3E4FB4"/>
    <w:rsid w:val="1E403142"/>
    <w:rsid w:val="1E433475"/>
    <w:rsid w:val="1E49784A"/>
    <w:rsid w:val="1E4E1D03"/>
    <w:rsid w:val="1E4F2C3F"/>
    <w:rsid w:val="1E4F5A7B"/>
    <w:rsid w:val="1E546CEA"/>
    <w:rsid w:val="1E555448"/>
    <w:rsid w:val="1E5723F7"/>
    <w:rsid w:val="1E5906A7"/>
    <w:rsid w:val="1E5B152D"/>
    <w:rsid w:val="1E5F5CBE"/>
    <w:rsid w:val="1E62130A"/>
    <w:rsid w:val="1E6432D4"/>
    <w:rsid w:val="1E652BA8"/>
    <w:rsid w:val="1E673F9C"/>
    <w:rsid w:val="1E696B3C"/>
    <w:rsid w:val="1E6E5F01"/>
    <w:rsid w:val="1E766B63"/>
    <w:rsid w:val="1E77796A"/>
    <w:rsid w:val="1E7C4299"/>
    <w:rsid w:val="1E7D7EF2"/>
    <w:rsid w:val="1E7F05AE"/>
    <w:rsid w:val="1E803A9B"/>
    <w:rsid w:val="1E821E95"/>
    <w:rsid w:val="1E867014"/>
    <w:rsid w:val="1E875215"/>
    <w:rsid w:val="1E8A0861"/>
    <w:rsid w:val="1E94348E"/>
    <w:rsid w:val="1E9B481C"/>
    <w:rsid w:val="1E9E5891"/>
    <w:rsid w:val="1E9E60BA"/>
    <w:rsid w:val="1E9F29BF"/>
    <w:rsid w:val="1E9F430C"/>
    <w:rsid w:val="1EA5569B"/>
    <w:rsid w:val="1EAA01A3"/>
    <w:rsid w:val="1EAA1AE8"/>
    <w:rsid w:val="1EAA4A5F"/>
    <w:rsid w:val="1EAB0F03"/>
    <w:rsid w:val="1EAC4C7B"/>
    <w:rsid w:val="1EAD7DE2"/>
    <w:rsid w:val="1EAE09F3"/>
    <w:rsid w:val="1EAE454F"/>
    <w:rsid w:val="1EAE5864"/>
    <w:rsid w:val="1EB018DF"/>
    <w:rsid w:val="1EB06519"/>
    <w:rsid w:val="1EB1403F"/>
    <w:rsid w:val="1EB15448"/>
    <w:rsid w:val="1EB15DEE"/>
    <w:rsid w:val="1EB3600A"/>
    <w:rsid w:val="1EB37DB8"/>
    <w:rsid w:val="1EBA0EAC"/>
    <w:rsid w:val="1EBA7398"/>
    <w:rsid w:val="1EBE4E7B"/>
    <w:rsid w:val="1EBF050A"/>
    <w:rsid w:val="1EC42C98"/>
    <w:rsid w:val="1EC64A9D"/>
    <w:rsid w:val="1ECD058E"/>
    <w:rsid w:val="1ECF04F0"/>
    <w:rsid w:val="1ED50531"/>
    <w:rsid w:val="1ED8781E"/>
    <w:rsid w:val="1EDB2E6A"/>
    <w:rsid w:val="1EDC730E"/>
    <w:rsid w:val="1EDF295B"/>
    <w:rsid w:val="1EE15A6C"/>
    <w:rsid w:val="1EED239C"/>
    <w:rsid w:val="1EF328AA"/>
    <w:rsid w:val="1EF81C6E"/>
    <w:rsid w:val="1EFF4DAB"/>
    <w:rsid w:val="1F005027"/>
    <w:rsid w:val="1F046865"/>
    <w:rsid w:val="1F070103"/>
    <w:rsid w:val="1F073C5F"/>
    <w:rsid w:val="1F093E7B"/>
    <w:rsid w:val="1F0B3750"/>
    <w:rsid w:val="1F0C1276"/>
    <w:rsid w:val="1F0C52E3"/>
    <w:rsid w:val="1F0E3293"/>
    <w:rsid w:val="1F105AB8"/>
    <w:rsid w:val="1F124EA7"/>
    <w:rsid w:val="1F136AA8"/>
    <w:rsid w:val="1F1545CE"/>
    <w:rsid w:val="1F197111"/>
    <w:rsid w:val="1F1C3BAF"/>
    <w:rsid w:val="1F1D3483"/>
    <w:rsid w:val="1F242A63"/>
    <w:rsid w:val="1F274302"/>
    <w:rsid w:val="1F28557B"/>
    <w:rsid w:val="1F29007A"/>
    <w:rsid w:val="1F291E28"/>
    <w:rsid w:val="1F2B5BA0"/>
    <w:rsid w:val="1F2E1635"/>
    <w:rsid w:val="1F2E743E"/>
    <w:rsid w:val="1F30765A"/>
    <w:rsid w:val="1F3709E9"/>
    <w:rsid w:val="1F372797"/>
    <w:rsid w:val="1F394761"/>
    <w:rsid w:val="1F443106"/>
    <w:rsid w:val="1F444AA3"/>
    <w:rsid w:val="1F460C2C"/>
    <w:rsid w:val="1F49071C"/>
    <w:rsid w:val="1F4B3E9E"/>
    <w:rsid w:val="1F4C2284"/>
    <w:rsid w:val="1F4D3D68"/>
    <w:rsid w:val="1F52137F"/>
    <w:rsid w:val="1F533349"/>
    <w:rsid w:val="1F536EA5"/>
    <w:rsid w:val="1F550E6F"/>
    <w:rsid w:val="1F552C1D"/>
    <w:rsid w:val="1F5570C1"/>
    <w:rsid w:val="1F5A46D7"/>
    <w:rsid w:val="1F5C044F"/>
    <w:rsid w:val="1F5C21FD"/>
    <w:rsid w:val="1F61475A"/>
    <w:rsid w:val="1F62533A"/>
    <w:rsid w:val="1F6966C8"/>
    <w:rsid w:val="1F6B41EE"/>
    <w:rsid w:val="1F6E4863"/>
    <w:rsid w:val="1F6E513F"/>
    <w:rsid w:val="1F6F048C"/>
    <w:rsid w:val="1F721A21"/>
    <w:rsid w:val="1F7638D9"/>
    <w:rsid w:val="1F777037"/>
    <w:rsid w:val="1F7A08D5"/>
    <w:rsid w:val="1F7C63FB"/>
    <w:rsid w:val="1F7D3F22"/>
    <w:rsid w:val="1F8452B0"/>
    <w:rsid w:val="1F884DA0"/>
    <w:rsid w:val="1F8A4FBC"/>
    <w:rsid w:val="1F8B4890"/>
    <w:rsid w:val="1F8D10C6"/>
    <w:rsid w:val="1F8E612F"/>
    <w:rsid w:val="1F8F25D3"/>
    <w:rsid w:val="1F9000F9"/>
    <w:rsid w:val="1F933745"/>
    <w:rsid w:val="1F9B509B"/>
    <w:rsid w:val="1F9C4CF0"/>
    <w:rsid w:val="1FA45268"/>
    <w:rsid w:val="1FA616CA"/>
    <w:rsid w:val="1FA80104"/>
    <w:rsid w:val="1FA802B9"/>
    <w:rsid w:val="1FAC33EA"/>
    <w:rsid w:val="1FAD2A59"/>
    <w:rsid w:val="1FAD4807"/>
    <w:rsid w:val="1FB042F7"/>
    <w:rsid w:val="1FB07AC3"/>
    <w:rsid w:val="1FB5190D"/>
    <w:rsid w:val="1FB738D7"/>
    <w:rsid w:val="1FB843E7"/>
    <w:rsid w:val="1FBE4C66"/>
    <w:rsid w:val="1FC13108"/>
    <w:rsid w:val="1FC3402A"/>
    <w:rsid w:val="1FC55DBE"/>
    <w:rsid w:val="1FCA066A"/>
    <w:rsid w:val="1FCA360B"/>
    <w:rsid w:val="1FCD4EA9"/>
    <w:rsid w:val="1FD06747"/>
    <w:rsid w:val="1FD224BF"/>
    <w:rsid w:val="1FD55B0C"/>
    <w:rsid w:val="1FD60202"/>
    <w:rsid w:val="1FD72E25"/>
    <w:rsid w:val="1FD91AA0"/>
    <w:rsid w:val="1FDE70B6"/>
    <w:rsid w:val="1FE02E2E"/>
    <w:rsid w:val="1FE10954"/>
    <w:rsid w:val="1FE31210"/>
    <w:rsid w:val="1FE426A0"/>
    <w:rsid w:val="1FEF3071"/>
    <w:rsid w:val="1FFB37C4"/>
    <w:rsid w:val="1FFF6E7D"/>
    <w:rsid w:val="200054D9"/>
    <w:rsid w:val="2000702C"/>
    <w:rsid w:val="20015EDA"/>
    <w:rsid w:val="20020FF7"/>
    <w:rsid w:val="20054643"/>
    <w:rsid w:val="20062518"/>
    <w:rsid w:val="20085EE1"/>
    <w:rsid w:val="200F7B00"/>
    <w:rsid w:val="20174376"/>
    <w:rsid w:val="201C198C"/>
    <w:rsid w:val="201E74B3"/>
    <w:rsid w:val="20230F6D"/>
    <w:rsid w:val="20232D1B"/>
    <w:rsid w:val="20256A93"/>
    <w:rsid w:val="202D3B9A"/>
    <w:rsid w:val="20337402"/>
    <w:rsid w:val="20390790"/>
    <w:rsid w:val="203B5D95"/>
    <w:rsid w:val="203C098B"/>
    <w:rsid w:val="203E1903"/>
    <w:rsid w:val="20401B1F"/>
    <w:rsid w:val="204213F3"/>
    <w:rsid w:val="2043260B"/>
    <w:rsid w:val="20474C5B"/>
    <w:rsid w:val="20476A09"/>
    <w:rsid w:val="204809D3"/>
    <w:rsid w:val="20482782"/>
    <w:rsid w:val="20496676"/>
    <w:rsid w:val="204A5756"/>
    <w:rsid w:val="204C2272"/>
    <w:rsid w:val="204C4020"/>
    <w:rsid w:val="204F4230"/>
    <w:rsid w:val="204F58BE"/>
    <w:rsid w:val="205904EB"/>
    <w:rsid w:val="20592BE1"/>
    <w:rsid w:val="205E01F7"/>
    <w:rsid w:val="205E1FA5"/>
    <w:rsid w:val="206046DD"/>
    <w:rsid w:val="20607AD1"/>
    <w:rsid w:val="20656BE4"/>
    <w:rsid w:val="20672C08"/>
    <w:rsid w:val="20694BCD"/>
    <w:rsid w:val="206E043A"/>
    <w:rsid w:val="207035BF"/>
    <w:rsid w:val="20735512"/>
    <w:rsid w:val="208319DF"/>
    <w:rsid w:val="20831A0C"/>
    <w:rsid w:val="20867C96"/>
    <w:rsid w:val="20875058"/>
    <w:rsid w:val="20880DD0"/>
    <w:rsid w:val="208C6B12"/>
    <w:rsid w:val="208E288A"/>
    <w:rsid w:val="209105AD"/>
    <w:rsid w:val="209354CA"/>
    <w:rsid w:val="20983EB6"/>
    <w:rsid w:val="209E23A2"/>
    <w:rsid w:val="20A3123C"/>
    <w:rsid w:val="20A7394C"/>
    <w:rsid w:val="20A74FBA"/>
    <w:rsid w:val="20A756FA"/>
    <w:rsid w:val="20AA51EA"/>
    <w:rsid w:val="20B05033"/>
    <w:rsid w:val="20B16579"/>
    <w:rsid w:val="20B41BC5"/>
    <w:rsid w:val="20B63B8F"/>
    <w:rsid w:val="20B65FAF"/>
    <w:rsid w:val="20B816B5"/>
    <w:rsid w:val="20C16E58"/>
    <w:rsid w:val="20CC5834"/>
    <w:rsid w:val="20E8770D"/>
    <w:rsid w:val="20ED7432"/>
    <w:rsid w:val="20F46465"/>
    <w:rsid w:val="20F555B5"/>
    <w:rsid w:val="20F748D2"/>
    <w:rsid w:val="20FB5A46"/>
    <w:rsid w:val="20FD17BE"/>
    <w:rsid w:val="210A4734"/>
    <w:rsid w:val="210B5E71"/>
    <w:rsid w:val="210F0963"/>
    <w:rsid w:val="21110DC5"/>
    <w:rsid w:val="21117017"/>
    <w:rsid w:val="211B39F2"/>
    <w:rsid w:val="211D59BC"/>
    <w:rsid w:val="21210FCF"/>
    <w:rsid w:val="21236F43"/>
    <w:rsid w:val="212E5E1B"/>
    <w:rsid w:val="213056EF"/>
    <w:rsid w:val="21330813"/>
    <w:rsid w:val="21354B49"/>
    <w:rsid w:val="21372D0F"/>
    <w:rsid w:val="213C22E6"/>
    <w:rsid w:val="213D1BBA"/>
    <w:rsid w:val="21405125"/>
    <w:rsid w:val="214271D1"/>
    <w:rsid w:val="21430308"/>
    <w:rsid w:val="21466CC1"/>
    <w:rsid w:val="21467ABC"/>
    <w:rsid w:val="214F7359"/>
    <w:rsid w:val="21507B40"/>
    <w:rsid w:val="2152133A"/>
    <w:rsid w:val="215A276C"/>
    <w:rsid w:val="216102D0"/>
    <w:rsid w:val="21642211"/>
    <w:rsid w:val="216435EB"/>
    <w:rsid w:val="21667363"/>
    <w:rsid w:val="21674E89"/>
    <w:rsid w:val="2168340C"/>
    <w:rsid w:val="216929AF"/>
    <w:rsid w:val="216B2BCB"/>
    <w:rsid w:val="217952E8"/>
    <w:rsid w:val="217A2E0F"/>
    <w:rsid w:val="217C0935"/>
    <w:rsid w:val="2181419D"/>
    <w:rsid w:val="21845A3B"/>
    <w:rsid w:val="21863561"/>
    <w:rsid w:val="21897ECB"/>
    <w:rsid w:val="218B53BC"/>
    <w:rsid w:val="218E0668"/>
    <w:rsid w:val="21920158"/>
    <w:rsid w:val="219537A4"/>
    <w:rsid w:val="219D08AB"/>
    <w:rsid w:val="219E4D4F"/>
    <w:rsid w:val="21A63C04"/>
    <w:rsid w:val="21A8172A"/>
    <w:rsid w:val="21AE2AB8"/>
    <w:rsid w:val="21B03B55"/>
    <w:rsid w:val="21B31E7D"/>
    <w:rsid w:val="21BC3427"/>
    <w:rsid w:val="21BC51D5"/>
    <w:rsid w:val="21BF0821"/>
    <w:rsid w:val="21C10A3D"/>
    <w:rsid w:val="21C706C4"/>
    <w:rsid w:val="21C83B7A"/>
    <w:rsid w:val="21C916A0"/>
    <w:rsid w:val="21CB27F1"/>
    <w:rsid w:val="21CF315A"/>
    <w:rsid w:val="21D267A7"/>
    <w:rsid w:val="21D342CD"/>
    <w:rsid w:val="21D544E9"/>
    <w:rsid w:val="21DB46C8"/>
    <w:rsid w:val="21DE514B"/>
    <w:rsid w:val="21E12E8E"/>
    <w:rsid w:val="21E62252"/>
    <w:rsid w:val="21E93569"/>
    <w:rsid w:val="21E93AF0"/>
    <w:rsid w:val="21ED01F5"/>
    <w:rsid w:val="21EF7079"/>
    <w:rsid w:val="21F26040"/>
    <w:rsid w:val="21F8186C"/>
    <w:rsid w:val="21F93D33"/>
    <w:rsid w:val="21FC167D"/>
    <w:rsid w:val="21FF3314"/>
    <w:rsid w:val="22032E04"/>
    <w:rsid w:val="22056B7C"/>
    <w:rsid w:val="220608A2"/>
    <w:rsid w:val="220628F4"/>
    <w:rsid w:val="220646A2"/>
    <w:rsid w:val="22086346"/>
    <w:rsid w:val="2208666C"/>
    <w:rsid w:val="220964A4"/>
    <w:rsid w:val="220A23E4"/>
    <w:rsid w:val="220B7F0B"/>
    <w:rsid w:val="220F1234"/>
    <w:rsid w:val="221943D6"/>
    <w:rsid w:val="221A365E"/>
    <w:rsid w:val="221C3EC6"/>
    <w:rsid w:val="22205764"/>
    <w:rsid w:val="22235254"/>
    <w:rsid w:val="22266AF2"/>
    <w:rsid w:val="22274816"/>
    <w:rsid w:val="222D224E"/>
    <w:rsid w:val="22350AE4"/>
    <w:rsid w:val="2237485C"/>
    <w:rsid w:val="223A40EF"/>
    <w:rsid w:val="223C63CB"/>
    <w:rsid w:val="223D6DA5"/>
    <w:rsid w:val="224469E3"/>
    <w:rsid w:val="22460F43"/>
    <w:rsid w:val="224A27E1"/>
    <w:rsid w:val="224E5C00"/>
    <w:rsid w:val="224F429B"/>
    <w:rsid w:val="224F66C7"/>
    <w:rsid w:val="2254541C"/>
    <w:rsid w:val="22561186"/>
    <w:rsid w:val="225B2099"/>
    <w:rsid w:val="22604A7B"/>
    <w:rsid w:val="22610ADC"/>
    <w:rsid w:val="226225B1"/>
    <w:rsid w:val="2265761B"/>
    <w:rsid w:val="22673393"/>
    <w:rsid w:val="22682C67"/>
    <w:rsid w:val="226A4C31"/>
    <w:rsid w:val="226B5457"/>
    <w:rsid w:val="226F2247"/>
    <w:rsid w:val="226F3FF6"/>
    <w:rsid w:val="227B405E"/>
    <w:rsid w:val="227C6712"/>
    <w:rsid w:val="227F528A"/>
    <w:rsid w:val="22806203"/>
    <w:rsid w:val="22873A35"/>
    <w:rsid w:val="22877591"/>
    <w:rsid w:val="22885BF9"/>
    <w:rsid w:val="22895117"/>
    <w:rsid w:val="228965D3"/>
    <w:rsid w:val="228A7081"/>
    <w:rsid w:val="2296541A"/>
    <w:rsid w:val="229879F0"/>
    <w:rsid w:val="22993768"/>
    <w:rsid w:val="22A16179"/>
    <w:rsid w:val="22A95394"/>
    <w:rsid w:val="22AA7723"/>
    <w:rsid w:val="22AB3233"/>
    <w:rsid w:val="22AD2D70"/>
    <w:rsid w:val="22B61C24"/>
    <w:rsid w:val="22BB6551"/>
    <w:rsid w:val="22BD1205"/>
    <w:rsid w:val="22BE4F7D"/>
    <w:rsid w:val="22BE6D2B"/>
    <w:rsid w:val="22C00CF5"/>
    <w:rsid w:val="22C02AA3"/>
    <w:rsid w:val="22C17821"/>
    <w:rsid w:val="22C2681B"/>
    <w:rsid w:val="22C6199A"/>
    <w:rsid w:val="22C72083"/>
    <w:rsid w:val="22C75A2E"/>
    <w:rsid w:val="22C81958"/>
    <w:rsid w:val="22CA1B74"/>
    <w:rsid w:val="22CA3922"/>
    <w:rsid w:val="22CC0F2A"/>
    <w:rsid w:val="22CC1448"/>
    <w:rsid w:val="22CD2452"/>
    <w:rsid w:val="22CF2CE6"/>
    <w:rsid w:val="22D84291"/>
    <w:rsid w:val="22DB49BE"/>
    <w:rsid w:val="22DB5B2F"/>
    <w:rsid w:val="22DC2A30"/>
    <w:rsid w:val="22DD3655"/>
    <w:rsid w:val="22E22A19"/>
    <w:rsid w:val="22E54C87"/>
    <w:rsid w:val="22E54E3C"/>
    <w:rsid w:val="22E76282"/>
    <w:rsid w:val="22E83DA8"/>
    <w:rsid w:val="22EE1374"/>
    <w:rsid w:val="22F02C37"/>
    <w:rsid w:val="22F17100"/>
    <w:rsid w:val="22F664C5"/>
    <w:rsid w:val="22FA4207"/>
    <w:rsid w:val="22FD3574"/>
    <w:rsid w:val="22FD7853"/>
    <w:rsid w:val="22FF35CB"/>
    <w:rsid w:val="23005249"/>
    <w:rsid w:val="23046E34"/>
    <w:rsid w:val="23056708"/>
    <w:rsid w:val="2309444A"/>
    <w:rsid w:val="2318468D"/>
    <w:rsid w:val="23194618"/>
    <w:rsid w:val="231A0926"/>
    <w:rsid w:val="231D6147"/>
    <w:rsid w:val="231F5C99"/>
    <w:rsid w:val="2322375E"/>
    <w:rsid w:val="23272B22"/>
    <w:rsid w:val="23290648"/>
    <w:rsid w:val="232A43C0"/>
    <w:rsid w:val="232C0139"/>
    <w:rsid w:val="232E2103"/>
    <w:rsid w:val="232E3EB1"/>
    <w:rsid w:val="2335523F"/>
    <w:rsid w:val="23386ADD"/>
    <w:rsid w:val="233C481F"/>
    <w:rsid w:val="233C55E1"/>
    <w:rsid w:val="233E17D0"/>
    <w:rsid w:val="23405992"/>
    <w:rsid w:val="23411E36"/>
    <w:rsid w:val="2342170A"/>
    <w:rsid w:val="23424FFC"/>
    <w:rsid w:val="23445482"/>
    <w:rsid w:val="23447230"/>
    <w:rsid w:val="23492A98"/>
    <w:rsid w:val="234C2589"/>
    <w:rsid w:val="23563407"/>
    <w:rsid w:val="23586A43"/>
    <w:rsid w:val="235C2297"/>
    <w:rsid w:val="235F0836"/>
    <w:rsid w:val="23623B5A"/>
    <w:rsid w:val="23645B24"/>
    <w:rsid w:val="23651C9F"/>
    <w:rsid w:val="236553F8"/>
    <w:rsid w:val="23696C97"/>
    <w:rsid w:val="236B51E7"/>
    <w:rsid w:val="23700025"/>
    <w:rsid w:val="237A0EA4"/>
    <w:rsid w:val="237D251C"/>
    <w:rsid w:val="237F295E"/>
    <w:rsid w:val="23857832"/>
    <w:rsid w:val="238B4600"/>
    <w:rsid w:val="238B4E5F"/>
    <w:rsid w:val="238E6718"/>
    <w:rsid w:val="239006C7"/>
    <w:rsid w:val="2393640A"/>
    <w:rsid w:val="23953F30"/>
    <w:rsid w:val="239575E6"/>
    <w:rsid w:val="23963804"/>
    <w:rsid w:val="2398757C"/>
    <w:rsid w:val="239A32F4"/>
    <w:rsid w:val="239D182C"/>
    <w:rsid w:val="239D4B92"/>
    <w:rsid w:val="239E0527"/>
    <w:rsid w:val="239E30F8"/>
    <w:rsid w:val="239F6B5C"/>
    <w:rsid w:val="23A35ADA"/>
    <w:rsid w:val="23A62696"/>
    <w:rsid w:val="23A7180F"/>
    <w:rsid w:val="23A75A11"/>
    <w:rsid w:val="23B02B18"/>
    <w:rsid w:val="23B24AE2"/>
    <w:rsid w:val="23B31D5F"/>
    <w:rsid w:val="23B56380"/>
    <w:rsid w:val="23BD6FE3"/>
    <w:rsid w:val="23BE3486"/>
    <w:rsid w:val="23BE5285"/>
    <w:rsid w:val="23C16AD3"/>
    <w:rsid w:val="23C30A9D"/>
    <w:rsid w:val="23C659E4"/>
    <w:rsid w:val="23C661FA"/>
    <w:rsid w:val="23C91E2B"/>
    <w:rsid w:val="23CE2F9E"/>
    <w:rsid w:val="23D20CE0"/>
    <w:rsid w:val="23D26F32"/>
    <w:rsid w:val="23DC4E4F"/>
    <w:rsid w:val="23DE59BA"/>
    <w:rsid w:val="23E97DD8"/>
    <w:rsid w:val="23EB3172"/>
    <w:rsid w:val="23EC3D11"/>
    <w:rsid w:val="23ED1676"/>
    <w:rsid w:val="23ED5B1A"/>
    <w:rsid w:val="23EE0080"/>
    <w:rsid w:val="23F073B8"/>
    <w:rsid w:val="23F314B9"/>
    <w:rsid w:val="23F724F4"/>
    <w:rsid w:val="23F95193"/>
    <w:rsid w:val="23FA0237"/>
    <w:rsid w:val="23FF4CA7"/>
    <w:rsid w:val="24084702"/>
    <w:rsid w:val="24095EC2"/>
    <w:rsid w:val="240B75A8"/>
    <w:rsid w:val="240F5DE0"/>
    <w:rsid w:val="24117358"/>
    <w:rsid w:val="24134E54"/>
    <w:rsid w:val="2418246B"/>
    <w:rsid w:val="241E3F25"/>
    <w:rsid w:val="241E5CD3"/>
    <w:rsid w:val="242343C0"/>
    <w:rsid w:val="242A2E19"/>
    <w:rsid w:val="242B03F0"/>
    <w:rsid w:val="242B0459"/>
    <w:rsid w:val="242D5F16"/>
    <w:rsid w:val="242F26B6"/>
    <w:rsid w:val="2434206F"/>
    <w:rsid w:val="24482D50"/>
    <w:rsid w:val="244871F4"/>
    <w:rsid w:val="244B1E69"/>
    <w:rsid w:val="244C16FD"/>
    <w:rsid w:val="244C26BE"/>
    <w:rsid w:val="244D0366"/>
    <w:rsid w:val="244F233A"/>
    <w:rsid w:val="245051B0"/>
    <w:rsid w:val="245142FB"/>
    <w:rsid w:val="24523BCF"/>
    <w:rsid w:val="245C2C9F"/>
    <w:rsid w:val="245C4A01"/>
    <w:rsid w:val="24613E12"/>
    <w:rsid w:val="246851A0"/>
    <w:rsid w:val="24686FE5"/>
    <w:rsid w:val="246B6A3F"/>
    <w:rsid w:val="24704055"/>
    <w:rsid w:val="247052C5"/>
    <w:rsid w:val="247104F9"/>
    <w:rsid w:val="24727DCD"/>
    <w:rsid w:val="24741A72"/>
    <w:rsid w:val="24743B45"/>
    <w:rsid w:val="24760BE2"/>
    <w:rsid w:val="247B1377"/>
    <w:rsid w:val="2480073C"/>
    <w:rsid w:val="248144B4"/>
    <w:rsid w:val="24816262"/>
    <w:rsid w:val="24855D52"/>
    <w:rsid w:val="24885842"/>
    <w:rsid w:val="248C5333"/>
    <w:rsid w:val="24912949"/>
    <w:rsid w:val="2492221D"/>
    <w:rsid w:val="24942439"/>
    <w:rsid w:val="24945F95"/>
    <w:rsid w:val="24961D0D"/>
    <w:rsid w:val="24997A50"/>
    <w:rsid w:val="249D7540"/>
    <w:rsid w:val="249E5066"/>
    <w:rsid w:val="249F17D3"/>
    <w:rsid w:val="24A00233"/>
    <w:rsid w:val="24A37D02"/>
    <w:rsid w:val="24A51F50"/>
    <w:rsid w:val="24A843FE"/>
    <w:rsid w:val="24B86128"/>
    <w:rsid w:val="24C10D89"/>
    <w:rsid w:val="24CA19B7"/>
    <w:rsid w:val="24CC1BD3"/>
    <w:rsid w:val="24CC3981"/>
    <w:rsid w:val="24CF521F"/>
    <w:rsid w:val="24D42836"/>
    <w:rsid w:val="24D6035C"/>
    <w:rsid w:val="24DA2BBE"/>
    <w:rsid w:val="24DB3BC4"/>
    <w:rsid w:val="24DB6E55"/>
    <w:rsid w:val="24DE57D6"/>
    <w:rsid w:val="24E0567E"/>
    <w:rsid w:val="24E33EA6"/>
    <w:rsid w:val="24E964E8"/>
    <w:rsid w:val="24EF75A7"/>
    <w:rsid w:val="24F5448C"/>
    <w:rsid w:val="24F609FE"/>
    <w:rsid w:val="24F84776"/>
    <w:rsid w:val="2501777F"/>
    <w:rsid w:val="25046061"/>
    <w:rsid w:val="25090731"/>
    <w:rsid w:val="250C6474"/>
    <w:rsid w:val="250D7AF6"/>
    <w:rsid w:val="250F1AC0"/>
    <w:rsid w:val="25143E89"/>
    <w:rsid w:val="251C4037"/>
    <w:rsid w:val="251E1D03"/>
    <w:rsid w:val="252437BD"/>
    <w:rsid w:val="2524556B"/>
    <w:rsid w:val="252B661C"/>
    <w:rsid w:val="25323DC4"/>
    <w:rsid w:val="25341526"/>
    <w:rsid w:val="253432D4"/>
    <w:rsid w:val="253D662D"/>
    <w:rsid w:val="25421E95"/>
    <w:rsid w:val="254774AC"/>
    <w:rsid w:val="254A2AF8"/>
    <w:rsid w:val="254E25E8"/>
    <w:rsid w:val="255676EF"/>
    <w:rsid w:val="25583467"/>
    <w:rsid w:val="255D282B"/>
    <w:rsid w:val="256A4F48"/>
    <w:rsid w:val="256C0CC0"/>
    <w:rsid w:val="256C6F12"/>
    <w:rsid w:val="257162D7"/>
    <w:rsid w:val="25740E92"/>
    <w:rsid w:val="25753D18"/>
    <w:rsid w:val="25761B3F"/>
    <w:rsid w:val="25777D91"/>
    <w:rsid w:val="25781413"/>
    <w:rsid w:val="25787665"/>
    <w:rsid w:val="257B7155"/>
    <w:rsid w:val="257C53A7"/>
    <w:rsid w:val="257F09F3"/>
    <w:rsid w:val="257F3613"/>
    <w:rsid w:val="258239F9"/>
    <w:rsid w:val="258254C2"/>
    <w:rsid w:val="25826736"/>
    <w:rsid w:val="258424AE"/>
    <w:rsid w:val="2584600A"/>
    <w:rsid w:val="25847A9B"/>
    <w:rsid w:val="258B55EA"/>
    <w:rsid w:val="259B3353"/>
    <w:rsid w:val="259C15A5"/>
    <w:rsid w:val="259C7458"/>
    <w:rsid w:val="259D3570"/>
    <w:rsid w:val="259D70CC"/>
    <w:rsid w:val="25A246E2"/>
    <w:rsid w:val="25A6790C"/>
    <w:rsid w:val="25A92E69"/>
    <w:rsid w:val="25A93CC2"/>
    <w:rsid w:val="25AF56A8"/>
    <w:rsid w:val="25B06DFF"/>
    <w:rsid w:val="25B20DC9"/>
    <w:rsid w:val="25B34B41"/>
    <w:rsid w:val="25B71256"/>
    <w:rsid w:val="25B763DF"/>
    <w:rsid w:val="25BA7C7E"/>
    <w:rsid w:val="25BC39F6"/>
    <w:rsid w:val="25BE5F7F"/>
    <w:rsid w:val="25BF34E6"/>
    <w:rsid w:val="25C26B32"/>
    <w:rsid w:val="25C40AFC"/>
    <w:rsid w:val="25C603D0"/>
    <w:rsid w:val="25CC175F"/>
    <w:rsid w:val="25CC2E6A"/>
    <w:rsid w:val="25CC4F38"/>
    <w:rsid w:val="25D074A1"/>
    <w:rsid w:val="25D845A8"/>
    <w:rsid w:val="25DD396C"/>
    <w:rsid w:val="25E116AE"/>
    <w:rsid w:val="25E42F4C"/>
    <w:rsid w:val="25EB6089"/>
    <w:rsid w:val="25EB7E37"/>
    <w:rsid w:val="25EF3DCB"/>
    <w:rsid w:val="25F0173F"/>
    <w:rsid w:val="25F018F1"/>
    <w:rsid w:val="25F0369F"/>
    <w:rsid w:val="25FE1F57"/>
    <w:rsid w:val="25FF38E2"/>
    <w:rsid w:val="26041B6B"/>
    <w:rsid w:val="26046186"/>
    <w:rsid w:val="26070462"/>
    <w:rsid w:val="26103D41"/>
    <w:rsid w:val="26170C2C"/>
    <w:rsid w:val="261750D0"/>
    <w:rsid w:val="261849A4"/>
    <w:rsid w:val="261A696E"/>
    <w:rsid w:val="26211AAB"/>
    <w:rsid w:val="262A3886"/>
    <w:rsid w:val="263C2DB6"/>
    <w:rsid w:val="26404E20"/>
    <w:rsid w:val="2641214D"/>
    <w:rsid w:val="26461511"/>
    <w:rsid w:val="26465DC5"/>
    <w:rsid w:val="26487037"/>
    <w:rsid w:val="264D0AF2"/>
    <w:rsid w:val="26532A92"/>
    <w:rsid w:val="265C2AE3"/>
    <w:rsid w:val="26630315"/>
    <w:rsid w:val="26657A78"/>
    <w:rsid w:val="266B4AD8"/>
    <w:rsid w:val="266B71CA"/>
    <w:rsid w:val="266D2F42"/>
    <w:rsid w:val="2673570E"/>
    <w:rsid w:val="26753BA5"/>
    <w:rsid w:val="26755E2C"/>
    <w:rsid w:val="267B7681"/>
    <w:rsid w:val="267C3185"/>
    <w:rsid w:val="267E6EFD"/>
    <w:rsid w:val="2680391F"/>
    <w:rsid w:val="268362C1"/>
    <w:rsid w:val="268564DD"/>
    <w:rsid w:val="26865DB2"/>
    <w:rsid w:val="26890B30"/>
    <w:rsid w:val="26891855"/>
    <w:rsid w:val="26914E82"/>
    <w:rsid w:val="269229A8"/>
    <w:rsid w:val="26937061"/>
    <w:rsid w:val="26937225"/>
    <w:rsid w:val="2694227D"/>
    <w:rsid w:val="26943F86"/>
    <w:rsid w:val="26962499"/>
    <w:rsid w:val="269851E1"/>
    <w:rsid w:val="269E134D"/>
    <w:rsid w:val="26A30712"/>
    <w:rsid w:val="26A36964"/>
    <w:rsid w:val="26A56238"/>
    <w:rsid w:val="26A57B72"/>
    <w:rsid w:val="26AA1A7C"/>
    <w:rsid w:val="26B02E2F"/>
    <w:rsid w:val="26B75F6B"/>
    <w:rsid w:val="26BA4560"/>
    <w:rsid w:val="26C30DB4"/>
    <w:rsid w:val="26C412B6"/>
    <w:rsid w:val="26C568DA"/>
    <w:rsid w:val="26C64400"/>
    <w:rsid w:val="26C863CA"/>
    <w:rsid w:val="26C92BC5"/>
    <w:rsid w:val="26D0702D"/>
    <w:rsid w:val="26DB60FD"/>
    <w:rsid w:val="26DB7EAB"/>
    <w:rsid w:val="26DC54DA"/>
    <w:rsid w:val="26DE174A"/>
    <w:rsid w:val="26E03714"/>
    <w:rsid w:val="26E054C2"/>
    <w:rsid w:val="26E2748C"/>
    <w:rsid w:val="26E8081A"/>
    <w:rsid w:val="26EC24A4"/>
    <w:rsid w:val="26ED5E31"/>
    <w:rsid w:val="26EF3957"/>
    <w:rsid w:val="26F31699"/>
    <w:rsid w:val="26F62F37"/>
    <w:rsid w:val="26F86CAF"/>
    <w:rsid w:val="26F96584"/>
    <w:rsid w:val="26F969CE"/>
    <w:rsid w:val="26FB4305"/>
    <w:rsid w:val="26FD2518"/>
    <w:rsid w:val="27007912"/>
    <w:rsid w:val="27027B2E"/>
    <w:rsid w:val="27040EBB"/>
    <w:rsid w:val="270578EC"/>
    <w:rsid w:val="2709648F"/>
    <w:rsid w:val="270D202F"/>
    <w:rsid w:val="270E647B"/>
    <w:rsid w:val="27117D71"/>
    <w:rsid w:val="27135897"/>
    <w:rsid w:val="271433BD"/>
    <w:rsid w:val="271635D9"/>
    <w:rsid w:val="27166BAC"/>
    <w:rsid w:val="271C2272"/>
    <w:rsid w:val="271D6716"/>
    <w:rsid w:val="271F4221"/>
    <w:rsid w:val="27202D3F"/>
    <w:rsid w:val="27206206"/>
    <w:rsid w:val="272B367E"/>
    <w:rsid w:val="272C0707"/>
    <w:rsid w:val="272C6EB9"/>
    <w:rsid w:val="272D4881"/>
    <w:rsid w:val="272F08E2"/>
    <w:rsid w:val="27327271"/>
    <w:rsid w:val="27335F39"/>
    <w:rsid w:val="27361586"/>
    <w:rsid w:val="273852FE"/>
    <w:rsid w:val="273D2914"/>
    <w:rsid w:val="27400656"/>
    <w:rsid w:val="27455C6D"/>
    <w:rsid w:val="274666AE"/>
    <w:rsid w:val="274676FC"/>
    <w:rsid w:val="27475541"/>
    <w:rsid w:val="274C29DB"/>
    <w:rsid w:val="274C5843"/>
    <w:rsid w:val="27511310"/>
    <w:rsid w:val="2753038A"/>
    <w:rsid w:val="27541561"/>
    <w:rsid w:val="27541A0C"/>
    <w:rsid w:val="275A7954"/>
    <w:rsid w:val="275B2D9A"/>
    <w:rsid w:val="275B3E1E"/>
    <w:rsid w:val="275D6B12"/>
    <w:rsid w:val="27630C0D"/>
    <w:rsid w:val="27636686"/>
    <w:rsid w:val="27684462"/>
    <w:rsid w:val="276A59DB"/>
    <w:rsid w:val="276B56D3"/>
    <w:rsid w:val="276D7AF2"/>
    <w:rsid w:val="27703DC3"/>
    <w:rsid w:val="277A3B68"/>
    <w:rsid w:val="277B51EB"/>
    <w:rsid w:val="277B7067"/>
    <w:rsid w:val="277D5407"/>
    <w:rsid w:val="277E2C99"/>
    <w:rsid w:val="27814EF7"/>
    <w:rsid w:val="278542BB"/>
    <w:rsid w:val="27872CDC"/>
    <w:rsid w:val="278B7B24"/>
    <w:rsid w:val="278C7E6E"/>
    <w:rsid w:val="278F0C96"/>
    <w:rsid w:val="2792259F"/>
    <w:rsid w:val="279978A1"/>
    <w:rsid w:val="279A4EC5"/>
    <w:rsid w:val="279B71DA"/>
    <w:rsid w:val="279D1605"/>
    <w:rsid w:val="27A02EA3"/>
    <w:rsid w:val="27A04C51"/>
    <w:rsid w:val="27A42993"/>
    <w:rsid w:val="27A6495D"/>
    <w:rsid w:val="27A72484"/>
    <w:rsid w:val="27A91D58"/>
    <w:rsid w:val="27B5694E"/>
    <w:rsid w:val="27BA5D13"/>
    <w:rsid w:val="27BE3C67"/>
    <w:rsid w:val="27BF77CD"/>
    <w:rsid w:val="27C272BD"/>
    <w:rsid w:val="27C43035"/>
    <w:rsid w:val="27C44DE4"/>
    <w:rsid w:val="27C923FA"/>
    <w:rsid w:val="27CB43C4"/>
    <w:rsid w:val="27CE17BE"/>
    <w:rsid w:val="27D86739"/>
    <w:rsid w:val="27DA4607"/>
    <w:rsid w:val="27DC037F"/>
    <w:rsid w:val="27DD40F7"/>
    <w:rsid w:val="27E234BC"/>
    <w:rsid w:val="27E25DE6"/>
    <w:rsid w:val="27E62FAC"/>
    <w:rsid w:val="27E965F8"/>
    <w:rsid w:val="27EB2370"/>
    <w:rsid w:val="27EB6814"/>
    <w:rsid w:val="27EC14FD"/>
    <w:rsid w:val="27EE3C0E"/>
    <w:rsid w:val="27F37477"/>
    <w:rsid w:val="27F751B9"/>
    <w:rsid w:val="27FB23CD"/>
    <w:rsid w:val="27FF406E"/>
    <w:rsid w:val="27FF7BCA"/>
    <w:rsid w:val="2802334F"/>
    <w:rsid w:val="28031BCE"/>
    <w:rsid w:val="280C4F25"/>
    <w:rsid w:val="280D0539"/>
    <w:rsid w:val="28135FC7"/>
    <w:rsid w:val="28153891"/>
    <w:rsid w:val="28174CD6"/>
    <w:rsid w:val="281A4A03"/>
    <w:rsid w:val="281D44F4"/>
    <w:rsid w:val="281E2746"/>
    <w:rsid w:val="28213FE4"/>
    <w:rsid w:val="28235FAE"/>
    <w:rsid w:val="28237D5C"/>
    <w:rsid w:val="2824610E"/>
    <w:rsid w:val="28285372"/>
    <w:rsid w:val="282A2D36"/>
    <w:rsid w:val="282C4737"/>
    <w:rsid w:val="282F6F65"/>
    <w:rsid w:val="28357A8F"/>
    <w:rsid w:val="283A32F8"/>
    <w:rsid w:val="283E5C7F"/>
    <w:rsid w:val="283F446A"/>
    <w:rsid w:val="28407F43"/>
    <w:rsid w:val="284303FE"/>
    <w:rsid w:val="28485A15"/>
    <w:rsid w:val="284952E9"/>
    <w:rsid w:val="284D302B"/>
    <w:rsid w:val="284D76B0"/>
    <w:rsid w:val="284E0B51"/>
    <w:rsid w:val="28506677"/>
    <w:rsid w:val="28551EE0"/>
    <w:rsid w:val="2856314B"/>
    <w:rsid w:val="28575241"/>
    <w:rsid w:val="285E6FE6"/>
    <w:rsid w:val="28642123"/>
    <w:rsid w:val="2864476D"/>
    <w:rsid w:val="28687E65"/>
    <w:rsid w:val="286B34B1"/>
    <w:rsid w:val="286F11F3"/>
    <w:rsid w:val="28731691"/>
    <w:rsid w:val="28757E8C"/>
    <w:rsid w:val="28780D72"/>
    <w:rsid w:val="287B7B98"/>
    <w:rsid w:val="287C56BE"/>
    <w:rsid w:val="28823125"/>
    <w:rsid w:val="288325A9"/>
    <w:rsid w:val="2883430C"/>
    <w:rsid w:val="28846321"/>
    <w:rsid w:val="288602EB"/>
    <w:rsid w:val="288C4F96"/>
    <w:rsid w:val="28902F18"/>
    <w:rsid w:val="289522DC"/>
    <w:rsid w:val="2899001E"/>
    <w:rsid w:val="289B3D96"/>
    <w:rsid w:val="289C366A"/>
    <w:rsid w:val="289F1401"/>
    <w:rsid w:val="28A63E40"/>
    <w:rsid w:val="28A864B3"/>
    <w:rsid w:val="28AA222B"/>
    <w:rsid w:val="28AB7D51"/>
    <w:rsid w:val="28AF4DBB"/>
    <w:rsid w:val="28B16468"/>
    <w:rsid w:val="28B74948"/>
    <w:rsid w:val="28BE5377"/>
    <w:rsid w:val="28BF330C"/>
    <w:rsid w:val="28C11F60"/>
    <w:rsid w:val="28C36E49"/>
    <w:rsid w:val="28C72DDD"/>
    <w:rsid w:val="28CB19DB"/>
    <w:rsid w:val="28D309C2"/>
    <w:rsid w:val="28D36FBE"/>
    <w:rsid w:val="28D70B46"/>
    <w:rsid w:val="28D728F5"/>
    <w:rsid w:val="28D82090"/>
    <w:rsid w:val="28D9666D"/>
    <w:rsid w:val="28DA340F"/>
    <w:rsid w:val="28DC43AF"/>
    <w:rsid w:val="28DE0127"/>
    <w:rsid w:val="28DF7DF7"/>
    <w:rsid w:val="28E03E9F"/>
    <w:rsid w:val="28E81476"/>
    <w:rsid w:val="28EA087A"/>
    <w:rsid w:val="28EA6ACC"/>
    <w:rsid w:val="28F33BD2"/>
    <w:rsid w:val="28F434A6"/>
    <w:rsid w:val="28F72F97"/>
    <w:rsid w:val="28F74D45"/>
    <w:rsid w:val="28F9286B"/>
    <w:rsid w:val="29037B8D"/>
    <w:rsid w:val="29053FDD"/>
    <w:rsid w:val="29064F88"/>
    <w:rsid w:val="290C07F0"/>
    <w:rsid w:val="290D27BA"/>
    <w:rsid w:val="29143B49"/>
    <w:rsid w:val="291C47AB"/>
    <w:rsid w:val="291D0C4F"/>
    <w:rsid w:val="291D667C"/>
    <w:rsid w:val="291E0523"/>
    <w:rsid w:val="2927387C"/>
    <w:rsid w:val="292813A2"/>
    <w:rsid w:val="29282EA6"/>
    <w:rsid w:val="292C1B1A"/>
    <w:rsid w:val="29373393"/>
    <w:rsid w:val="29477A7A"/>
    <w:rsid w:val="294C5091"/>
    <w:rsid w:val="294D3731"/>
    <w:rsid w:val="294F2FF6"/>
    <w:rsid w:val="295126A7"/>
    <w:rsid w:val="29534671"/>
    <w:rsid w:val="29542197"/>
    <w:rsid w:val="2956295F"/>
    <w:rsid w:val="295757E3"/>
    <w:rsid w:val="295773B4"/>
    <w:rsid w:val="295977AD"/>
    <w:rsid w:val="295A0AA5"/>
    <w:rsid w:val="295B1778"/>
    <w:rsid w:val="295B3526"/>
    <w:rsid w:val="295C2DFA"/>
    <w:rsid w:val="295D54F0"/>
    <w:rsid w:val="295E3016"/>
    <w:rsid w:val="295F7C99"/>
    <w:rsid w:val="29657F00"/>
    <w:rsid w:val="29665177"/>
    <w:rsid w:val="296A3769"/>
    <w:rsid w:val="296C6B91"/>
    <w:rsid w:val="296E14AB"/>
    <w:rsid w:val="297E0FC2"/>
    <w:rsid w:val="2984482A"/>
    <w:rsid w:val="298C36DF"/>
    <w:rsid w:val="298C7710"/>
    <w:rsid w:val="298C7B83"/>
    <w:rsid w:val="298E38FB"/>
    <w:rsid w:val="29930F11"/>
    <w:rsid w:val="2994507C"/>
    <w:rsid w:val="299B6018"/>
    <w:rsid w:val="299B7DC6"/>
    <w:rsid w:val="299D769A"/>
    <w:rsid w:val="299F1664"/>
    <w:rsid w:val="29A24CB1"/>
    <w:rsid w:val="29A46C7B"/>
    <w:rsid w:val="29AA49F5"/>
    <w:rsid w:val="29AB625B"/>
    <w:rsid w:val="29AC3D81"/>
    <w:rsid w:val="29B570DA"/>
    <w:rsid w:val="29B64C00"/>
    <w:rsid w:val="29B733F6"/>
    <w:rsid w:val="29BD6562"/>
    <w:rsid w:val="29BD7D3C"/>
    <w:rsid w:val="29C015DB"/>
    <w:rsid w:val="29C15A7E"/>
    <w:rsid w:val="29C27101"/>
    <w:rsid w:val="29C37F84"/>
    <w:rsid w:val="29C4095E"/>
    <w:rsid w:val="29C410CB"/>
    <w:rsid w:val="29C44CF4"/>
    <w:rsid w:val="29C72969"/>
    <w:rsid w:val="29C76E0D"/>
    <w:rsid w:val="29CE3CF8"/>
    <w:rsid w:val="29CE516F"/>
    <w:rsid w:val="29CE5AA6"/>
    <w:rsid w:val="29CF181E"/>
    <w:rsid w:val="29D222A8"/>
    <w:rsid w:val="29D357B2"/>
    <w:rsid w:val="29D56857"/>
    <w:rsid w:val="29D659C5"/>
    <w:rsid w:val="29D86924"/>
    <w:rsid w:val="29D919AD"/>
    <w:rsid w:val="29DA08EE"/>
    <w:rsid w:val="29DA269C"/>
    <w:rsid w:val="29DB01C2"/>
    <w:rsid w:val="29DC2957"/>
    <w:rsid w:val="29DF18FC"/>
    <w:rsid w:val="29E51041"/>
    <w:rsid w:val="29E61F3B"/>
    <w:rsid w:val="29EA3E3E"/>
    <w:rsid w:val="29F15C38"/>
    <w:rsid w:val="29F51284"/>
    <w:rsid w:val="29FA2D3E"/>
    <w:rsid w:val="29FC6AB7"/>
    <w:rsid w:val="2A040D26"/>
    <w:rsid w:val="2A04596B"/>
    <w:rsid w:val="2A094D30"/>
    <w:rsid w:val="2A0F77B2"/>
    <w:rsid w:val="2A102562"/>
    <w:rsid w:val="2A17569E"/>
    <w:rsid w:val="2A1A6F3D"/>
    <w:rsid w:val="2A1F069B"/>
    <w:rsid w:val="2A222295"/>
    <w:rsid w:val="2A292D24"/>
    <w:rsid w:val="2A2953D2"/>
    <w:rsid w:val="2A2A61BA"/>
    <w:rsid w:val="2A2B2EF8"/>
    <w:rsid w:val="2A300308"/>
    <w:rsid w:val="2A353D77"/>
    <w:rsid w:val="2A3A313B"/>
    <w:rsid w:val="2A3F5EB0"/>
    <w:rsid w:val="2A435F0E"/>
    <w:rsid w:val="2A443FBA"/>
    <w:rsid w:val="2A470BC4"/>
    <w:rsid w:val="2A4733C9"/>
    <w:rsid w:val="2A475858"/>
    <w:rsid w:val="2A4915D0"/>
    <w:rsid w:val="2A500BB0"/>
    <w:rsid w:val="2A502FEB"/>
    <w:rsid w:val="2A505BBC"/>
    <w:rsid w:val="2A50653C"/>
    <w:rsid w:val="2A522B7B"/>
    <w:rsid w:val="2A571F3F"/>
    <w:rsid w:val="2A58434E"/>
    <w:rsid w:val="2A585A8F"/>
    <w:rsid w:val="2A5C7555"/>
    <w:rsid w:val="2A5E151F"/>
    <w:rsid w:val="2A5E32CD"/>
    <w:rsid w:val="2A622692"/>
    <w:rsid w:val="2A662182"/>
    <w:rsid w:val="2A677CA8"/>
    <w:rsid w:val="2A6843C4"/>
    <w:rsid w:val="2A6A2706"/>
    <w:rsid w:val="2A6A2ACF"/>
    <w:rsid w:val="2A6A6147"/>
    <w:rsid w:val="2A6B366E"/>
    <w:rsid w:val="2A6B7798"/>
    <w:rsid w:val="2A6C52BE"/>
    <w:rsid w:val="2A71789D"/>
    <w:rsid w:val="2A7228D5"/>
    <w:rsid w:val="2A726D79"/>
    <w:rsid w:val="2A7731A7"/>
    <w:rsid w:val="2A790107"/>
    <w:rsid w:val="2A7D74CC"/>
    <w:rsid w:val="2A834AE2"/>
    <w:rsid w:val="2A8820F8"/>
    <w:rsid w:val="2A8940C2"/>
    <w:rsid w:val="2A8B3997"/>
    <w:rsid w:val="2A8D5961"/>
    <w:rsid w:val="2A9036A3"/>
    <w:rsid w:val="2A915F2E"/>
    <w:rsid w:val="2A930A9D"/>
    <w:rsid w:val="2A992557"/>
    <w:rsid w:val="2A9D36CA"/>
    <w:rsid w:val="2AA333D6"/>
    <w:rsid w:val="2AA80E45"/>
    <w:rsid w:val="2AAA6513"/>
    <w:rsid w:val="2AAB2DC7"/>
    <w:rsid w:val="2AAE58D7"/>
    <w:rsid w:val="2AB63109"/>
    <w:rsid w:val="2ABE1FBE"/>
    <w:rsid w:val="2AC05D36"/>
    <w:rsid w:val="2AC46EA9"/>
    <w:rsid w:val="2AC60E73"/>
    <w:rsid w:val="2AC70E34"/>
    <w:rsid w:val="2AC86999"/>
    <w:rsid w:val="2ACD0A78"/>
    <w:rsid w:val="2ACE1AD5"/>
    <w:rsid w:val="2AD0584D"/>
    <w:rsid w:val="2AD417E1"/>
    <w:rsid w:val="2AD4533E"/>
    <w:rsid w:val="2AD90BA6"/>
    <w:rsid w:val="2ADC41F2"/>
    <w:rsid w:val="2AE01F34"/>
    <w:rsid w:val="2AEF4E4D"/>
    <w:rsid w:val="2AF27EBA"/>
    <w:rsid w:val="2AF43C32"/>
    <w:rsid w:val="2AF4778E"/>
    <w:rsid w:val="2AF552B4"/>
    <w:rsid w:val="2AF754D0"/>
    <w:rsid w:val="2AF9470D"/>
    <w:rsid w:val="2B02634F"/>
    <w:rsid w:val="2B0513A0"/>
    <w:rsid w:val="2B065713"/>
    <w:rsid w:val="2B0705B1"/>
    <w:rsid w:val="2B084FE7"/>
    <w:rsid w:val="2B086822"/>
    <w:rsid w:val="2B0B2D29"/>
    <w:rsid w:val="2B0C37AD"/>
    <w:rsid w:val="2B0D4CF3"/>
    <w:rsid w:val="2B116592"/>
    <w:rsid w:val="2B161A0E"/>
    <w:rsid w:val="2B1A57AD"/>
    <w:rsid w:val="2B2160A9"/>
    <w:rsid w:val="2B255B99"/>
    <w:rsid w:val="2B261911"/>
    <w:rsid w:val="2B2A7653"/>
    <w:rsid w:val="2B2B6F28"/>
    <w:rsid w:val="2B33475A"/>
    <w:rsid w:val="2B345DDC"/>
    <w:rsid w:val="2B4029D3"/>
    <w:rsid w:val="2B45623B"/>
    <w:rsid w:val="2B4A5600"/>
    <w:rsid w:val="2B4D3342"/>
    <w:rsid w:val="2B514BE0"/>
    <w:rsid w:val="2B5302F9"/>
    <w:rsid w:val="2B5D17D7"/>
    <w:rsid w:val="2B632B65"/>
    <w:rsid w:val="2B6366C1"/>
    <w:rsid w:val="2B68109E"/>
    <w:rsid w:val="2B696BA9"/>
    <w:rsid w:val="2B6C37C8"/>
    <w:rsid w:val="2B6D2330"/>
    <w:rsid w:val="2B6D7540"/>
    <w:rsid w:val="2B6E5792"/>
    <w:rsid w:val="2B77216D"/>
    <w:rsid w:val="2B786611"/>
    <w:rsid w:val="2B822FEC"/>
    <w:rsid w:val="2B836D64"/>
    <w:rsid w:val="2B85488A"/>
    <w:rsid w:val="2B8855E7"/>
    <w:rsid w:val="2B8F395A"/>
    <w:rsid w:val="2B957EC3"/>
    <w:rsid w:val="2B9952EB"/>
    <w:rsid w:val="2B9A3357"/>
    <w:rsid w:val="2B9F159F"/>
    <w:rsid w:val="2BA72A52"/>
    <w:rsid w:val="2BA74800"/>
    <w:rsid w:val="2BA86521"/>
    <w:rsid w:val="2BAB0C35"/>
    <w:rsid w:val="2BAE0B66"/>
    <w:rsid w:val="2BAE3DE1"/>
    <w:rsid w:val="2BB4516F"/>
    <w:rsid w:val="2BB46F1D"/>
    <w:rsid w:val="2BB53C62"/>
    <w:rsid w:val="2BB76C46"/>
    <w:rsid w:val="2BBB64FD"/>
    <w:rsid w:val="2BBD4024"/>
    <w:rsid w:val="2BBF5FEE"/>
    <w:rsid w:val="2BC2163A"/>
    <w:rsid w:val="2BC37160"/>
    <w:rsid w:val="2BC74EA2"/>
    <w:rsid w:val="2BC929C8"/>
    <w:rsid w:val="2BC96E6C"/>
    <w:rsid w:val="2BCA04EF"/>
    <w:rsid w:val="2BCA6741"/>
    <w:rsid w:val="2BCC1169"/>
    <w:rsid w:val="2BCC4267"/>
    <w:rsid w:val="2BD31A99"/>
    <w:rsid w:val="2BD61589"/>
    <w:rsid w:val="2BD840A4"/>
    <w:rsid w:val="2BD9277E"/>
    <w:rsid w:val="2BDB094E"/>
    <w:rsid w:val="2BDF21EC"/>
    <w:rsid w:val="2BE07D12"/>
    <w:rsid w:val="2BE23A8A"/>
    <w:rsid w:val="2BE45A54"/>
    <w:rsid w:val="2BE710A1"/>
    <w:rsid w:val="2BEB6DE3"/>
    <w:rsid w:val="2BED6BAB"/>
    <w:rsid w:val="2BEF0B9E"/>
    <w:rsid w:val="2BEF61A7"/>
    <w:rsid w:val="2BF043F9"/>
    <w:rsid w:val="2BF10171"/>
    <w:rsid w:val="2BF57C61"/>
    <w:rsid w:val="2BF81500"/>
    <w:rsid w:val="2BFC0D12"/>
    <w:rsid w:val="2BFD474A"/>
    <w:rsid w:val="2C041C52"/>
    <w:rsid w:val="2C0C4FAB"/>
    <w:rsid w:val="2C0D2CC2"/>
    <w:rsid w:val="2C0E2AD1"/>
    <w:rsid w:val="2C11611D"/>
    <w:rsid w:val="2C131E96"/>
    <w:rsid w:val="2C13426D"/>
    <w:rsid w:val="2C153E60"/>
    <w:rsid w:val="2C161986"/>
    <w:rsid w:val="2C1A3224"/>
    <w:rsid w:val="2C1C3440"/>
    <w:rsid w:val="2C1C51EE"/>
    <w:rsid w:val="2C24507B"/>
    <w:rsid w:val="2C245E51"/>
    <w:rsid w:val="2C2916B9"/>
    <w:rsid w:val="2C29790B"/>
    <w:rsid w:val="2C2E3173"/>
    <w:rsid w:val="2C332538"/>
    <w:rsid w:val="2C352789"/>
    <w:rsid w:val="2C4058A5"/>
    <w:rsid w:val="2C416A03"/>
    <w:rsid w:val="2C46226B"/>
    <w:rsid w:val="2C4B162F"/>
    <w:rsid w:val="2C4C3F30"/>
    <w:rsid w:val="2C532BDA"/>
    <w:rsid w:val="2C550700"/>
    <w:rsid w:val="2C5B55EB"/>
    <w:rsid w:val="2C5F157F"/>
    <w:rsid w:val="2C694B99"/>
    <w:rsid w:val="2C7072E8"/>
    <w:rsid w:val="2C75313C"/>
    <w:rsid w:val="2C7645CC"/>
    <w:rsid w:val="2C792640"/>
    <w:rsid w:val="2C792F4D"/>
    <w:rsid w:val="2C79468E"/>
    <w:rsid w:val="2C7C5C8D"/>
    <w:rsid w:val="2C7F6D72"/>
    <w:rsid w:val="2C830311"/>
    <w:rsid w:val="2C8965FC"/>
    <w:rsid w:val="2C8B2374"/>
    <w:rsid w:val="2C8B5ED0"/>
    <w:rsid w:val="2C8E3C12"/>
    <w:rsid w:val="2C8F0EA7"/>
    <w:rsid w:val="2C92725E"/>
    <w:rsid w:val="2C956D4E"/>
    <w:rsid w:val="2C9F197B"/>
    <w:rsid w:val="2CA70830"/>
    <w:rsid w:val="2CA84CD4"/>
    <w:rsid w:val="2CA86A82"/>
    <w:rsid w:val="2CA9068B"/>
    <w:rsid w:val="2CA945A8"/>
    <w:rsid w:val="2CAB6572"/>
    <w:rsid w:val="2CAC5BC5"/>
    <w:rsid w:val="2CAE1BBE"/>
    <w:rsid w:val="2CB03B88"/>
    <w:rsid w:val="2CB2345D"/>
    <w:rsid w:val="2CB73169"/>
    <w:rsid w:val="2CB82A3D"/>
    <w:rsid w:val="2CB90C8F"/>
    <w:rsid w:val="2CBB5260"/>
    <w:rsid w:val="2CBC7C58"/>
    <w:rsid w:val="2CC118F2"/>
    <w:rsid w:val="2CC413E2"/>
    <w:rsid w:val="2CC47634"/>
    <w:rsid w:val="2CC56979"/>
    <w:rsid w:val="2CCC7F97"/>
    <w:rsid w:val="2CD5539D"/>
    <w:rsid w:val="2CD57196"/>
    <w:rsid w:val="2CD86C3B"/>
    <w:rsid w:val="2CDC2BCF"/>
    <w:rsid w:val="2CDD4252"/>
    <w:rsid w:val="2CDF621C"/>
    <w:rsid w:val="2CE101E6"/>
    <w:rsid w:val="2CE41F2E"/>
    <w:rsid w:val="2CE51A84"/>
    <w:rsid w:val="2CE81574"/>
    <w:rsid w:val="2CE974BF"/>
    <w:rsid w:val="2CEA52EC"/>
    <w:rsid w:val="2CED0939"/>
    <w:rsid w:val="2CEF46B1"/>
    <w:rsid w:val="2CF241A1"/>
    <w:rsid w:val="2CF47F19"/>
    <w:rsid w:val="2CF94F11"/>
    <w:rsid w:val="2CFA3055"/>
    <w:rsid w:val="2CFA4E04"/>
    <w:rsid w:val="2CFE66A2"/>
    <w:rsid w:val="2CFF066C"/>
    <w:rsid w:val="2D012636"/>
    <w:rsid w:val="2D03015C"/>
    <w:rsid w:val="2D031F0A"/>
    <w:rsid w:val="2D0839C4"/>
    <w:rsid w:val="2D0A773C"/>
    <w:rsid w:val="2D0B13C9"/>
    <w:rsid w:val="2D0B5263"/>
    <w:rsid w:val="2D102879"/>
    <w:rsid w:val="2D12214D"/>
    <w:rsid w:val="2D140E5E"/>
    <w:rsid w:val="2D1759B5"/>
    <w:rsid w:val="2D1934DC"/>
    <w:rsid w:val="2D1B5C2C"/>
    <w:rsid w:val="2D1C121E"/>
    <w:rsid w:val="2D1C2FCC"/>
    <w:rsid w:val="2D1E4F96"/>
    <w:rsid w:val="2D2105E2"/>
    <w:rsid w:val="2D212671"/>
    <w:rsid w:val="2D214A86"/>
    <w:rsid w:val="2D241F6F"/>
    <w:rsid w:val="2D297497"/>
    <w:rsid w:val="2D2D51D9"/>
    <w:rsid w:val="2D320A41"/>
    <w:rsid w:val="2D3447B9"/>
    <w:rsid w:val="2D35408E"/>
    <w:rsid w:val="2D3703E5"/>
    <w:rsid w:val="2D377E06"/>
    <w:rsid w:val="2D3A44A6"/>
    <w:rsid w:val="2D3B78F6"/>
    <w:rsid w:val="2D3F7BCD"/>
    <w:rsid w:val="2D401748"/>
    <w:rsid w:val="2D482013"/>
    <w:rsid w:val="2D48295C"/>
    <w:rsid w:val="2D4A5D8B"/>
    <w:rsid w:val="2D4D0983"/>
    <w:rsid w:val="2D546C0A"/>
    <w:rsid w:val="2D5704A8"/>
    <w:rsid w:val="2D595FCE"/>
    <w:rsid w:val="2D5B1D46"/>
    <w:rsid w:val="2D5B36F4"/>
    <w:rsid w:val="2D5B7F98"/>
    <w:rsid w:val="2D5C5ABE"/>
    <w:rsid w:val="2D5D6739"/>
    <w:rsid w:val="2D60068C"/>
    <w:rsid w:val="2D614E83"/>
    <w:rsid w:val="2D630BFB"/>
    <w:rsid w:val="2D652BC5"/>
    <w:rsid w:val="2D656721"/>
    <w:rsid w:val="2D6706EB"/>
    <w:rsid w:val="2D6E3085"/>
    <w:rsid w:val="2D74105A"/>
    <w:rsid w:val="2D756F06"/>
    <w:rsid w:val="2D7626DC"/>
    <w:rsid w:val="2D7828F8"/>
    <w:rsid w:val="2D7A3A3A"/>
    <w:rsid w:val="2D7B4196"/>
    <w:rsid w:val="2D8017AD"/>
    <w:rsid w:val="2D8F5E37"/>
    <w:rsid w:val="2D92328E"/>
    <w:rsid w:val="2D9D410D"/>
    <w:rsid w:val="2DA03BFD"/>
    <w:rsid w:val="2DA07759"/>
    <w:rsid w:val="2DA57465"/>
    <w:rsid w:val="2DA92EA3"/>
    <w:rsid w:val="2DAE631A"/>
    <w:rsid w:val="2DAF3E40"/>
    <w:rsid w:val="2DB17BB8"/>
    <w:rsid w:val="2DB45021"/>
    <w:rsid w:val="2DB57BAF"/>
    <w:rsid w:val="2DB72CF5"/>
    <w:rsid w:val="2DB979F9"/>
    <w:rsid w:val="2DBA6ABB"/>
    <w:rsid w:val="2DBB4593"/>
    <w:rsid w:val="2DBD655D"/>
    <w:rsid w:val="2DC618FC"/>
    <w:rsid w:val="2DC86CB0"/>
    <w:rsid w:val="2DD35D80"/>
    <w:rsid w:val="2DDB2E87"/>
    <w:rsid w:val="2DDB4C35"/>
    <w:rsid w:val="2DDD13C6"/>
    <w:rsid w:val="2DDE357F"/>
    <w:rsid w:val="2DDF2977"/>
    <w:rsid w:val="2DE35CC7"/>
    <w:rsid w:val="2DE47F8D"/>
    <w:rsid w:val="2DE53D06"/>
    <w:rsid w:val="2DE73F83"/>
    <w:rsid w:val="2DE75388"/>
    <w:rsid w:val="2DEA4E78"/>
    <w:rsid w:val="2DED6716"/>
    <w:rsid w:val="2DEE0B8D"/>
    <w:rsid w:val="2DF2432C"/>
    <w:rsid w:val="2DF857E7"/>
    <w:rsid w:val="2DF87595"/>
    <w:rsid w:val="2DFA155F"/>
    <w:rsid w:val="2DFA568F"/>
    <w:rsid w:val="2DFB52D7"/>
    <w:rsid w:val="2E0028ED"/>
    <w:rsid w:val="2E0221C2"/>
    <w:rsid w:val="2E0A551A"/>
    <w:rsid w:val="2E0C3040"/>
    <w:rsid w:val="2E141EF5"/>
    <w:rsid w:val="2E175D80"/>
    <w:rsid w:val="2E183793"/>
    <w:rsid w:val="2E190DDE"/>
    <w:rsid w:val="2E1D6FFC"/>
    <w:rsid w:val="2E1E169D"/>
    <w:rsid w:val="2E1F0FC6"/>
    <w:rsid w:val="2E24038A"/>
    <w:rsid w:val="2E254102"/>
    <w:rsid w:val="2E271C28"/>
    <w:rsid w:val="2E2760CC"/>
    <w:rsid w:val="2E277E7A"/>
    <w:rsid w:val="2E2A34C6"/>
    <w:rsid w:val="2E2A55F7"/>
    <w:rsid w:val="2E2F6D2F"/>
    <w:rsid w:val="2E3118D8"/>
    <w:rsid w:val="2E343932"/>
    <w:rsid w:val="2E376E42"/>
    <w:rsid w:val="2E385BE3"/>
    <w:rsid w:val="2E4140F1"/>
    <w:rsid w:val="2E440A2C"/>
    <w:rsid w:val="2E4564F4"/>
    <w:rsid w:val="2E456552"/>
    <w:rsid w:val="2E4A5917"/>
    <w:rsid w:val="2E4C2B0D"/>
    <w:rsid w:val="2E4F2177"/>
    <w:rsid w:val="2E505623"/>
    <w:rsid w:val="2E52321D"/>
    <w:rsid w:val="2E5336C9"/>
    <w:rsid w:val="2E536EC1"/>
    <w:rsid w:val="2E5642BC"/>
    <w:rsid w:val="2E580034"/>
    <w:rsid w:val="2E5A0250"/>
    <w:rsid w:val="2E5A0537"/>
    <w:rsid w:val="2E5A3DAC"/>
    <w:rsid w:val="2E5B7B24"/>
    <w:rsid w:val="2E5C5D76"/>
    <w:rsid w:val="2E625356"/>
    <w:rsid w:val="2E666BF4"/>
    <w:rsid w:val="2E6C1D31"/>
    <w:rsid w:val="2E6D7F83"/>
    <w:rsid w:val="2E701821"/>
    <w:rsid w:val="2E704C40"/>
    <w:rsid w:val="2E76495E"/>
    <w:rsid w:val="2E764C99"/>
    <w:rsid w:val="2E7806D6"/>
    <w:rsid w:val="2E786928"/>
    <w:rsid w:val="2E7A444E"/>
    <w:rsid w:val="2E7C61BE"/>
    <w:rsid w:val="2E7C6DB5"/>
    <w:rsid w:val="2E7D06D3"/>
    <w:rsid w:val="2E870919"/>
    <w:rsid w:val="2E8C5F2F"/>
    <w:rsid w:val="2E8E7EF9"/>
    <w:rsid w:val="2E903C71"/>
    <w:rsid w:val="2E920577"/>
    <w:rsid w:val="2E935510"/>
    <w:rsid w:val="2E951288"/>
    <w:rsid w:val="2E9F3EB4"/>
    <w:rsid w:val="2EA43279"/>
    <w:rsid w:val="2EA9088F"/>
    <w:rsid w:val="2EAD4823"/>
    <w:rsid w:val="2EB21298"/>
    <w:rsid w:val="2EB21E3A"/>
    <w:rsid w:val="2EB57234"/>
    <w:rsid w:val="2EBA6870"/>
    <w:rsid w:val="2EBB78BE"/>
    <w:rsid w:val="2EBF00B3"/>
    <w:rsid w:val="2EC41B6D"/>
    <w:rsid w:val="2ECD27D0"/>
    <w:rsid w:val="2ECF44CB"/>
    <w:rsid w:val="2ED022C0"/>
    <w:rsid w:val="2ED26038"/>
    <w:rsid w:val="2ED27DE6"/>
    <w:rsid w:val="2ED51684"/>
    <w:rsid w:val="2EDC0C65"/>
    <w:rsid w:val="2EDE3B95"/>
    <w:rsid w:val="2EDF2503"/>
    <w:rsid w:val="2EE47B19"/>
    <w:rsid w:val="2EEE2746"/>
    <w:rsid w:val="2EF02962"/>
    <w:rsid w:val="2EF10397"/>
    <w:rsid w:val="2EF53AD4"/>
    <w:rsid w:val="2F032695"/>
    <w:rsid w:val="2F041F69"/>
    <w:rsid w:val="2F0476B2"/>
    <w:rsid w:val="2F063F34"/>
    <w:rsid w:val="2F083808"/>
    <w:rsid w:val="2F0B154A"/>
    <w:rsid w:val="2F0B211E"/>
    <w:rsid w:val="2F0C3E0F"/>
    <w:rsid w:val="2F0D7070"/>
    <w:rsid w:val="2F120B2A"/>
    <w:rsid w:val="2F176141"/>
    <w:rsid w:val="2F1C5505"/>
    <w:rsid w:val="2F1D760E"/>
    <w:rsid w:val="2F1E302B"/>
    <w:rsid w:val="2F261EE0"/>
    <w:rsid w:val="2F274DD0"/>
    <w:rsid w:val="2F2820FC"/>
    <w:rsid w:val="2F2A7C22"/>
    <w:rsid w:val="2F2B399A"/>
    <w:rsid w:val="2F2F5238"/>
    <w:rsid w:val="2F300FB0"/>
    <w:rsid w:val="2F320885"/>
    <w:rsid w:val="2F350375"/>
    <w:rsid w:val="2F364819"/>
    <w:rsid w:val="2F3B1E2F"/>
    <w:rsid w:val="2F43624E"/>
    <w:rsid w:val="2F46399F"/>
    <w:rsid w:val="2F4B7B98"/>
    <w:rsid w:val="2F560A17"/>
    <w:rsid w:val="2F580725"/>
    <w:rsid w:val="2F5A7DDB"/>
    <w:rsid w:val="2F603644"/>
    <w:rsid w:val="2F672A78"/>
    <w:rsid w:val="2F745341"/>
    <w:rsid w:val="2F776BDF"/>
    <w:rsid w:val="2F794705"/>
    <w:rsid w:val="2F7964B4"/>
    <w:rsid w:val="2F7C5FA4"/>
    <w:rsid w:val="2F7D2448"/>
    <w:rsid w:val="2F7E7F6E"/>
    <w:rsid w:val="2F7F2AA0"/>
    <w:rsid w:val="2F833124"/>
    <w:rsid w:val="2F8337D6"/>
    <w:rsid w:val="2F880DEC"/>
    <w:rsid w:val="2F8A6913"/>
    <w:rsid w:val="2F8D01B1"/>
    <w:rsid w:val="2F917175"/>
    <w:rsid w:val="2F93220A"/>
    <w:rsid w:val="2F967065"/>
    <w:rsid w:val="2F976C21"/>
    <w:rsid w:val="2F997048"/>
    <w:rsid w:val="2F9B0B20"/>
    <w:rsid w:val="2F9B467C"/>
    <w:rsid w:val="2F9F2EBA"/>
    <w:rsid w:val="2FA02C09"/>
    <w:rsid w:val="2FA33530"/>
    <w:rsid w:val="2FAA7CE5"/>
    <w:rsid w:val="2FAC6889"/>
    <w:rsid w:val="2FAD2601"/>
    <w:rsid w:val="2FB4573E"/>
    <w:rsid w:val="2FB614B6"/>
    <w:rsid w:val="2FB7522E"/>
    <w:rsid w:val="2FB76FDC"/>
    <w:rsid w:val="2FC11C09"/>
    <w:rsid w:val="2FC260AC"/>
    <w:rsid w:val="2FC47CD4"/>
    <w:rsid w:val="2FC55B9D"/>
    <w:rsid w:val="2FC73729"/>
    <w:rsid w:val="2FC811E9"/>
    <w:rsid w:val="2FC8743B"/>
    <w:rsid w:val="2FD14541"/>
    <w:rsid w:val="2FD45DE0"/>
    <w:rsid w:val="2FD933F6"/>
    <w:rsid w:val="2FDB0F1C"/>
    <w:rsid w:val="2FDB716E"/>
    <w:rsid w:val="2FDE27BA"/>
    <w:rsid w:val="2FE36023"/>
    <w:rsid w:val="2FE853E7"/>
    <w:rsid w:val="2FEA5603"/>
    <w:rsid w:val="2FED0C50"/>
    <w:rsid w:val="2FED26A0"/>
    <w:rsid w:val="2FEF2C1A"/>
    <w:rsid w:val="2FF50E32"/>
    <w:rsid w:val="2FF7387C"/>
    <w:rsid w:val="2FF975F4"/>
    <w:rsid w:val="2FFC0D05"/>
    <w:rsid w:val="300206D5"/>
    <w:rsid w:val="300246FB"/>
    <w:rsid w:val="300B73F6"/>
    <w:rsid w:val="300C37CC"/>
    <w:rsid w:val="300F6E18"/>
    <w:rsid w:val="3014442E"/>
    <w:rsid w:val="301B3A0F"/>
    <w:rsid w:val="301B57BD"/>
    <w:rsid w:val="301B756B"/>
    <w:rsid w:val="301D32E3"/>
    <w:rsid w:val="30201103"/>
    <w:rsid w:val="302100FF"/>
    <w:rsid w:val="30240B15"/>
    <w:rsid w:val="302527A4"/>
    <w:rsid w:val="30257F10"/>
    <w:rsid w:val="302B59D4"/>
    <w:rsid w:val="302C1778"/>
    <w:rsid w:val="302C5C1C"/>
    <w:rsid w:val="303074BA"/>
    <w:rsid w:val="303B2136"/>
    <w:rsid w:val="303B5E5F"/>
    <w:rsid w:val="303F594F"/>
    <w:rsid w:val="30405223"/>
    <w:rsid w:val="304170CB"/>
    <w:rsid w:val="30442F65"/>
    <w:rsid w:val="30444D13"/>
    <w:rsid w:val="30446AC1"/>
    <w:rsid w:val="3045283A"/>
    <w:rsid w:val="30470360"/>
    <w:rsid w:val="304A60A2"/>
    <w:rsid w:val="30550CCF"/>
    <w:rsid w:val="305667F5"/>
    <w:rsid w:val="3062163D"/>
    <w:rsid w:val="30623321"/>
    <w:rsid w:val="30623DE4"/>
    <w:rsid w:val="30685202"/>
    <w:rsid w:val="306C6018"/>
    <w:rsid w:val="30731155"/>
    <w:rsid w:val="30741FB4"/>
    <w:rsid w:val="30755662"/>
    <w:rsid w:val="30766E97"/>
    <w:rsid w:val="30846656"/>
    <w:rsid w:val="3086532C"/>
    <w:rsid w:val="3089052D"/>
    <w:rsid w:val="308A43D0"/>
    <w:rsid w:val="308B70BE"/>
    <w:rsid w:val="309015AF"/>
    <w:rsid w:val="309317F7"/>
    <w:rsid w:val="30974EC3"/>
    <w:rsid w:val="30983B9C"/>
    <w:rsid w:val="309A5723"/>
    <w:rsid w:val="309A5F10"/>
    <w:rsid w:val="309C1A0D"/>
    <w:rsid w:val="309F019C"/>
    <w:rsid w:val="30A13F14"/>
    <w:rsid w:val="30A25EDE"/>
    <w:rsid w:val="30A27C8C"/>
    <w:rsid w:val="30A47560"/>
    <w:rsid w:val="30A6777C"/>
    <w:rsid w:val="30A9726C"/>
    <w:rsid w:val="30B04157"/>
    <w:rsid w:val="30B139AA"/>
    <w:rsid w:val="30B26121"/>
    <w:rsid w:val="30B33C47"/>
    <w:rsid w:val="30B55C11"/>
    <w:rsid w:val="30B80CAC"/>
    <w:rsid w:val="30C108CE"/>
    <w:rsid w:val="30C220DC"/>
    <w:rsid w:val="30C61BCC"/>
    <w:rsid w:val="30C776F3"/>
    <w:rsid w:val="30C96FC7"/>
    <w:rsid w:val="30CD2F5B"/>
    <w:rsid w:val="30CE282F"/>
    <w:rsid w:val="30D86B55"/>
    <w:rsid w:val="30DC13F0"/>
    <w:rsid w:val="30E47124"/>
    <w:rsid w:val="30E65DCB"/>
    <w:rsid w:val="30E738F1"/>
    <w:rsid w:val="30E91417"/>
    <w:rsid w:val="30E97669"/>
    <w:rsid w:val="30ED53AB"/>
    <w:rsid w:val="30F142F0"/>
    <w:rsid w:val="30F304E8"/>
    <w:rsid w:val="30F46739"/>
    <w:rsid w:val="30F53DBD"/>
    <w:rsid w:val="30FA3624"/>
    <w:rsid w:val="30FD5F50"/>
    <w:rsid w:val="30FF6E8C"/>
    <w:rsid w:val="31010E56"/>
    <w:rsid w:val="31046251"/>
    <w:rsid w:val="31085D41"/>
    <w:rsid w:val="311428B2"/>
    <w:rsid w:val="311A20BE"/>
    <w:rsid w:val="311E5564"/>
    <w:rsid w:val="31201969"/>
    <w:rsid w:val="312106D4"/>
    <w:rsid w:val="31224929"/>
    <w:rsid w:val="3123652A"/>
    <w:rsid w:val="3123750E"/>
    <w:rsid w:val="312A215B"/>
    <w:rsid w:val="312D1C4B"/>
    <w:rsid w:val="31321010"/>
    <w:rsid w:val="31350B00"/>
    <w:rsid w:val="3135465C"/>
    <w:rsid w:val="31376626"/>
    <w:rsid w:val="3138414C"/>
    <w:rsid w:val="313A6116"/>
    <w:rsid w:val="313F3E12"/>
    <w:rsid w:val="31413001"/>
    <w:rsid w:val="31434FCB"/>
    <w:rsid w:val="3143726F"/>
    <w:rsid w:val="31464ABB"/>
    <w:rsid w:val="31466869"/>
    <w:rsid w:val="314825E1"/>
    <w:rsid w:val="314E571E"/>
    <w:rsid w:val="3150593A"/>
    <w:rsid w:val="3159659D"/>
    <w:rsid w:val="315B5608"/>
    <w:rsid w:val="315C608D"/>
    <w:rsid w:val="31603761"/>
    <w:rsid w:val="31647A1E"/>
    <w:rsid w:val="3166245B"/>
    <w:rsid w:val="316D2048"/>
    <w:rsid w:val="31700A79"/>
    <w:rsid w:val="31723B02"/>
    <w:rsid w:val="31784BB8"/>
    <w:rsid w:val="317D4577"/>
    <w:rsid w:val="317E5771"/>
    <w:rsid w:val="317F0E37"/>
    <w:rsid w:val="31817793"/>
    <w:rsid w:val="31857392"/>
    <w:rsid w:val="31881D10"/>
    <w:rsid w:val="318B4309"/>
    <w:rsid w:val="318F6462"/>
    <w:rsid w:val="319A0963"/>
    <w:rsid w:val="319C0B7F"/>
    <w:rsid w:val="31A16195"/>
    <w:rsid w:val="31A517E2"/>
    <w:rsid w:val="31A5314A"/>
    <w:rsid w:val="31AB7B22"/>
    <w:rsid w:val="31AE4DFC"/>
    <w:rsid w:val="31AF3D3F"/>
    <w:rsid w:val="31B732C3"/>
    <w:rsid w:val="31B859B9"/>
    <w:rsid w:val="31B934DF"/>
    <w:rsid w:val="31BB1005"/>
    <w:rsid w:val="31BB12CA"/>
    <w:rsid w:val="31BC4D7D"/>
    <w:rsid w:val="31BD2FCF"/>
    <w:rsid w:val="31C003CA"/>
    <w:rsid w:val="31C0486E"/>
    <w:rsid w:val="31C205E6"/>
    <w:rsid w:val="31C3435E"/>
    <w:rsid w:val="31C36CF8"/>
    <w:rsid w:val="31C4449A"/>
    <w:rsid w:val="31C62983"/>
    <w:rsid w:val="31C854D0"/>
    <w:rsid w:val="31C94210"/>
    <w:rsid w:val="31CB6BCB"/>
    <w:rsid w:val="31D1650A"/>
    <w:rsid w:val="31D16A7B"/>
    <w:rsid w:val="31D413BE"/>
    <w:rsid w:val="31D5284E"/>
    <w:rsid w:val="31D616B2"/>
    <w:rsid w:val="31D92BDB"/>
    <w:rsid w:val="31E0281A"/>
    <w:rsid w:val="31E247E4"/>
    <w:rsid w:val="31E3055C"/>
    <w:rsid w:val="31E7004C"/>
    <w:rsid w:val="31F91B2E"/>
    <w:rsid w:val="31FC33CC"/>
    <w:rsid w:val="31FF1567"/>
    <w:rsid w:val="31FF437A"/>
    <w:rsid w:val="3203475A"/>
    <w:rsid w:val="320501EC"/>
    <w:rsid w:val="320756DD"/>
    <w:rsid w:val="320944A7"/>
    <w:rsid w:val="320D2B61"/>
    <w:rsid w:val="320F1351"/>
    <w:rsid w:val="320F28B0"/>
    <w:rsid w:val="32116E77"/>
    <w:rsid w:val="32140715"/>
    <w:rsid w:val="32180050"/>
    <w:rsid w:val="321B1AA4"/>
    <w:rsid w:val="321E1594"/>
    <w:rsid w:val="32250B75"/>
    <w:rsid w:val="3229553B"/>
    <w:rsid w:val="322A1CE7"/>
    <w:rsid w:val="322B5D49"/>
    <w:rsid w:val="32326DEE"/>
    <w:rsid w:val="32335040"/>
    <w:rsid w:val="32356A97"/>
    <w:rsid w:val="323A4620"/>
    <w:rsid w:val="323B5CA2"/>
    <w:rsid w:val="323C5A5D"/>
    <w:rsid w:val="323C7DCD"/>
    <w:rsid w:val="32430FFB"/>
    <w:rsid w:val="324A05DB"/>
    <w:rsid w:val="324C6101"/>
    <w:rsid w:val="324E1E79"/>
    <w:rsid w:val="324F79A0"/>
    <w:rsid w:val="3251196A"/>
    <w:rsid w:val="325154C6"/>
    <w:rsid w:val="32582CF8"/>
    <w:rsid w:val="32584AA6"/>
    <w:rsid w:val="325B4596"/>
    <w:rsid w:val="326571C3"/>
    <w:rsid w:val="32677589"/>
    <w:rsid w:val="326A2A2B"/>
    <w:rsid w:val="326A47D9"/>
    <w:rsid w:val="326C1E5D"/>
    <w:rsid w:val="326E42CA"/>
    <w:rsid w:val="32700042"/>
    <w:rsid w:val="32717916"/>
    <w:rsid w:val="32755658"/>
    <w:rsid w:val="32780143"/>
    <w:rsid w:val="327A2C6E"/>
    <w:rsid w:val="327A42BE"/>
    <w:rsid w:val="327F2033"/>
    <w:rsid w:val="32807B59"/>
    <w:rsid w:val="3284589B"/>
    <w:rsid w:val="328A09D8"/>
    <w:rsid w:val="32931F82"/>
    <w:rsid w:val="3296737C"/>
    <w:rsid w:val="32994EA0"/>
    <w:rsid w:val="329B0E37"/>
    <w:rsid w:val="32A001FB"/>
    <w:rsid w:val="32A25D21"/>
    <w:rsid w:val="32A61CB5"/>
    <w:rsid w:val="32AE0B6A"/>
    <w:rsid w:val="32B05ACE"/>
    <w:rsid w:val="32B128D9"/>
    <w:rsid w:val="32B31CDC"/>
    <w:rsid w:val="32B36180"/>
    <w:rsid w:val="32B40693"/>
    <w:rsid w:val="32B759A1"/>
    <w:rsid w:val="32B75C71"/>
    <w:rsid w:val="32B85545"/>
    <w:rsid w:val="32BD2C24"/>
    <w:rsid w:val="32BE744E"/>
    <w:rsid w:val="32BF4B25"/>
    <w:rsid w:val="32C24615"/>
    <w:rsid w:val="32C43EEA"/>
    <w:rsid w:val="32C75788"/>
    <w:rsid w:val="32CB171C"/>
    <w:rsid w:val="32D16607"/>
    <w:rsid w:val="32D3412D"/>
    <w:rsid w:val="32D560F7"/>
    <w:rsid w:val="32D571A3"/>
    <w:rsid w:val="32D67C67"/>
    <w:rsid w:val="32D81743"/>
    <w:rsid w:val="32D87995"/>
    <w:rsid w:val="32DD144F"/>
    <w:rsid w:val="32E20814"/>
    <w:rsid w:val="32E77BD8"/>
    <w:rsid w:val="32EA7AB2"/>
    <w:rsid w:val="32EE0F67"/>
    <w:rsid w:val="32F04CDF"/>
    <w:rsid w:val="32F32A3D"/>
    <w:rsid w:val="32F347CF"/>
    <w:rsid w:val="32F36623"/>
    <w:rsid w:val="32F440A4"/>
    <w:rsid w:val="32F50547"/>
    <w:rsid w:val="32F83B93"/>
    <w:rsid w:val="32FB17B4"/>
    <w:rsid w:val="32FD22FD"/>
    <w:rsid w:val="32FE0260"/>
    <w:rsid w:val="33010C9A"/>
    <w:rsid w:val="3304078A"/>
    <w:rsid w:val="330469DC"/>
    <w:rsid w:val="330B1B18"/>
    <w:rsid w:val="330B7D6A"/>
    <w:rsid w:val="330C5891"/>
    <w:rsid w:val="330C763F"/>
    <w:rsid w:val="330D3AE3"/>
    <w:rsid w:val="330E1609"/>
    <w:rsid w:val="331309CD"/>
    <w:rsid w:val="331A65AF"/>
    <w:rsid w:val="331C3D26"/>
    <w:rsid w:val="331F3816"/>
    <w:rsid w:val="332143CC"/>
    <w:rsid w:val="33296443"/>
    <w:rsid w:val="33353039"/>
    <w:rsid w:val="33354DE7"/>
    <w:rsid w:val="333746BC"/>
    <w:rsid w:val="33381756"/>
    <w:rsid w:val="333A23FE"/>
    <w:rsid w:val="33437504"/>
    <w:rsid w:val="3344327C"/>
    <w:rsid w:val="33447CF9"/>
    <w:rsid w:val="33460DA3"/>
    <w:rsid w:val="334A7763"/>
    <w:rsid w:val="334B460B"/>
    <w:rsid w:val="334E5EA9"/>
    <w:rsid w:val="334E7C57"/>
    <w:rsid w:val="335039CF"/>
    <w:rsid w:val="335334BF"/>
    <w:rsid w:val="3353526D"/>
    <w:rsid w:val="33590AD6"/>
    <w:rsid w:val="335A65FC"/>
    <w:rsid w:val="335C05C6"/>
    <w:rsid w:val="335E1684"/>
    <w:rsid w:val="335E60EC"/>
    <w:rsid w:val="336254B1"/>
    <w:rsid w:val="33641229"/>
    <w:rsid w:val="33677B8F"/>
    <w:rsid w:val="33694A91"/>
    <w:rsid w:val="3369683F"/>
    <w:rsid w:val="336A2CE3"/>
    <w:rsid w:val="336E3E55"/>
    <w:rsid w:val="33705E1F"/>
    <w:rsid w:val="33745910"/>
    <w:rsid w:val="337551E4"/>
    <w:rsid w:val="337C47C4"/>
    <w:rsid w:val="338418CB"/>
    <w:rsid w:val="338D3D76"/>
    <w:rsid w:val="339935C8"/>
    <w:rsid w:val="33997124"/>
    <w:rsid w:val="339C6C14"/>
    <w:rsid w:val="339D48C8"/>
    <w:rsid w:val="339E473B"/>
    <w:rsid w:val="33A4500D"/>
    <w:rsid w:val="33AA7583"/>
    <w:rsid w:val="33AE06F6"/>
    <w:rsid w:val="33BE20D3"/>
    <w:rsid w:val="33BE7EEE"/>
    <w:rsid w:val="33C06DA7"/>
    <w:rsid w:val="33C543BD"/>
    <w:rsid w:val="33C65A3F"/>
    <w:rsid w:val="33C70135"/>
    <w:rsid w:val="33C81968"/>
    <w:rsid w:val="33C95001"/>
    <w:rsid w:val="33CD5020"/>
    <w:rsid w:val="33CF0D98"/>
    <w:rsid w:val="33D04B10"/>
    <w:rsid w:val="33D26ADA"/>
    <w:rsid w:val="33D4015C"/>
    <w:rsid w:val="33D53ED4"/>
    <w:rsid w:val="33D64A34"/>
    <w:rsid w:val="33D75E9F"/>
    <w:rsid w:val="33D95773"/>
    <w:rsid w:val="33E11B47"/>
    <w:rsid w:val="33E365F1"/>
    <w:rsid w:val="33E660E2"/>
    <w:rsid w:val="33E701B5"/>
    <w:rsid w:val="33E81E5A"/>
    <w:rsid w:val="33EF143A"/>
    <w:rsid w:val="33F22CD8"/>
    <w:rsid w:val="33F26834"/>
    <w:rsid w:val="33FC76B3"/>
    <w:rsid w:val="33FE342B"/>
    <w:rsid w:val="33FE78CF"/>
    <w:rsid w:val="340071A3"/>
    <w:rsid w:val="34014CC9"/>
    <w:rsid w:val="34034EE6"/>
    <w:rsid w:val="340842AA"/>
    <w:rsid w:val="340A6274"/>
    <w:rsid w:val="340F73E6"/>
    <w:rsid w:val="34126ED7"/>
    <w:rsid w:val="34140EA1"/>
    <w:rsid w:val="3416085D"/>
    <w:rsid w:val="34191C89"/>
    <w:rsid w:val="34210CBB"/>
    <w:rsid w:val="342D3D10"/>
    <w:rsid w:val="342D5ABF"/>
    <w:rsid w:val="3431735D"/>
    <w:rsid w:val="34346E4D"/>
    <w:rsid w:val="34394463"/>
    <w:rsid w:val="34395261"/>
    <w:rsid w:val="343D7DFF"/>
    <w:rsid w:val="343F6D1F"/>
    <w:rsid w:val="3442156A"/>
    <w:rsid w:val="344277BC"/>
    <w:rsid w:val="34495F0D"/>
    <w:rsid w:val="344C23E9"/>
    <w:rsid w:val="34515C51"/>
    <w:rsid w:val="34525300"/>
    <w:rsid w:val="34545741"/>
    <w:rsid w:val="34592D57"/>
    <w:rsid w:val="345E722D"/>
    <w:rsid w:val="34655258"/>
    <w:rsid w:val="346A7471"/>
    <w:rsid w:val="346C2A8B"/>
    <w:rsid w:val="346F257B"/>
    <w:rsid w:val="34713BFD"/>
    <w:rsid w:val="34785525"/>
    <w:rsid w:val="34790D04"/>
    <w:rsid w:val="34827C54"/>
    <w:rsid w:val="34833930"/>
    <w:rsid w:val="34863867"/>
    <w:rsid w:val="34872CF7"/>
    <w:rsid w:val="348845FB"/>
    <w:rsid w:val="348953EB"/>
    <w:rsid w:val="348A1163"/>
    <w:rsid w:val="348A2F11"/>
    <w:rsid w:val="348E2A01"/>
    <w:rsid w:val="34990098"/>
    <w:rsid w:val="34993154"/>
    <w:rsid w:val="349D2C44"/>
    <w:rsid w:val="349F4C0E"/>
    <w:rsid w:val="34A02734"/>
    <w:rsid w:val="34A2025B"/>
    <w:rsid w:val="34A22009"/>
    <w:rsid w:val="34A87296"/>
    <w:rsid w:val="34A9783B"/>
    <w:rsid w:val="34AB35B3"/>
    <w:rsid w:val="34AF2977"/>
    <w:rsid w:val="34B306BA"/>
    <w:rsid w:val="34B561E0"/>
    <w:rsid w:val="34BA1A48"/>
    <w:rsid w:val="34BA37F6"/>
    <w:rsid w:val="34BD7C90"/>
    <w:rsid w:val="34C401D1"/>
    <w:rsid w:val="34D7310F"/>
    <w:rsid w:val="34D81ECE"/>
    <w:rsid w:val="34DB551B"/>
    <w:rsid w:val="34E316B2"/>
    <w:rsid w:val="34E41C88"/>
    <w:rsid w:val="34E72FB8"/>
    <w:rsid w:val="34E94521"/>
    <w:rsid w:val="34EC597A"/>
    <w:rsid w:val="34EE7F06"/>
    <w:rsid w:val="34F36D08"/>
    <w:rsid w:val="34F51DC6"/>
    <w:rsid w:val="34F5482E"/>
    <w:rsid w:val="34F839CE"/>
    <w:rsid w:val="34FC399A"/>
    <w:rsid w:val="34FD1935"/>
    <w:rsid w:val="34FD7B87"/>
    <w:rsid w:val="350137AB"/>
    <w:rsid w:val="35050E48"/>
    <w:rsid w:val="350925D2"/>
    <w:rsid w:val="350B5E00"/>
    <w:rsid w:val="350C1B78"/>
    <w:rsid w:val="350E3A5C"/>
    <w:rsid w:val="350E58F0"/>
    <w:rsid w:val="35102DBF"/>
    <w:rsid w:val="3511718E"/>
    <w:rsid w:val="35131158"/>
    <w:rsid w:val="351849C1"/>
    <w:rsid w:val="351D3D85"/>
    <w:rsid w:val="351F7AFD"/>
    <w:rsid w:val="352057FD"/>
    <w:rsid w:val="352073D1"/>
    <w:rsid w:val="35223149"/>
    <w:rsid w:val="35243365"/>
    <w:rsid w:val="352549E8"/>
    <w:rsid w:val="3529272A"/>
    <w:rsid w:val="352B0250"/>
    <w:rsid w:val="352E1AEE"/>
    <w:rsid w:val="352E5F92"/>
    <w:rsid w:val="352F7F42"/>
    <w:rsid w:val="35300883"/>
    <w:rsid w:val="35337105"/>
    <w:rsid w:val="35386E11"/>
    <w:rsid w:val="353A1D60"/>
    <w:rsid w:val="353A4937"/>
    <w:rsid w:val="354237EC"/>
    <w:rsid w:val="3542559A"/>
    <w:rsid w:val="35466E38"/>
    <w:rsid w:val="35494B7A"/>
    <w:rsid w:val="354B6B44"/>
    <w:rsid w:val="354F72C2"/>
    <w:rsid w:val="355157DD"/>
    <w:rsid w:val="35524794"/>
    <w:rsid w:val="35591A96"/>
    <w:rsid w:val="355E6877"/>
    <w:rsid w:val="355F7EFA"/>
    <w:rsid w:val="356674DA"/>
    <w:rsid w:val="35675000"/>
    <w:rsid w:val="356A0417"/>
    <w:rsid w:val="356D4F9D"/>
    <w:rsid w:val="3570514C"/>
    <w:rsid w:val="357059DA"/>
    <w:rsid w:val="35775243"/>
    <w:rsid w:val="35777939"/>
    <w:rsid w:val="3578720D"/>
    <w:rsid w:val="357F67EE"/>
    <w:rsid w:val="35812566"/>
    <w:rsid w:val="358160D1"/>
    <w:rsid w:val="3586192A"/>
    <w:rsid w:val="358D4A67"/>
    <w:rsid w:val="358F4C83"/>
    <w:rsid w:val="358F6E87"/>
    <w:rsid w:val="35951B6D"/>
    <w:rsid w:val="359528C1"/>
    <w:rsid w:val="35956BF6"/>
    <w:rsid w:val="35986E4F"/>
    <w:rsid w:val="35A3072E"/>
    <w:rsid w:val="35A53D8B"/>
    <w:rsid w:val="35A973C7"/>
    <w:rsid w:val="35AD5109"/>
    <w:rsid w:val="35AE1D1F"/>
    <w:rsid w:val="35AF0E81"/>
    <w:rsid w:val="35B04BF9"/>
    <w:rsid w:val="35B4360A"/>
    <w:rsid w:val="35B93AAE"/>
    <w:rsid w:val="35BB6E36"/>
    <w:rsid w:val="35BC359E"/>
    <w:rsid w:val="35C67F79"/>
    <w:rsid w:val="35CB1A33"/>
    <w:rsid w:val="35CB70D1"/>
    <w:rsid w:val="35D46B3A"/>
    <w:rsid w:val="35D52E6A"/>
    <w:rsid w:val="35D5640E"/>
    <w:rsid w:val="35DA3A24"/>
    <w:rsid w:val="35E36D7D"/>
    <w:rsid w:val="35E623C9"/>
    <w:rsid w:val="35E825E5"/>
    <w:rsid w:val="35F1149A"/>
    <w:rsid w:val="35F27157"/>
    <w:rsid w:val="35F76384"/>
    <w:rsid w:val="35FC1BEC"/>
    <w:rsid w:val="360016CD"/>
    <w:rsid w:val="360016DD"/>
    <w:rsid w:val="3602502C"/>
    <w:rsid w:val="36034D29"/>
    <w:rsid w:val="360B0081"/>
    <w:rsid w:val="360D3DFA"/>
    <w:rsid w:val="360E01D9"/>
    <w:rsid w:val="360F36CE"/>
    <w:rsid w:val="36127662"/>
    <w:rsid w:val="36133BB0"/>
    <w:rsid w:val="36140CE4"/>
    <w:rsid w:val="36160F00"/>
    <w:rsid w:val="36174C78"/>
    <w:rsid w:val="3619279E"/>
    <w:rsid w:val="361A4E3E"/>
    <w:rsid w:val="361B6516"/>
    <w:rsid w:val="361C403D"/>
    <w:rsid w:val="361D6A8E"/>
    <w:rsid w:val="361E7DB5"/>
    <w:rsid w:val="362058DB"/>
    <w:rsid w:val="362353CB"/>
    <w:rsid w:val="36266C69"/>
    <w:rsid w:val="36274FEC"/>
    <w:rsid w:val="36307493"/>
    <w:rsid w:val="36315D3A"/>
    <w:rsid w:val="36370E76"/>
    <w:rsid w:val="363C648D"/>
    <w:rsid w:val="363E0457"/>
    <w:rsid w:val="36405F7D"/>
    <w:rsid w:val="36455341"/>
    <w:rsid w:val="36484E32"/>
    <w:rsid w:val="364A2958"/>
    <w:rsid w:val="364C0B13"/>
    <w:rsid w:val="364D069A"/>
    <w:rsid w:val="36513CE6"/>
    <w:rsid w:val="36525CB0"/>
    <w:rsid w:val="3656754F"/>
    <w:rsid w:val="36581519"/>
    <w:rsid w:val="3659703F"/>
    <w:rsid w:val="365A15F9"/>
    <w:rsid w:val="365D5F63"/>
    <w:rsid w:val="365D6B2F"/>
    <w:rsid w:val="36642B6C"/>
    <w:rsid w:val="36647880"/>
    <w:rsid w:val="36657792"/>
    <w:rsid w:val="366859E7"/>
    <w:rsid w:val="366C6D72"/>
    <w:rsid w:val="366D6646"/>
    <w:rsid w:val="366F6336"/>
    <w:rsid w:val="36767BF1"/>
    <w:rsid w:val="367845C1"/>
    <w:rsid w:val="36794FEB"/>
    <w:rsid w:val="367A601A"/>
    <w:rsid w:val="367F74A1"/>
    <w:rsid w:val="36820D95"/>
    <w:rsid w:val="36857E34"/>
    <w:rsid w:val="36874BEE"/>
    <w:rsid w:val="368A544A"/>
    <w:rsid w:val="368E62C3"/>
    <w:rsid w:val="368F0CB2"/>
    <w:rsid w:val="369342FF"/>
    <w:rsid w:val="36940077"/>
    <w:rsid w:val="369462C9"/>
    <w:rsid w:val="369B3F26"/>
    <w:rsid w:val="369B6B2C"/>
    <w:rsid w:val="369D33CF"/>
    <w:rsid w:val="369D517D"/>
    <w:rsid w:val="369E0EF6"/>
    <w:rsid w:val="36A03408"/>
    <w:rsid w:val="36A04C6E"/>
    <w:rsid w:val="36A14795"/>
    <w:rsid w:val="36A77DAA"/>
    <w:rsid w:val="36AA1648"/>
    <w:rsid w:val="36AA39B8"/>
    <w:rsid w:val="36AC53C0"/>
    <w:rsid w:val="36AE738B"/>
    <w:rsid w:val="36B316DA"/>
    <w:rsid w:val="36B62551"/>
    <w:rsid w:val="36B74B2C"/>
    <w:rsid w:val="36BA5D2F"/>
    <w:rsid w:val="36BD137C"/>
    <w:rsid w:val="36BE50F4"/>
    <w:rsid w:val="36BF32BE"/>
    <w:rsid w:val="36C344B8"/>
    <w:rsid w:val="36C4095C"/>
    <w:rsid w:val="36C73FA8"/>
    <w:rsid w:val="36CA5847"/>
    <w:rsid w:val="36CE17DB"/>
    <w:rsid w:val="36CF7301"/>
    <w:rsid w:val="36D27CB5"/>
    <w:rsid w:val="36D546CB"/>
    <w:rsid w:val="36D861B6"/>
    <w:rsid w:val="36D93CDC"/>
    <w:rsid w:val="36DA1F2E"/>
    <w:rsid w:val="36DB5CA6"/>
    <w:rsid w:val="36DD2B68"/>
    <w:rsid w:val="36E01FE0"/>
    <w:rsid w:val="36E25286"/>
    <w:rsid w:val="36E508D2"/>
    <w:rsid w:val="36E65E63"/>
    <w:rsid w:val="36ED1EEB"/>
    <w:rsid w:val="36ED633C"/>
    <w:rsid w:val="36EE3C2B"/>
    <w:rsid w:val="36EF34FF"/>
    <w:rsid w:val="36F11025"/>
    <w:rsid w:val="36F47456"/>
    <w:rsid w:val="36F6663C"/>
    <w:rsid w:val="36FB1EA4"/>
    <w:rsid w:val="36FC292C"/>
    <w:rsid w:val="36FE0E31"/>
    <w:rsid w:val="36FE5B80"/>
    <w:rsid w:val="3701395E"/>
    <w:rsid w:val="37034BCF"/>
    <w:rsid w:val="37052D23"/>
    <w:rsid w:val="37054AD1"/>
    <w:rsid w:val="3707395A"/>
    <w:rsid w:val="370C5E5F"/>
    <w:rsid w:val="371371EE"/>
    <w:rsid w:val="37155B10"/>
    <w:rsid w:val="37164F30"/>
    <w:rsid w:val="37180854"/>
    <w:rsid w:val="371D006C"/>
    <w:rsid w:val="37227431"/>
    <w:rsid w:val="372C6501"/>
    <w:rsid w:val="372E13CA"/>
    <w:rsid w:val="372E5DD5"/>
    <w:rsid w:val="3733163E"/>
    <w:rsid w:val="373830F8"/>
    <w:rsid w:val="373A48BE"/>
    <w:rsid w:val="373B6744"/>
    <w:rsid w:val="373D426B"/>
    <w:rsid w:val="37420939"/>
    <w:rsid w:val="37424565"/>
    <w:rsid w:val="37425D25"/>
    <w:rsid w:val="374470BC"/>
    <w:rsid w:val="374675C3"/>
    <w:rsid w:val="37474C07"/>
    <w:rsid w:val="374B6019"/>
    <w:rsid w:val="374D6BA3"/>
    <w:rsid w:val="37500442"/>
    <w:rsid w:val="3756532C"/>
    <w:rsid w:val="37575712"/>
    <w:rsid w:val="375A7F25"/>
    <w:rsid w:val="375C0B95"/>
    <w:rsid w:val="375D116C"/>
    <w:rsid w:val="37620175"/>
    <w:rsid w:val="37643EED"/>
    <w:rsid w:val="37647A49"/>
    <w:rsid w:val="37682FD3"/>
    <w:rsid w:val="37691503"/>
    <w:rsid w:val="376B0DD8"/>
    <w:rsid w:val="376D2DA2"/>
    <w:rsid w:val="37737C8C"/>
    <w:rsid w:val="37760883"/>
    <w:rsid w:val="37781747"/>
    <w:rsid w:val="37783AA1"/>
    <w:rsid w:val="377F2AD5"/>
    <w:rsid w:val="377F4883"/>
    <w:rsid w:val="37893954"/>
    <w:rsid w:val="378A0189"/>
    <w:rsid w:val="378B4801"/>
    <w:rsid w:val="378B76CC"/>
    <w:rsid w:val="378D51F2"/>
    <w:rsid w:val="379E73FF"/>
    <w:rsid w:val="37A278A0"/>
    <w:rsid w:val="37AB3982"/>
    <w:rsid w:val="37AD0841"/>
    <w:rsid w:val="37AD7642"/>
    <w:rsid w:val="37B07132"/>
    <w:rsid w:val="37B54360"/>
    <w:rsid w:val="37B564F7"/>
    <w:rsid w:val="37BA58BB"/>
    <w:rsid w:val="37BD53AB"/>
    <w:rsid w:val="37C242B9"/>
    <w:rsid w:val="37C408B8"/>
    <w:rsid w:val="37C64260"/>
    <w:rsid w:val="37D20E57"/>
    <w:rsid w:val="37D351ED"/>
    <w:rsid w:val="37D54A07"/>
    <w:rsid w:val="37D97E4C"/>
    <w:rsid w:val="37DC3A83"/>
    <w:rsid w:val="37DC7F27"/>
    <w:rsid w:val="37DE77FC"/>
    <w:rsid w:val="37E03F72"/>
    <w:rsid w:val="37E312B6"/>
    <w:rsid w:val="37E33064"/>
    <w:rsid w:val="37E44AA4"/>
    <w:rsid w:val="37E46AA7"/>
    <w:rsid w:val="37E62C43"/>
    <w:rsid w:val="37E666B0"/>
    <w:rsid w:val="37EB016A"/>
    <w:rsid w:val="37EB1F18"/>
    <w:rsid w:val="37EB70CB"/>
    <w:rsid w:val="37ED3EE3"/>
    <w:rsid w:val="37F64733"/>
    <w:rsid w:val="37FB65FF"/>
    <w:rsid w:val="37FD7DBA"/>
    <w:rsid w:val="37FE7E9E"/>
    <w:rsid w:val="38042FDA"/>
    <w:rsid w:val="38045A76"/>
    <w:rsid w:val="380D1E8F"/>
    <w:rsid w:val="380E117F"/>
    <w:rsid w:val="380F3E59"/>
    <w:rsid w:val="38190834"/>
    <w:rsid w:val="381921BA"/>
    <w:rsid w:val="381D4C13"/>
    <w:rsid w:val="38211DDE"/>
    <w:rsid w:val="382316B2"/>
    <w:rsid w:val="382947EF"/>
    <w:rsid w:val="382D2E86"/>
    <w:rsid w:val="383438BF"/>
    <w:rsid w:val="38367638"/>
    <w:rsid w:val="38392C84"/>
    <w:rsid w:val="38397128"/>
    <w:rsid w:val="383C5DD6"/>
    <w:rsid w:val="383E029A"/>
    <w:rsid w:val="383E473E"/>
    <w:rsid w:val="38471845"/>
    <w:rsid w:val="3848736B"/>
    <w:rsid w:val="384D672F"/>
    <w:rsid w:val="385201EA"/>
    <w:rsid w:val="38521F98"/>
    <w:rsid w:val="38543F62"/>
    <w:rsid w:val="38563D6C"/>
    <w:rsid w:val="3857135C"/>
    <w:rsid w:val="38577975"/>
    <w:rsid w:val="385C6972"/>
    <w:rsid w:val="38657F1D"/>
    <w:rsid w:val="386E0B07"/>
    <w:rsid w:val="38740160"/>
    <w:rsid w:val="38752EFE"/>
    <w:rsid w:val="387737AC"/>
    <w:rsid w:val="38832151"/>
    <w:rsid w:val="3885236D"/>
    <w:rsid w:val="388F4F9A"/>
    <w:rsid w:val="38910D12"/>
    <w:rsid w:val="38912AC0"/>
    <w:rsid w:val="38934A8A"/>
    <w:rsid w:val="389A0BB8"/>
    <w:rsid w:val="38A50319"/>
    <w:rsid w:val="38A5656B"/>
    <w:rsid w:val="38A87E0A"/>
    <w:rsid w:val="38AA3B82"/>
    <w:rsid w:val="38AF1198"/>
    <w:rsid w:val="38B30C88"/>
    <w:rsid w:val="38B62526"/>
    <w:rsid w:val="38B82D22"/>
    <w:rsid w:val="38B8629F"/>
    <w:rsid w:val="38BB18EB"/>
    <w:rsid w:val="38BD6B23"/>
    <w:rsid w:val="38C435DA"/>
    <w:rsid w:val="38C43E25"/>
    <w:rsid w:val="38CC58A6"/>
    <w:rsid w:val="38CC5B33"/>
    <w:rsid w:val="38CF183A"/>
    <w:rsid w:val="38CF35E8"/>
    <w:rsid w:val="38D37F4B"/>
    <w:rsid w:val="38D46E50"/>
    <w:rsid w:val="38D6668F"/>
    <w:rsid w:val="38D80B0A"/>
    <w:rsid w:val="38D97FC3"/>
    <w:rsid w:val="38DC14F7"/>
    <w:rsid w:val="38E36364"/>
    <w:rsid w:val="38EE1CC0"/>
    <w:rsid w:val="38EF5A38"/>
    <w:rsid w:val="38F17A02"/>
    <w:rsid w:val="38F65019"/>
    <w:rsid w:val="38F848ED"/>
    <w:rsid w:val="38F8669B"/>
    <w:rsid w:val="38FD1F03"/>
    <w:rsid w:val="390019F4"/>
    <w:rsid w:val="39012F5F"/>
    <w:rsid w:val="39050DB8"/>
    <w:rsid w:val="39113C01"/>
    <w:rsid w:val="391A2AB5"/>
    <w:rsid w:val="391F631E"/>
    <w:rsid w:val="39225E0E"/>
    <w:rsid w:val="3925145A"/>
    <w:rsid w:val="392A0C82"/>
    <w:rsid w:val="392E47B3"/>
    <w:rsid w:val="3930052B"/>
    <w:rsid w:val="39382F3B"/>
    <w:rsid w:val="39394BC4"/>
    <w:rsid w:val="393B53E7"/>
    <w:rsid w:val="393D0552"/>
    <w:rsid w:val="393D49F6"/>
    <w:rsid w:val="3942025E"/>
    <w:rsid w:val="394750CB"/>
    <w:rsid w:val="39494261"/>
    <w:rsid w:val="394C61B4"/>
    <w:rsid w:val="394E6C03"/>
    <w:rsid w:val="395064D7"/>
    <w:rsid w:val="39513FFD"/>
    <w:rsid w:val="39535FC7"/>
    <w:rsid w:val="395A05A6"/>
    <w:rsid w:val="39602492"/>
    <w:rsid w:val="396106E4"/>
    <w:rsid w:val="39627FB8"/>
    <w:rsid w:val="396957EB"/>
    <w:rsid w:val="396B7DEA"/>
    <w:rsid w:val="396E4BAF"/>
    <w:rsid w:val="39700927"/>
    <w:rsid w:val="39706B79"/>
    <w:rsid w:val="3971644D"/>
    <w:rsid w:val="397217C8"/>
    <w:rsid w:val="397A79F8"/>
    <w:rsid w:val="397C1E1E"/>
    <w:rsid w:val="397D1296"/>
    <w:rsid w:val="397D3044"/>
    <w:rsid w:val="3983100C"/>
    <w:rsid w:val="3986014B"/>
    <w:rsid w:val="3986639D"/>
    <w:rsid w:val="398E5251"/>
    <w:rsid w:val="39902180"/>
    <w:rsid w:val="3995213C"/>
    <w:rsid w:val="399A09D4"/>
    <w:rsid w:val="399C2A22"/>
    <w:rsid w:val="399E2974"/>
    <w:rsid w:val="39A131D7"/>
    <w:rsid w:val="39A46823"/>
    <w:rsid w:val="39A6259B"/>
    <w:rsid w:val="39A84565"/>
    <w:rsid w:val="39AB5E03"/>
    <w:rsid w:val="39AB7BB1"/>
    <w:rsid w:val="39AF6E3D"/>
    <w:rsid w:val="39B0341A"/>
    <w:rsid w:val="39B051C8"/>
    <w:rsid w:val="39B12CEE"/>
    <w:rsid w:val="39B90520"/>
    <w:rsid w:val="39BB78C7"/>
    <w:rsid w:val="39BF18AF"/>
    <w:rsid w:val="39BF668E"/>
    <w:rsid w:val="39C11183"/>
    <w:rsid w:val="39C42A21"/>
    <w:rsid w:val="39C62978"/>
    <w:rsid w:val="39CB2002"/>
    <w:rsid w:val="39CD5D7A"/>
    <w:rsid w:val="39CE597F"/>
    <w:rsid w:val="39D32C64"/>
    <w:rsid w:val="39D8471E"/>
    <w:rsid w:val="39D96878"/>
    <w:rsid w:val="39DC5FBD"/>
    <w:rsid w:val="39DE7F87"/>
    <w:rsid w:val="39E2749E"/>
    <w:rsid w:val="39E3559D"/>
    <w:rsid w:val="39EA2D8B"/>
    <w:rsid w:val="39EB6200"/>
    <w:rsid w:val="39ED01CA"/>
    <w:rsid w:val="39EE5CF0"/>
    <w:rsid w:val="39F257E0"/>
    <w:rsid w:val="39FE1322"/>
    <w:rsid w:val="39FF1EC0"/>
    <w:rsid w:val="3A015A23"/>
    <w:rsid w:val="3A016441"/>
    <w:rsid w:val="3A0177D1"/>
    <w:rsid w:val="3A055283"/>
    <w:rsid w:val="3A092B2A"/>
    <w:rsid w:val="3A0C143C"/>
    <w:rsid w:val="3A105C66"/>
    <w:rsid w:val="3A125E82"/>
    <w:rsid w:val="3A127C30"/>
    <w:rsid w:val="3A1439A9"/>
    <w:rsid w:val="3A190FBF"/>
    <w:rsid w:val="3A1A4D37"/>
    <w:rsid w:val="3A1F40FB"/>
    <w:rsid w:val="3A231646"/>
    <w:rsid w:val="3A250E0D"/>
    <w:rsid w:val="3A26548A"/>
    <w:rsid w:val="3A266CCC"/>
    <w:rsid w:val="3A2B0CF2"/>
    <w:rsid w:val="3A2B16AE"/>
    <w:rsid w:val="3A2B484E"/>
    <w:rsid w:val="3A323E2F"/>
    <w:rsid w:val="3A32526F"/>
    <w:rsid w:val="3A3556CD"/>
    <w:rsid w:val="3A396F6B"/>
    <w:rsid w:val="3A3E0A25"/>
    <w:rsid w:val="3A414072"/>
    <w:rsid w:val="3A451DB4"/>
    <w:rsid w:val="3A4D2A17"/>
    <w:rsid w:val="3A4E3759"/>
    <w:rsid w:val="3A4F2C33"/>
    <w:rsid w:val="3A4F49E1"/>
    <w:rsid w:val="3A522C54"/>
    <w:rsid w:val="3A573895"/>
    <w:rsid w:val="3A5E4C24"/>
    <w:rsid w:val="3A663AD8"/>
    <w:rsid w:val="3A685AA2"/>
    <w:rsid w:val="3A68758F"/>
    <w:rsid w:val="3A695377"/>
    <w:rsid w:val="3A6B10EF"/>
    <w:rsid w:val="3A6C475E"/>
    <w:rsid w:val="3A6D4E67"/>
    <w:rsid w:val="3A712BA9"/>
    <w:rsid w:val="3A7368B4"/>
    <w:rsid w:val="3A744447"/>
    <w:rsid w:val="3A751F6D"/>
    <w:rsid w:val="3A763C53"/>
    <w:rsid w:val="3A766411"/>
    <w:rsid w:val="3A78116B"/>
    <w:rsid w:val="3A791A5E"/>
    <w:rsid w:val="3A7D408B"/>
    <w:rsid w:val="3A7E7074"/>
    <w:rsid w:val="3A810912"/>
    <w:rsid w:val="3A836438"/>
    <w:rsid w:val="3A84453E"/>
    <w:rsid w:val="3A8521B0"/>
    <w:rsid w:val="3A8601A8"/>
    <w:rsid w:val="3A8723CC"/>
    <w:rsid w:val="3A880D96"/>
    <w:rsid w:val="3A8827B8"/>
    <w:rsid w:val="3A8A3C6B"/>
    <w:rsid w:val="3A8B353F"/>
    <w:rsid w:val="3A91750A"/>
    <w:rsid w:val="3A9C574C"/>
    <w:rsid w:val="3A9C7348"/>
    <w:rsid w:val="3AA12D62"/>
    <w:rsid w:val="3AA20FB4"/>
    <w:rsid w:val="3AA41612"/>
    <w:rsid w:val="3AA45CB6"/>
    <w:rsid w:val="3AAA60BB"/>
    <w:rsid w:val="3AAB6C4F"/>
    <w:rsid w:val="3AB24F6F"/>
    <w:rsid w:val="3AB26D1E"/>
    <w:rsid w:val="3AC56A51"/>
    <w:rsid w:val="3AC76C6D"/>
    <w:rsid w:val="3AC802EF"/>
    <w:rsid w:val="3ACD1DA9"/>
    <w:rsid w:val="3AD1189A"/>
    <w:rsid w:val="3AD4138A"/>
    <w:rsid w:val="3AD60C5E"/>
    <w:rsid w:val="3AD66EB0"/>
    <w:rsid w:val="3AD96C13"/>
    <w:rsid w:val="3ADB0022"/>
    <w:rsid w:val="3ADC3D9A"/>
    <w:rsid w:val="3AE113B1"/>
    <w:rsid w:val="3AF235BE"/>
    <w:rsid w:val="3AF42149"/>
    <w:rsid w:val="3AFB2473"/>
    <w:rsid w:val="3B00217F"/>
    <w:rsid w:val="3B003F2D"/>
    <w:rsid w:val="3B0312A1"/>
    <w:rsid w:val="3B084B8F"/>
    <w:rsid w:val="3B091033"/>
    <w:rsid w:val="3B0A4DAB"/>
    <w:rsid w:val="3B0C0B24"/>
    <w:rsid w:val="3B135A0E"/>
    <w:rsid w:val="3B16734F"/>
    <w:rsid w:val="3B167C0B"/>
    <w:rsid w:val="3B181276"/>
    <w:rsid w:val="3B1F0857"/>
    <w:rsid w:val="3B20637D"/>
    <w:rsid w:val="3B20692C"/>
    <w:rsid w:val="3B2319C9"/>
    <w:rsid w:val="3B240E97"/>
    <w:rsid w:val="3B247C1B"/>
    <w:rsid w:val="3B251BE5"/>
    <w:rsid w:val="3B255D13"/>
    <w:rsid w:val="3B27770B"/>
    <w:rsid w:val="3B374E9C"/>
    <w:rsid w:val="3B384E25"/>
    <w:rsid w:val="3B3911ED"/>
    <w:rsid w:val="3B3B6D13"/>
    <w:rsid w:val="3B3C718F"/>
    <w:rsid w:val="3B424545"/>
    <w:rsid w:val="3B4262F3"/>
    <w:rsid w:val="3B443E1A"/>
    <w:rsid w:val="3B460044"/>
    <w:rsid w:val="3B4C5C32"/>
    <w:rsid w:val="3B4C67D8"/>
    <w:rsid w:val="3B4E4C98"/>
    <w:rsid w:val="3B4F27BE"/>
    <w:rsid w:val="3B55139D"/>
    <w:rsid w:val="3B5A1C91"/>
    <w:rsid w:val="3B6B3A9C"/>
    <w:rsid w:val="3B6B584A"/>
    <w:rsid w:val="3B6E533A"/>
    <w:rsid w:val="3B6F4C0F"/>
    <w:rsid w:val="3B714E2B"/>
    <w:rsid w:val="3B716BD9"/>
    <w:rsid w:val="3B722D63"/>
    <w:rsid w:val="3B783AC3"/>
    <w:rsid w:val="3B7A783B"/>
    <w:rsid w:val="3B7F30A4"/>
    <w:rsid w:val="3B806E1C"/>
    <w:rsid w:val="3B910593"/>
    <w:rsid w:val="3B985F13"/>
    <w:rsid w:val="3B99523B"/>
    <w:rsid w:val="3B9C4E79"/>
    <w:rsid w:val="3B9D352A"/>
    <w:rsid w:val="3B9F54F4"/>
    <w:rsid w:val="3BA1126C"/>
    <w:rsid w:val="3BA23236"/>
    <w:rsid w:val="3BA448B8"/>
    <w:rsid w:val="3BA9378A"/>
    <w:rsid w:val="3BA945C4"/>
    <w:rsid w:val="3BA9567F"/>
    <w:rsid w:val="3BAC5E63"/>
    <w:rsid w:val="3BAE4FCF"/>
    <w:rsid w:val="3BB014AF"/>
    <w:rsid w:val="3BB0325D"/>
    <w:rsid w:val="3BB16FD5"/>
    <w:rsid w:val="3BB40E41"/>
    <w:rsid w:val="3BB4717C"/>
    <w:rsid w:val="3BB865B6"/>
    <w:rsid w:val="3BBA232E"/>
    <w:rsid w:val="3BBC42F8"/>
    <w:rsid w:val="3BBF5492"/>
    <w:rsid w:val="3BC1190E"/>
    <w:rsid w:val="3BC907C3"/>
    <w:rsid w:val="3BC91BD6"/>
    <w:rsid w:val="3BCE7B87"/>
    <w:rsid w:val="3BD76CB6"/>
    <w:rsid w:val="3BD81617"/>
    <w:rsid w:val="3BDD7DCA"/>
    <w:rsid w:val="3BE164EA"/>
    <w:rsid w:val="3BE23632"/>
    <w:rsid w:val="3BE45256"/>
    <w:rsid w:val="3BE60A52"/>
    <w:rsid w:val="3BE61128"/>
    <w:rsid w:val="3BE70C49"/>
    <w:rsid w:val="3BE86E9B"/>
    <w:rsid w:val="3BEC707E"/>
    <w:rsid w:val="3BEF3A59"/>
    <w:rsid w:val="3BF50BF3"/>
    <w:rsid w:val="3BF55114"/>
    <w:rsid w:val="3BF910A8"/>
    <w:rsid w:val="3BFE66BE"/>
    <w:rsid w:val="3C096E11"/>
    <w:rsid w:val="3C0B0DDB"/>
    <w:rsid w:val="3C0D413C"/>
    <w:rsid w:val="3C0D4B53"/>
    <w:rsid w:val="3C0D65B5"/>
    <w:rsid w:val="3C123F18"/>
    <w:rsid w:val="3C17152E"/>
    <w:rsid w:val="3C1934F8"/>
    <w:rsid w:val="3C1A2DCC"/>
    <w:rsid w:val="3C1A7270"/>
    <w:rsid w:val="3C1C6B44"/>
    <w:rsid w:val="3C1F3E60"/>
    <w:rsid w:val="3C217EE4"/>
    <w:rsid w:val="3C2E0626"/>
    <w:rsid w:val="3C357C06"/>
    <w:rsid w:val="3C391D8E"/>
    <w:rsid w:val="3C3A521C"/>
    <w:rsid w:val="3C4147FD"/>
    <w:rsid w:val="3C4605F3"/>
    <w:rsid w:val="3C461E13"/>
    <w:rsid w:val="3C471EF3"/>
    <w:rsid w:val="3C4E0CC8"/>
    <w:rsid w:val="3C4F6F1A"/>
    <w:rsid w:val="3C502C92"/>
    <w:rsid w:val="3C5A6340"/>
    <w:rsid w:val="3C5F4C83"/>
    <w:rsid w:val="3C6109FB"/>
    <w:rsid w:val="3C6127A9"/>
    <w:rsid w:val="3C683B38"/>
    <w:rsid w:val="3C691CF2"/>
    <w:rsid w:val="3C6978B0"/>
    <w:rsid w:val="3C6A11AE"/>
    <w:rsid w:val="3C6D55F2"/>
    <w:rsid w:val="3C6E77BC"/>
    <w:rsid w:val="3C706E90"/>
    <w:rsid w:val="3C7324DC"/>
    <w:rsid w:val="3C74072E"/>
    <w:rsid w:val="3C75078B"/>
    <w:rsid w:val="3C797AF3"/>
    <w:rsid w:val="3C7B3647"/>
    <w:rsid w:val="3C805325"/>
    <w:rsid w:val="3C860462"/>
    <w:rsid w:val="3C8D17A0"/>
    <w:rsid w:val="3C8F37BA"/>
    <w:rsid w:val="3C9506A5"/>
    <w:rsid w:val="3C983B5D"/>
    <w:rsid w:val="3C9A11D3"/>
    <w:rsid w:val="3C9B3F0D"/>
    <w:rsid w:val="3CA134EE"/>
    <w:rsid w:val="3CA21500"/>
    <w:rsid w:val="3CA37266"/>
    <w:rsid w:val="3CA60B04"/>
    <w:rsid w:val="3CA8662A"/>
    <w:rsid w:val="3CAB24D0"/>
    <w:rsid w:val="3CB72D11"/>
    <w:rsid w:val="3CB7686D"/>
    <w:rsid w:val="3CBC3E83"/>
    <w:rsid w:val="3CBE05CE"/>
    <w:rsid w:val="3CBE19AA"/>
    <w:rsid w:val="3CBE7045"/>
    <w:rsid w:val="3CBE7BFC"/>
    <w:rsid w:val="3CC1149A"/>
    <w:rsid w:val="3CC21B20"/>
    <w:rsid w:val="3CCA02B2"/>
    <w:rsid w:val="3CCF044E"/>
    <w:rsid w:val="3CD016DD"/>
    <w:rsid w:val="3CD15B81"/>
    <w:rsid w:val="3CD1792F"/>
    <w:rsid w:val="3CD218F9"/>
    <w:rsid w:val="3CD967E3"/>
    <w:rsid w:val="3CDA57AD"/>
    <w:rsid w:val="3CDB69FF"/>
    <w:rsid w:val="3CE11114"/>
    <w:rsid w:val="3CE37662"/>
    <w:rsid w:val="3CE82ECA"/>
    <w:rsid w:val="3CF11D7F"/>
    <w:rsid w:val="3CF7310E"/>
    <w:rsid w:val="3CF772CF"/>
    <w:rsid w:val="3CF90C34"/>
    <w:rsid w:val="3CF947C0"/>
    <w:rsid w:val="3CF96E86"/>
    <w:rsid w:val="3CFB0E50"/>
    <w:rsid w:val="3CFE449C"/>
    <w:rsid w:val="3CFE624A"/>
    <w:rsid w:val="3CFF7DD1"/>
    <w:rsid w:val="3D001FC2"/>
    <w:rsid w:val="3D023F8C"/>
    <w:rsid w:val="3D037D04"/>
    <w:rsid w:val="3D05582A"/>
    <w:rsid w:val="3D0715A3"/>
    <w:rsid w:val="3D076AAE"/>
    <w:rsid w:val="3D08531B"/>
    <w:rsid w:val="3D0870C9"/>
    <w:rsid w:val="3D0F48FB"/>
    <w:rsid w:val="3D12337E"/>
    <w:rsid w:val="3D184472"/>
    <w:rsid w:val="3D1D247A"/>
    <w:rsid w:val="3D1E68EC"/>
    <w:rsid w:val="3D2263DC"/>
    <w:rsid w:val="3D233F03"/>
    <w:rsid w:val="3D2C725B"/>
    <w:rsid w:val="3D2E2FD3"/>
    <w:rsid w:val="3D363C36"/>
    <w:rsid w:val="3D3B749E"/>
    <w:rsid w:val="3D402D06"/>
    <w:rsid w:val="3D406863"/>
    <w:rsid w:val="3D45031D"/>
    <w:rsid w:val="3D475E43"/>
    <w:rsid w:val="3D491BBB"/>
    <w:rsid w:val="3D4A2BD7"/>
    <w:rsid w:val="3D4C5F1D"/>
    <w:rsid w:val="3D516CC2"/>
    <w:rsid w:val="3D5227F9"/>
    <w:rsid w:val="3D536596"/>
    <w:rsid w:val="3D5F318D"/>
    <w:rsid w:val="3D605157"/>
    <w:rsid w:val="3D622C7D"/>
    <w:rsid w:val="3D65451B"/>
    <w:rsid w:val="3D670293"/>
    <w:rsid w:val="3D687B67"/>
    <w:rsid w:val="3D6A1B31"/>
    <w:rsid w:val="3D6A7D83"/>
    <w:rsid w:val="3D6C72B3"/>
    <w:rsid w:val="3D702C5A"/>
    <w:rsid w:val="3D712D52"/>
    <w:rsid w:val="3D7529B0"/>
    <w:rsid w:val="3D766728"/>
    <w:rsid w:val="3D7824A0"/>
    <w:rsid w:val="3D785FFC"/>
    <w:rsid w:val="3D790ED4"/>
    <w:rsid w:val="3D7A6218"/>
    <w:rsid w:val="3D7B3D3F"/>
    <w:rsid w:val="3D7B5AED"/>
    <w:rsid w:val="3D7D1865"/>
    <w:rsid w:val="3D7D7AB7"/>
    <w:rsid w:val="3D7F382F"/>
    <w:rsid w:val="3D840E45"/>
    <w:rsid w:val="3D842BF3"/>
    <w:rsid w:val="3D85696B"/>
    <w:rsid w:val="3D864BBD"/>
    <w:rsid w:val="3D874491"/>
    <w:rsid w:val="3D87623F"/>
    <w:rsid w:val="3D8A4880"/>
    <w:rsid w:val="3D8D69A3"/>
    <w:rsid w:val="3D8E65E6"/>
    <w:rsid w:val="3D932E36"/>
    <w:rsid w:val="3D960B78"/>
    <w:rsid w:val="3D9B618F"/>
    <w:rsid w:val="3D9F7A2D"/>
    <w:rsid w:val="3DA037A5"/>
    <w:rsid w:val="3DA46DF1"/>
    <w:rsid w:val="3DA803B0"/>
    <w:rsid w:val="3DB246A5"/>
    <w:rsid w:val="3DB35286"/>
    <w:rsid w:val="3DBB413B"/>
    <w:rsid w:val="3DBD7EB3"/>
    <w:rsid w:val="3DBF1E7D"/>
    <w:rsid w:val="3DC15BF5"/>
    <w:rsid w:val="3DC2371B"/>
    <w:rsid w:val="3DC6320C"/>
    <w:rsid w:val="3DCC6348"/>
    <w:rsid w:val="3DCD7770"/>
    <w:rsid w:val="3DD0408A"/>
    <w:rsid w:val="3DD31EFC"/>
    <w:rsid w:val="3DD376D7"/>
    <w:rsid w:val="3DD84CED"/>
    <w:rsid w:val="3DDD2303"/>
    <w:rsid w:val="3DDE0AF1"/>
    <w:rsid w:val="3DE90CA8"/>
    <w:rsid w:val="3DEC2546"/>
    <w:rsid w:val="3DEE62BF"/>
    <w:rsid w:val="3DF153E6"/>
    <w:rsid w:val="3DF15DAF"/>
    <w:rsid w:val="3DF8538F"/>
    <w:rsid w:val="3DFA2EB5"/>
    <w:rsid w:val="3DFB09DB"/>
    <w:rsid w:val="3DFD29A6"/>
    <w:rsid w:val="3E014244"/>
    <w:rsid w:val="3E02162D"/>
    <w:rsid w:val="3E06185A"/>
    <w:rsid w:val="3E071210"/>
    <w:rsid w:val="3E07248B"/>
    <w:rsid w:val="3E1201FF"/>
    <w:rsid w:val="3E1677F2"/>
    <w:rsid w:val="3E18158D"/>
    <w:rsid w:val="3E1877DF"/>
    <w:rsid w:val="3E1F0B6E"/>
    <w:rsid w:val="3E1F291C"/>
    <w:rsid w:val="3E216046"/>
    <w:rsid w:val="3E246184"/>
    <w:rsid w:val="3E2B12C1"/>
    <w:rsid w:val="3E2B306F"/>
    <w:rsid w:val="3E2E064A"/>
    <w:rsid w:val="3E2E0DB1"/>
    <w:rsid w:val="3E2E7003"/>
    <w:rsid w:val="3E330175"/>
    <w:rsid w:val="3E3626AC"/>
    <w:rsid w:val="3E416D36"/>
    <w:rsid w:val="3E435CB3"/>
    <w:rsid w:val="3E4942AA"/>
    <w:rsid w:val="3E502554"/>
    <w:rsid w:val="3E5235C3"/>
    <w:rsid w:val="3E5500EC"/>
    <w:rsid w:val="3E55633E"/>
    <w:rsid w:val="3E5716A8"/>
    <w:rsid w:val="3E587BDC"/>
    <w:rsid w:val="3E594080"/>
    <w:rsid w:val="3E5959D1"/>
    <w:rsid w:val="3E595E2E"/>
    <w:rsid w:val="3E5A3954"/>
    <w:rsid w:val="3E5C147A"/>
    <w:rsid w:val="3E5C591E"/>
    <w:rsid w:val="3E612F34"/>
    <w:rsid w:val="3E6350CC"/>
    <w:rsid w:val="3E682515"/>
    <w:rsid w:val="3E6B623F"/>
    <w:rsid w:val="3E6E1261"/>
    <w:rsid w:val="3E6F5ADD"/>
    <w:rsid w:val="3E75078E"/>
    <w:rsid w:val="3E750F66"/>
    <w:rsid w:val="3E75253C"/>
    <w:rsid w:val="3E7964D0"/>
    <w:rsid w:val="3E7A1E9F"/>
    <w:rsid w:val="3E7A5DA4"/>
    <w:rsid w:val="3E7E5894"/>
    <w:rsid w:val="3E7F160D"/>
    <w:rsid w:val="3E810EE1"/>
    <w:rsid w:val="3E854E75"/>
    <w:rsid w:val="3E860BED"/>
    <w:rsid w:val="3E876CE6"/>
    <w:rsid w:val="3E8A248B"/>
    <w:rsid w:val="3E8E2DB7"/>
    <w:rsid w:val="3E8F1850"/>
    <w:rsid w:val="3E94330A"/>
    <w:rsid w:val="3E974BA8"/>
    <w:rsid w:val="3E9A1FA2"/>
    <w:rsid w:val="3EAD617A"/>
    <w:rsid w:val="3EB07A18"/>
    <w:rsid w:val="3EB412B6"/>
    <w:rsid w:val="3EBA2645"/>
    <w:rsid w:val="3EBD7A0F"/>
    <w:rsid w:val="3EBF1A09"/>
    <w:rsid w:val="3EC62B88"/>
    <w:rsid w:val="3ECB4852"/>
    <w:rsid w:val="3ED6747E"/>
    <w:rsid w:val="3ED71449"/>
    <w:rsid w:val="3EDE4585"/>
    <w:rsid w:val="3EE17BD1"/>
    <w:rsid w:val="3EEA4CD8"/>
    <w:rsid w:val="3EED2A1A"/>
    <w:rsid w:val="3EF21DDE"/>
    <w:rsid w:val="3EF618CF"/>
    <w:rsid w:val="3EF868E3"/>
    <w:rsid w:val="3EF9316D"/>
    <w:rsid w:val="3EF94F1B"/>
    <w:rsid w:val="3EFD0EAF"/>
    <w:rsid w:val="3F025137"/>
    <w:rsid w:val="3F051B12"/>
    <w:rsid w:val="3F0A35CC"/>
    <w:rsid w:val="3F0A537A"/>
    <w:rsid w:val="3F0C10F2"/>
    <w:rsid w:val="3F0D09C6"/>
    <w:rsid w:val="3F0D4E6A"/>
    <w:rsid w:val="3F0F473E"/>
    <w:rsid w:val="3F136CC1"/>
    <w:rsid w:val="3F163D1F"/>
    <w:rsid w:val="3F1735F3"/>
    <w:rsid w:val="3F1955BD"/>
    <w:rsid w:val="3F1E0E25"/>
    <w:rsid w:val="3F20694C"/>
    <w:rsid w:val="3F2301EA"/>
    <w:rsid w:val="3F235CAB"/>
    <w:rsid w:val="3F2521B4"/>
    <w:rsid w:val="3F277DAD"/>
    <w:rsid w:val="3F285C7B"/>
    <w:rsid w:val="3F2C3542"/>
    <w:rsid w:val="3F2F08A8"/>
    <w:rsid w:val="3F32042D"/>
    <w:rsid w:val="3F346B36"/>
    <w:rsid w:val="3F3D5750"/>
    <w:rsid w:val="3F422D66"/>
    <w:rsid w:val="3F485EA2"/>
    <w:rsid w:val="3F496996"/>
    <w:rsid w:val="3F4A39C9"/>
    <w:rsid w:val="3F4A5777"/>
    <w:rsid w:val="3F4D5267"/>
    <w:rsid w:val="3F56036D"/>
    <w:rsid w:val="3F5900B0"/>
    <w:rsid w:val="3F5D194E"/>
    <w:rsid w:val="3F6031EC"/>
    <w:rsid w:val="3F626F64"/>
    <w:rsid w:val="3F642278"/>
    <w:rsid w:val="3F656A54"/>
    <w:rsid w:val="3F676329"/>
    <w:rsid w:val="3F6D40F6"/>
    <w:rsid w:val="3F7171A7"/>
    <w:rsid w:val="3F74620D"/>
    <w:rsid w:val="3F767786"/>
    <w:rsid w:val="3F786788"/>
    <w:rsid w:val="3F79526A"/>
    <w:rsid w:val="3F7A3AC2"/>
    <w:rsid w:val="3F7D3D9E"/>
    <w:rsid w:val="3F8073EA"/>
    <w:rsid w:val="3F830C89"/>
    <w:rsid w:val="3F841CFC"/>
    <w:rsid w:val="3F8838CF"/>
    <w:rsid w:val="3F890995"/>
    <w:rsid w:val="3F8C1CD0"/>
    <w:rsid w:val="3F8C3FE1"/>
    <w:rsid w:val="3F8E5FAB"/>
    <w:rsid w:val="3F9115F7"/>
    <w:rsid w:val="3F964E60"/>
    <w:rsid w:val="3F9904AC"/>
    <w:rsid w:val="3F9D4665"/>
    <w:rsid w:val="3FA05CDE"/>
    <w:rsid w:val="3FA07A8C"/>
    <w:rsid w:val="3FA27361"/>
    <w:rsid w:val="3FA330D9"/>
    <w:rsid w:val="3FA530A3"/>
    <w:rsid w:val="3FA56E51"/>
    <w:rsid w:val="3FAB68BC"/>
    <w:rsid w:val="3FAC38F4"/>
    <w:rsid w:val="3FB52739"/>
    <w:rsid w:val="3FBF6165"/>
    <w:rsid w:val="3FC76DC7"/>
    <w:rsid w:val="3FC90D91"/>
    <w:rsid w:val="3FC96FE3"/>
    <w:rsid w:val="3FCC262F"/>
    <w:rsid w:val="3FCF2120"/>
    <w:rsid w:val="3FCF6064"/>
    <w:rsid w:val="3FD12164"/>
    <w:rsid w:val="3FD6525C"/>
    <w:rsid w:val="3FDA0202"/>
    <w:rsid w:val="3FDA11F0"/>
    <w:rsid w:val="3FDB2873"/>
    <w:rsid w:val="3FE060DB"/>
    <w:rsid w:val="3FE212A4"/>
    <w:rsid w:val="3FE21E53"/>
    <w:rsid w:val="3FE478F9"/>
    <w:rsid w:val="3FE66D36"/>
    <w:rsid w:val="3FE77469"/>
    <w:rsid w:val="3FEC2CD2"/>
    <w:rsid w:val="3FEE25A6"/>
    <w:rsid w:val="3FF74EF0"/>
    <w:rsid w:val="3FF83425"/>
    <w:rsid w:val="3FFB0761"/>
    <w:rsid w:val="3FFB4CC3"/>
    <w:rsid w:val="3FFF4F2D"/>
    <w:rsid w:val="40026051"/>
    <w:rsid w:val="400B31BF"/>
    <w:rsid w:val="40153FD6"/>
    <w:rsid w:val="40195E74"/>
    <w:rsid w:val="401C35B7"/>
    <w:rsid w:val="401D2E8B"/>
    <w:rsid w:val="401D6B00"/>
    <w:rsid w:val="4024246B"/>
    <w:rsid w:val="40242C9D"/>
    <w:rsid w:val="40251D40"/>
    <w:rsid w:val="40324B88"/>
    <w:rsid w:val="403703F1"/>
    <w:rsid w:val="403C77B5"/>
    <w:rsid w:val="403F1053"/>
    <w:rsid w:val="404831FE"/>
    <w:rsid w:val="404C3770"/>
    <w:rsid w:val="404E7113"/>
    <w:rsid w:val="40511B68"/>
    <w:rsid w:val="405E5702"/>
    <w:rsid w:val="405F0517"/>
    <w:rsid w:val="4063054B"/>
    <w:rsid w:val="40644F5E"/>
    <w:rsid w:val="40646D0C"/>
    <w:rsid w:val="40664832"/>
    <w:rsid w:val="40672358"/>
    <w:rsid w:val="406D5BC1"/>
    <w:rsid w:val="40750F19"/>
    <w:rsid w:val="40776A3F"/>
    <w:rsid w:val="407A681D"/>
    <w:rsid w:val="407C5E04"/>
    <w:rsid w:val="407D392A"/>
    <w:rsid w:val="4081166C"/>
    <w:rsid w:val="40850A58"/>
    <w:rsid w:val="408847A8"/>
    <w:rsid w:val="40890521"/>
    <w:rsid w:val="40896772"/>
    <w:rsid w:val="408B4299"/>
    <w:rsid w:val="408B6047"/>
    <w:rsid w:val="408D0011"/>
    <w:rsid w:val="408D71EA"/>
    <w:rsid w:val="4093314D"/>
    <w:rsid w:val="40972C3D"/>
    <w:rsid w:val="4099576A"/>
    <w:rsid w:val="409A0980"/>
    <w:rsid w:val="40A47108"/>
    <w:rsid w:val="40A560BB"/>
    <w:rsid w:val="40A806BA"/>
    <w:rsid w:val="40AD67D4"/>
    <w:rsid w:val="40AF61D9"/>
    <w:rsid w:val="40B27A77"/>
    <w:rsid w:val="40B362CD"/>
    <w:rsid w:val="40B51316"/>
    <w:rsid w:val="40B97058"/>
    <w:rsid w:val="40BE466E"/>
    <w:rsid w:val="40C003E6"/>
    <w:rsid w:val="40C1415E"/>
    <w:rsid w:val="40C27F71"/>
    <w:rsid w:val="40C31C84"/>
    <w:rsid w:val="40C81049"/>
    <w:rsid w:val="40CC2FE3"/>
    <w:rsid w:val="40D23C76"/>
    <w:rsid w:val="40D774DE"/>
    <w:rsid w:val="40DA6FCE"/>
    <w:rsid w:val="40DF157D"/>
    <w:rsid w:val="40E35E83"/>
    <w:rsid w:val="40E562DD"/>
    <w:rsid w:val="40E63BC5"/>
    <w:rsid w:val="40E67721"/>
    <w:rsid w:val="40E952E6"/>
    <w:rsid w:val="40ED1A7B"/>
    <w:rsid w:val="40EE7B1D"/>
    <w:rsid w:val="40F005A0"/>
    <w:rsid w:val="40F2256A"/>
    <w:rsid w:val="40F276D3"/>
    <w:rsid w:val="40F41E3E"/>
    <w:rsid w:val="40F736DC"/>
    <w:rsid w:val="40FA6487"/>
    <w:rsid w:val="40FC0CF2"/>
    <w:rsid w:val="410C362B"/>
    <w:rsid w:val="410D2F00"/>
    <w:rsid w:val="41103C6B"/>
    <w:rsid w:val="4110479E"/>
    <w:rsid w:val="41114BBA"/>
    <w:rsid w:val="41120516"/>
    <w:rsid w:val="41126AEB"/>
    <w:rsid w:val="41175793"/>
    <w:rsid w:val="411C3143"/>
    <w:rsid w:val="411C75E7"/>
    <w:rsid w:val="412169AB"/>
    <w:rsid w:val="41241D87"/>
    <w:rsid w:val="412546ED"/>
    <w:rsid w:val="4125649B"/>
    <w:rsid w:val="41287D39"/>
    <w:rsid w:val="412F0F7D"/>
    <w:rsid w:val="413466DE"/>
    <w:rsid w:val="41347F55"/>
    <w:rsid w:val="413A424B"/>
    <w:rsid w:val="413C37E5"/>
    <w:rsid w:val="413C5593"/>
    <w:rsid w:val="41410DFB"/>
    <w:rsid w:val="41410E54"/>
    <w:rsid w:val="41457180"/>
    <w:rsid w:val="41466412"/>
    <w:rsid w:val="4148218A"/>
    <w:rsid w:val="41483F38"/>
    <w:rsid w:val="414D4FAE"/>
    <w:rsid w:val="414F3518"/>
    <w:rsid w:val="414F52C6"/>
    <w:rsid w:val="41526B64"/>
    <w:rsid w:val="41540B2E"/>
    <w:rsid w:val="415428DD"/>
    <w:rsid w:val="41562AF9"/>
    <w:rsid w:val="41581D4D"/>
    <w:rsid w:val="41596145"/>
    <w:rsid w:val="41597EF3"/>
    <w:rsid w:val="415C79E3"/>
    <w:rsid w:val="41601281"/>
    <w:rsid w:val="416074D3"/>
    <w:rsid w:val="41630D72"/>
    <w:rsid w:val="41636FC4"/>
    <w:rsid w:val="416A65A4"/>
    <w:rsid w:val="416C126A"/>
    <w:rsid w:val="416C231C"/>
    <w:rsid w:val="41717932"/>
    <w:rsid w:val="41790595"/>
    <w:rsid w:val="4181094E"/>
    <w:rsid w:val="41840582"/>
    <w:rsid w:val="41866897"/>
    <w:rsid w:val="418807D8"/>
    <w:rsid w:val="41886A2A"/>
    <w:rsid w:val="418D5DEE"/>
    <w:rsid w:val="418E2292"/>
    <w:rsid w:val="419929E5"/>
    <w:rsid w:val="419C7ECA"/>
    <w:rsid w:val="419D24D5"/>
    <w:rsid w:val="419E1DAA"/>
    <w:rsid w:val="41A028AC"/>
    <w:rsid w:val="41A04232"/>
    <w:rsid w:val="41A43864"/>
    <w:rsid w:val="41A5138A"/>
    <w:rsid w:val="41A82C28"/>
    <w:rsid w:val="41AA4BF2"/>
    <w:rsid w:val="41AC096A"/>
    <w:rsid w:val="41AE6491"/>
    <w:rsid w:val="41AF2209"/>
    <w:rsid w:val="41AF633F"/>
    <w:rsid w:val="41B07B63"/>
    <w:rsid w:val="41B56B45"/>
    <w:rsid w:val="41B80A98"/>
    <w:rsid w:val="41CA6CFC"/>
    <w:rsid w:val="41CA7043"/>
    <w:rsid w:val="41CB6863"/>
    <w:rsid w:val="41D028AB"/>
    <w:rsid w:val="41D13F2D"/>
    <w:rsid w:val="41D2798B"/>
    <w:rsid w:val="41D659E7"/>
    <w:rsid w:val="41D83E0A"/>
    <w:rsid w:val="41D852BC"/>
    <w:rsid w:val="41DF2AEE"/>
    <w:rsid w:val="41DF489C"/>
    <w:rsid w:val="41E225DE"/>
    <w:rsid w:val="41E53E7C"/>
    <w:rsid w:val="41E55C2A"/>
    <w:rsid w:val="41E579D9"/>
    <w:rsid w:val="41E73B64"/>
    <w:rsid w:val="41E9571B"/>
    <w:rsid w:val="41EB61F0"/>
    <w:rsid w:val="41ED183A"/>
    <w:rsid w:val="41EE2D31"/>
    <w:rsid w:val="41EE72BB"/>
    <w:rsid w:val="41F320F5"/>
    <w:rsid w:val="41F36599"/>
    <w:rsid w:val="41F45941"/>
    <w:rsid w:val="42027077"/>
    <w:rsid w:val="420662CD"/>
    <w:rsid w:val="420E4058"/>
    <w:rsid w:val="42100EF9"/>
    <w:rsid w:val="421233DB"/>
    <w:rsid w:val="4216697D"/>
    <w:rsid w:val="421A3B26"/>
    <w:rsid w:val="421D1269"/>
    <w:rsid w:val="421F2EEA"/>
    <w:rsid w:val="422229DB"/>
    <w:rsid w:val="422468A6"/>
    <w:rsid w:val="42276243"/>
    <w:rsid w:val="422B5D33"/>
    <w:rsid w:val="422E312E"/>
    <w:rsid w:val="422E5CAE"/>
    <w:rsid w:val="42311FDE"/>
    <w:rsid w:val="423170C2"/>
    <w:rsid w:val="42350960"/>
    <w:rsid w:val="42397786"/>
    <w:rsid w:val="42417305"/>
    <w:rsid w:val="42440BA3"/>
    <w:rsid w:val="424B1F31"/>
    <w:rsid w:val="424B3CDF"/>
    <w:rsid w:val="425132C0"/>
    <w:rsid w:val="4251797B"/>
    <w:rsid w:val="42552DB0"/>
    <w:rsid w:val="425A03C6"/>
    <w:rsid w:val="425D7EB7"/>
    <w:rsid w:val="425E2DCE"/>
    <w:rsid w:val="42641245"/>
    <w:rsid w:val="426B0106"/>
    <w:rsid w:val="42723962"/>
    <w:rsid w:val="42725710"/>
    <w:rsid w:val="42731488"/>
    <w:rsid w:val="42734FE4"/>
    <w:rsid w:val="42755200"/>
    <w:rsid w:val="427A45C5"/>
    <w:rsid w:val="427C033D"/>
    <w:rsid w:val="427C658F"/>
    <w:rsid w:val="42905B96"/>
    <w:rsid w:val="42967E23"/>
    <w:rsid w:val="42974BBA"/>
    <w:rsid w:val="42982C9D"/>
    <w:rsid w:val="42995053"/>
    <w:rsid w:val="429A3BAB"/>
    <w:rsid w:val="429A4C67"/>
    <w:rsid w:val="429C09DF"/>
    <w:rsid w:val="42A11B51"/>
    <w:rsid w:val="42A45AE6"/>
    <w:rsid w:val="42AB0C22"/>
    <w:rsid w:val="42AE5DE9"/>
    <w:rsid w:val="42B60ED1"/>
    <w:rsid w:val="42BA70B7"/>
    <w:rsid w:val="42C27D1A"/>
    <w:rsid w:val="42C7049C"/>
    <w:rsid w:val="42C77E4F"/>
    <w:rsid w:val="42C811FF"/>
    <w:rsid w:val="42C82CA2"/>
    <w:rsid w:val="42C910A8"/>
    <w:rsid w:val="42CE66BF"/>
    <w:rsid w:val="42D24401"/>
    <w:rsid w:val="42D261AF"/>
    <w:rsid w:val="42D34FAF"/>
    <w:rsid w:val="42D44F28"/>
    <w:rsid w:val="42D53EF1"/>
    <w:rsid w:val="42D56EED"/>
    <w:rsid w:val="42D64FF5"/>
    <w:rsid w:val="42D77C69"/>
    <w:rsid w:val="42E303BC"/>
    <w:rsid w:val="42E6709F"/>
    <w:rsid w:val="42ED2FE9"/>
    <w:rsid w:val="42F24B05"/>
    <w:rsid w:val="42F26851"/>
    <w:rsid w:val="42F27A5A"/>
    <w:rsid w:val="42F27D13"/>
    <w:rsid w:val="42F42673"/>
    <w:rsid w:val="42F44377"/>
    <w:rsid w:val="42F8192F"/>
    <w:rsid w:val="42F9198D"/>
    <w:rsid w:val="42FD47C4"/>
    <w:rsid w:val="42FE5942"/>
    <w:rsid w:val="42FF4ACA"/>
    <w:rsid w:val="43000F6E"/>
    <w:rsid w:val="43010842"/>
    <w:rsid w:val="43027EFB"/>
    <w:rsid w:val="43081BD1"/>
    <w:rsid w:val="430B346F"/>
    <w:rsid w:val="430E2866"/>
    <w:rsid w:val="430E5D85"/>
    <w:rsid w:val="430F51D8"/>
    <w:rsid w:val="43140575"/>
    <w:rsid w:val="43170066"/>
    <w:rsid w:val="431A7B56"/>
    <w:rsid w:val="431E7646"/>
    <w:rsid w:val="43212404"/>
    <w:rsid w:val="432254AC"/>
    <w:rsid w:val="432664FB"/>
    <w:rsid w:val="43275F61"/>
    <w:rsid w:val="43291B47"/>
    <w:rsid w:val="432A7D99"/>
    <w:rsid w:val="432B1D63"/>
    <w:rsid w:val="432B2EF5"/>
    <w:rsid w:val="432E715D"/>
    <w:rsid w:val="43317379"/>
    <w:rsid w:val="43340C18"/>
    <w:rsid w:val="43351583"/>
    <w:rsid w:val="433724B6"/>
    <w:rsid w:val="4339622E"/>
    <w:rsid w:val="434265FC"/>
    <w:rsid w:val="434314A4"/>
    <w:rsid w:val="434626F9"/>
    <w:rsid w:val="434846C3"/>
    <w:rsid w:val="434B7D0F"/>
    <w:rsid w:val="434D1CD9"/>
    <w:rsid w:val="43506584"/>
    <w:rsid w:val="4352109E"/>
    <w:rsid w:val="43526362"/>
    <w:rsid w:val="435272F0"/>
    <w:rsid w:val="43571A95"/>
    <w:rsid w:val="43591ADF"/>
    <w:rsid w:val="4359242C"/>
    <w:rsid w:val="435A7F52"/>
    <w:rsid w:val="435B2648"/>
    <w:rsid w:val="435B61A4"/>
    <w:rsid w:val="435D635D"/>
    <w:rsid w:val="436314FD"/>
    <w:rsid w:val="436332AB"/>
    <w:rsid w:val="43650DD1"/>
    <w:rsid w:val="43655275"/>
    <w:rsid w:val="43675B98"/>
    <w:rsid w:val="436A04F5"/>
    <w:rsid w:val="436D4129"/>
    <w:rsid w:val="436E31AC"/>
    <w:rsid w:val="43707CB2"/>
    <w:rsid w:val="43784FA8"/>
    <w:rsid w:val="4379487C"/>
    <w:rsid w:val="437B23A2"/>
    <w:rsid w:val="437B6846"/>
    <w:rsid w:val="437E0267"/>
    <w:rsid w:val="43803E5D"/>
    <w:rsid w:val="43891CF7"/>
    <w:rsid w:val="438D20D6"/>
    <w:rsid w:val="43917E18"/>
    <w:rsid w:val="43923B90"/>
    <w:rsid w:val="43947908"/>
    <w:rsid w:val="43996CCD"/>
    <w:rsid w:val="439C52E2"/>
    <w:rsid w:val="43A06C82"/>
    <w:rsid w:val="43A55671"/>
    <w:rsid w:val="43A63197"/>
    <w:rsid w:val="43AA2C88"/>
    <w:rsid w:val="43B76E5D"/>
    <w:rsid w:val="43C52FFD"/>
    <w:rsid w:val="43C57E2B"/>
    <w:rsid w:val="43C81360"/>
    <w:rsid w:val="43C875B2"/>
    <w:rsid w:val="43C95804"/>
    <w:rsid w:val="43CA50D8"/>
    <w:rsid w:val="43CC0E50"/>
    <w:rsid w:val="43CE2E1A"/>
    <w:rsid w:val="43CF0940"/>
    <w:rsid w:val="43D87DEF"/>
    <w:rsid w:val="43DB5537"/>
    <w:rsid w:val="43DF35A3"/>
    <w:rsid w:val="43DF5027"/>
    <w:rsid w:val="43E22422"/>
    <w:rsid w:val="43E3619A"/>
    <w:rsid w:val="43E50164"/>
    <w:rsid w:val="43E837B0"/>
    <w:rsid w:val="43EA7528"/>
    <w:rsid w:val="43EE0AA5"/>
    <w:rsid w:val="43EF2D90"/>
    <w:rsid w:val="43EF4B3E"/>
    <w:rsid w:val="43F6411F"/>
    <w:rsid w:val="43F65ECD"/>
    <w:rsid w:val="43F72CBA"/>
    <w:rsid w:val="43FA3C0F"/>
    <w:rsid w:val="44004F9E"/>
    <w:rsid w:val="44024872"/>
    <w:rsid w:val="440305EA"/>
    <w:rsid w:val="44054362"/>
    <w:rsid w:val="44093E52"/>
    <w:rsid w:val="440E12B2"/>
    <w:rsid w:val="440E3217"/>
    <w:rsid w:val="44116432"/>
    <w:rsid w:val="44134942"/>
    <w:rsid w:val="4416031D"/>
    <w:rsid w:val="441E71D2"/>
    <w:rsid w:val="441F5424"/>
    <w:rsid w:val="4420119C"/>
    <w:rsid w:val="442567B2"/>
    <w:rsid w:val="442671C8"/>
    <w:rsid w:val="4427252A"/>
    <w:rsid w:val="44276398"/>
    <w:rsid w:val="44281522"/>
    <w:rsid w:val="44281E17"/>
    <w:rsid w:val="44293363"/>
    <w:rsid w:val="442B1BAA"/>
    <w:rsid w:val="44304BA3"/>
    <w:rsid w:val="44307631"/>
    <w:rsid w:val="4436276D"/>
    <w:rsid w:val="443A225E"/>
    <w:rsid w:val="443A35FD"/>
    <w:rsid w:val="443F7874"/>
    <w:rsid w:val="444B446B"/>
    <w:rsid w:val="444F55DD"/>
    <w:rsid w:val="44501A81"/>
    <w:rsid w:val="445157F9"/>
    <w:rsid w:val="445A46AE"/>
    <w:rsid w:val="44615A3C"/>
    <w:rsid w:val="44654E01"/>
    <w:rsid w:val="446E6DAA"/>
    <w:rsid w:val="447357CF"/>
    <w:rsid w:val="4475708D"/>
    <w:rsid w:val="44775260"/>
    <w:rsid w:val="447F2366"/>
    <w:rsid w:val="4484172B"/>
    <w:rsid w:val="448842E0"/>
    <w:rsid w:val="44894335"/>
    <w:rsid w:val="44896D41"/>
    <w:rsid w:val="448A36AA"/>
    <w:rsid w:val="448C4EE6"/>
    <w:rsid w:val="449750E1"/>
    <w:rsid w:val="44987A63"/>
    <w:rsid w:val="44995DA8"/>
    <w:rsid w:val="44A1052F"/>
    <w:rsid w:val="44A2243C"/>
    <w:rsid w:val="44A363BC"/>
    <w:rsid w:val="44AB315B"/>
    <w:rsid w:val="44AF063D"/>
    <w:rsid w:val="44B26298"/>
    <w:rsid w:val="44B32010"/>
    <w:rsid w:val="44B518E4"/>
    <w:rsid w:val="44B55D88"/>
    <w:rsid w:val="44BD176A"/>
    <w:rsid w:val="44C47D79"/>
    <w:rsid w:val="44C61D43"/>
    <w:rsid w:val="44C77996"/>
    <w:rsid w:val="44C85ABB"/>
    <w:rsid w:val="44C935E1"/>
    <w:rsid w:val="44CB1108"/>
    <w:rsid w:val="44CD1324"/>
    <w:rsid w:val="44D31E62"/>
    <w:rsid w:val="44D446A1"/>
    <w:rsid w:val="44DA57EF"/>
    <w:rsid w:val="44DB7445"/>
    <w:rsid w:val="44E126D9"/>
    <w:rsid w:val="44E328F5"/>
    <w:rsid w:val="44E421C9"/>
    <w:rsid w:val="44E87F0C"/>
    <w:rsid w:val="44F06DC0"/>
    <w:rsid w:val="44F208A0"/>
    <w:rsid w:val="44F52628"/>
    <w:rsid w:val="44F93EC7"/>
    <w:rsid w:val="44FC7513"/>
    <w:rsid w:val="44FF0DB1"/>
    <w:rsid w:val="450E5498"/>
    <w:rsid w:val="450E6E58"/>
    <w:rsid w:val="45126D36"/>
    <w:rsid w:val="4513485D"/>
    <w:rsid w:val="451B0980"/>
    <w:rsid w:val="451E0AF1"/>
    <w:rsid w:val="45246A6A"/>
    <w:rsid w:val="4528655A"/>
    <w:rsid w:val="452E1696"/>
    <w:rsid w:val="45322F35"/>
    <w:rsid w:val="45352773"/>
    <w:rsid w:val="45372C41"/>
    <w:rsid w:val="45387C9D"/>
    <w:rsid w:val="453A628D"/>
    <w:rsid w:val="453B44DF"/>
    <w:rsid w:val="453F38A4"/>
    <w:rsid w:val="454021E6"/>
    <w:rsid w:val="45451750"/>
    <w:rsid w:val="454809AA"/>
    <w:rsid w:val="454D5FC1"/>
    <w:rsid w:val="454F7F8B"/>
    <w:rsid w:val="45505AB1"/>
    <w:rsid w:val="455455A1"/>
    <w:rsid w:val="45575091"/>
    <w:rsid w:val="455B5F6E"/>
    <w:rsid w:val="455B6F58"/>
    <w:rsid w:val="455E1F7C"/>
    <w:rsid w:val="45605CF4"/>
    <w:rsid w:val="45636562"/>
    <w:rsid w:val="4566298E"/>
    <w:rsid w:val="45687946"/>
    <w:rsid w:val="456A6B72"/>
    <w:rsid w:val="456C53D4"/>
    <w:rsid w:val="4570109D"/>
    <w:rsid w:val="45761EBB"/>
    <w:rsid w:val="457C68A6"/>
    <w:rsid w:val="457E36C4"/>
    <w:rsid w:val="45815C6A"/>
    <w:rsid w:val="45833790"/>
    <w:rsid w:val="458539AC"/>
    <w:rsid w:val="458614D2"/>
    <w:rsid w:val="45863281"/>
    <w:rsid w:val="4588524B"/>
    <w:rsid w:val="458F46CB"/>
    <w:rsid w:val="45935D6C"/>
    <w:rsid w:val="45943BEF"/>
    <w:rsid w:val="45964673"/>
    <w:rsid w:val="459736E0"/>
    <w:rsid w:val="459A3C5C"/>
    <w:rsid w:val="459B6D2C"/>
    <w:rsid w:val="459C0CF6"/>
    <w:rsid w:val="459C4852"/>
    <w:rsid w:val="45A33E32"/>
    <w:rsid w:val="45A7579D"/>
    <w:rsid w:val="45AF4585"/>
    <w:rsid w:val="45B147A1"/>
    <w:rsid w:val="45B55914"/>
    <w:rsid w:val="45B639A3"/>
    <w:rsid w:val="45BB117C"/>
    <w:rsid w:val="45BB5620"/>
    <w:rsid w:val="45BC0665"/>
    <w:rsid w:val="45BC630D"/>
    <w:rsid w:val="45BD5347"/>
    <w:rsid w:val="45C049E4"/>
    <w:rsid w:val="45C5024D"/>
    <w:rsid w:val="45C864B7"/>
    <w:rsid w:val="45CA7611"/>
    <w:rsid w:val="45CF2E79"/>
    <w:rsid w:val="45D221DF"/>
    <w:rsid w:val="45D3296A"/>
    <w:rsid w:val="45D40490"/>
    <w:rsid w:val="45DB5AC7"/>
    <w:rsid w:val="45DE4E6B"/>
    <w:rsid w:val="45E5269D"/>
    <w:rsid w:val="45E87A97"/>
    <w:rsid w:val="45EA380F"/>
    <w:rsid w:val="45EB0E25"/>
    <w:rsid w:val="45EB79E8"/>
    <w:rsid w:val="45EC546D"/>
    <w:rsid w:val="45EE1552"/>
    <w:rsid w:val="45F428E0"/>
    <w:rsid w:val="45F468CD"/>
    <w:rsid w:val="45F66A69"/>
    <w:rsid w:val="45F96148"/>
    <w:rsid w:val="45FB3C6E"/>
    <w:rsid w:val="45FB5A1D"/>
    <w:rsid w:val="45FD3F69"/>
    <w:rsid w:val="45FD79E7"/>
    <w:rsid w:val="45FF375F"/>
    <w:rsid w:val="460076E6"/>
    <w:rsid w:val="46020C7E"/>
    <w:rsid w:val="460348D1"/>
    <w:rsid w:val="46080139"/>
    <w:rsid w:val="460A2104"/>
    <w:rsid w:val="460A3878"/>
    <w:rsid w:val="460A5C60"/>
    <w:rsid w:val="460C5E7C"/>
    <w:rsid w:val="460D5750"/>
    <w:rsid w:val="46130FB8"/>
    <w:rsid w:val="46195EA3"/>
    <w:rsid w:val="461D73F1"/>
    <w:rsid w:val="461E795D"/>
    <w:rsid w:val="462211FB"/>
    <w:rsid w:val="46244F73"/>
    <w:rsid w:val="46256F3D"/>
    <w:rsid w:val="46263727"/>
    <w:rsid w:val="46274A64"/>
    <w:rsid w:val="4629258A"/>
    <w:rsid w:val="462A00B0"/>
    <w:rsid w:val="462D264E"/>
    <w:rsid w:val="462F1C33"/>
    <w:rsid w:val="462F3918"/>
    <w:rsid w:val="46333408"/>
    <w:rsid w:val="46344E89"/>
    <w:rsid w:val="46366A55"/>
    <w:rsid w:val="463D2143"/>
    <w:rsid w:val="463D7C0A"/>
    <w:rsid w:val="463D7DE3"/>
    <w:rsid w:val="464253F9"/>
    <w:rsid w:val="46431460"/>
    <w:rsid w:val="464473C4"/>
    <w:rsid w:val="46470C62"/>
    <w:rsid w:val="4652776C"/>
    <w:rsid w:val="465313B5"/>
    <w:rsid w:val="46584C1D"/>
    <w:rsid w:val="465A6BE7"/>
    <w:rsid w:val="465E4B3A"/>
    <w:rsid w:val="465F5FAB"/>
    <w:rsid w:val="46601D24"/>
    <w:rsid w:val="466510E8"/>
    <w:rsid w:val="4666379B"/>
    <w:rsid w:val="466704B9"/>
    <w:rsid w:val="46671304"/>
    <w:rsid w:val="4669507C"/>
    <w:rsid w:val="466C2476"/>
    <w:rsid w:val="466C70B0"/>
    <w:rsid w:val="4670640B"/>
    <w:rsid w:val="46753A21"/>
    <w:rsid w:val="46794B93"/>
    <w:rsid w:val="467A1037"/>
    <w:rsid w:val="467C5DC4"/>
    <w:rsid w:val="46850939"/>
    <w:rsid w:val="4685178A"/>
    <w:rsid w:val="4689127A"/>
    <w:rsid w:val="468C0D6B"/>
    <w:rsid w:val="46903E9E"/>
    <w:rsid w:val="469043B7"/>
    <w:rsid w:val="469462AC"/>
    <w:rsid w:val="46977B86"/>
    <w:rsid w:val="469B0FAE"/>
    <w:rsid w:val="469B2D5C"/>
    <w:rsid w:val="469D6AD4"/>
    <w:rsid w:val="469E126A"/>
    <w:rsid w:val="469F0A9E"/>
    <w:rsid w:val="469F45FA"/>
    <w:rsid w:val="46A460B4"/>
    <w:rsid w:val="46A55988"/>
    <w:rsid w:val="46A600ED"/>
    <w:rsid w:val="46AE3F60"/>
    <w:rsid w:val="46B02CAB"/>
    <w:rsid w:val="46B34549"/>
    <w:rsid w:val="46B53E1D"/>
    <w:rsid w:val="46B61944"/>
    <w:rsid w:val="46BA58D8"/>
    <w:rsid w:val="46BC1650"/>
    <w:rsid w:val="46C04436"/>
    <w:rsid w:val="46CA3945"/>
    <w:rsid w:val="46CD560B"/>
    <w:rsid w:val="46D21AC8"/>
    <w:rsid w:val="46D324F5"/>
    <w:rsid w:val="46D53DA4"/>
    <w:rsid w:val="46D85D5E"/>
    <w:rsid w:val="46D87B0C"/>
    <w:rsid w:val="46D973C9"/>
    <w:rsid w:val="46DC75FC"/>
    <w:rsid w:val="46DD15C6"/>
    <w:rsid w:val="46DF0E9A"/>
    <w:rsid w:val="46DF533E"/>
    <w:rsid w:val="46E11293"/>
    <w:rsid w:val="46E666CD"/>
    <w:rsid w:val="46F012F9"/>
    <w:rsid w:val="46F06FEE"/>
    <w:rsid w:val="46F32B98"/>
    <w:rsid w:val="46F336A8"/>
    <w:rsid w:val="46FF153C"/>
    <w:rsid w:val="47017063"/>
    <w:rsid w:val="47046B53"/>
    <w:rsid w:val="47090486"/>
    <w:rsid w:val="4709474B"/>
    <w:rsid w:val="470B3A79"/>
    <w:rsid w:val="470D3C59"/>
    <w:rsid w:val="47136D96"/>
    <w:rsid w:val="471A6376"/>
    <w:rsid w:val="4723347D"/>
    <w:rsid w:val="47262F6D"/>
    <w:rsid w:val="472745EF"/>
    <w:rsid w:val="47280D7A"/>
    <w:rsid w:val="472856E5"/>
    <w:rsid w:val="472B2331"/>
    <w:rsid w:val="472F1E22"/>
    <w:rsid w:val="473A07C7"/>
    <w:rsid w:val="47470193"/>
    <w:rsid w:val="47490A0A"/>
    <w:rsid w:val="474A6C5C"/>
    <w:rsid w:val="474B29D4"/>
    <w:rsid w:val="474D04FA"/>
    <w:rsid w:val="47503B46"/>
    <w:rsid w:val="47524A88"/>
    <w:rsid w:val="47525B10"/>
    <w:rsid w:val="47555600"/>
    <w:rsid w:val="475C698F"/>
    <w:rsid w:val="475E2EA5"/>
    <w:rsid w:val="47653A95"/>
    <w:rsid w:val="47655843"/>
    <w:rsid w:val="47694C08"/>
    <w:rsid w:val="476F66C2"/>
    <w:rsid w:val="47705F96"/>
    <w:rsid w:val="47723ABC"/>
    <w:rsid w:val="47737835"/>
    <w:rsid w:val="47741147"/>
    <w:rsid w:val="47767A51"/>
    <w:rsid w:val="477911B5"/>
    <w:rsid w:val="477E06B3"/>
    <w:rsid w:val="4780267D"/>
    <w:rsid w:val="478163F5"/>
    <w:rsid w:val="4783216D"/>
    <w:rsid w:val="47835CCA"/>
    <w:rsid w:val="47855EE6"/>
    <w:rsid w:val="47857C94"/>
    <w:rsid w:val="47877015"/>
    <w:rsid w:val="478832E0"/>
    <w:rsid w:val="478B23DE"/>
    <w:rsid w:val="478C11D2"/>
    <w:rsid w:val="478E2BD5"/>
    <w:rsid w:val="478F0B12"/>
    <w:rsid w:val="47924127"/>
    <w:rsid w:val="479779C7"/>
    <w:rsid w:val="479C563B"/>
    <w:rsid w:val="479E2B03"/>
    <w:rsid w:val="47A07BBB"/>
    <w:rsid w:val="47AA76FA"/>
    <w:rsid w:val="47AB6FCE"/>
    <w:rsid w:val="47AD2D46"/>
    <w:rsid w:val="47AF4D11"/>
    <w:rsid w:val="47B16CDB"/>
    <w:rsid w:val="47B448F0"/>
    <w:rsid w:val="47B6609F"/>
    <w:rsid w:val="47B71E17"/>
    <w:rsid w:val="47B76DB7"/>
    <w:rsid w:val="47B93F31"/>
    <w:rsid w:val="47C702AC"/>
    <w:rsid w:val="47C76C5A"/>
    <w:rsid w:val="47C85DD2"/>
    <w:rsid w:val="47C87B80"/>
    <w:rsid w:val="47CA38F8"/>
    <w:rsid w:val="47CD33E9"/>
    <w:rsid w:val="47DB4285"/>
    <w:rsid w:val="47DB5B06"/>
    <w:rsid w:val="47DD7AD0"/>
    <w:rsid w:val="47E2253F"/>
    <w:rsid w:val="47E50732"/>
    <w:rsid w:val="47E744AA"/>
    <w:rsid w:val="47ED5839"/>
    <w:rsid w:val="47ED75E7"/>
    <w:rsid w:val="47EF335F"/>
    <w:rsid w:val="47F210A1"/>
    <w:rsid w:val="47F40041"/>
    <w:rsid w:val="47F60B91"/>
    <w:rsid w:val="47F92430"/>
    <w:rsid w:val="47F941DE"/>
    <w:rsid w:val="47F95F8C"/>
    <w:rsid w:val="47FC782A"/>
    <w:rsid w:val="48013092"/>
    <w:rsid w:val="48027536"/>
    <w:rsid w:val="48052B82"/>
    <w:rsid w:val="48066CAA"/>
    <w:rsid w:val="48066D69"/>
    <w:rsid w:val="480908C5"/>
    <w:rsid w:val="480C3F11"/>
    <w:rsid w:val="4812704D"/>
    <w:rsid w:val="48153C8D"/>
    <w:rsid w:val="48194880"/>
    <w:rsid w:val="48205C0E"/>
    <w:rsid w:val="48217291"/>
    <w:rsid w:val="48236291"/>
    <w:rsid w:val="48272AF9"/>
    <w:rsid w:val="4828061F"/>
    <w:rsid w:val="482C45B3"/>
    <w:rsid w:val="482E032B"/>
    <w:rsid w:val="483100AC"/>
    <w:rsid w:val="48346666"/>
    <w:rsid w:val="483671E0"/>
    <w:rsid w:val="4838292E"/>
    <w:rsid w:val="483925C3"/>
    <w:rsid w:val="48403BBB"/>
    <w:rsid w:val="48410CB9"/>
    <w:rsid w:val="48435459"/>
    <w:rsid w:val="48443BF6"/>
    <w:rsid w:val="48452B2F"/>
    <w:rsid w:val="484823A3"/>
    <w:rsid w:val="48486557"/>
    <w:rsid w:val="484A6384"/>
    <w:rsid w:val="4851401A"/>
    <w:rsid w:val="48545A7F"/>
    <w:rsid w:val="48547666"/>
    <w:rsid w:val="48550F4C"/>
    <w:rsid w:val="48567212"/>
    <w:rsid w:val="48577D5B"/>
    <w:rsid w:val="48584FE2"/>
    <w:rsid w:val="485E2293"/>
    <w:rsid w:val="485F6737"/>
    <w:rsid w:val="486331F4"/>
    <w:rsid w:val="48644E50"/>
    <w:rsid w:val="48647785"/>
    <w:rsid w:val="48650DF8"/>
    <w:rsid w:val="48684EBF"/>
    <w:rsid w:val="486C0E54"/>
    <w:rsid w:val="486D1153"/>
    <w:rsid w:val="48735D3E"/>
    <w:rsid w:val="48743864"/>
    <w:rsid w:val="48763A80"/>
    <w:rsid w:val="48764197"/>
    <w:rsid w:val="48773972"/>
    <w:rsid w:val="487970CD"/>
    <w:rsid w:val="487B4BF3"/>
    <w:rsid w:val="487D096B"/>
    <w:rsid w:val="48802C4C"/>
    <w:rsid w:val="488340A3"/>
    <w:rsid w:val="48847F4B"/>
    <w:rsid w:val="48897310"/>
    <w:rsid w:val="488C32A4"/>
    <w:rsid w:val="489167A2"/>
    <w:rsid w:val="48945CB4"/>
    <w:rsid w:val="489E30D7"/>
    <w:rsid w:val="489E7916"/>
    <w:rsid w:val="489F24E0"/>
    <w:rsid w:val="48A04659"/>
    <w:rsid w:val="48A26623"/>
    <w:rsid w:val="48A759E8"/>
    <w:rsid w:val="48AE321A"/>
    <w:rsid w:val="48B3438D"/>
    <w:rsid w:val="48B40105"/>
    <w:rsid w:val="48B545A9"/>
    <w:rsid w:val="48B76708"/>
    <w:rsid w:val="48BB1E89"/>
    <w:rsid w:val="48BF2D31"/>
    <w:rsid w:val="48C20A74"/>
    <w:rsid w:val="48C22822"/>
    <w:rsid w:val="48C42A3E"/>
    <w:rsid w:val="48C52312"/>
    <w:rsid w:val="48D04F3E"/>
    <w:rsid w:val="48D11FCA"/>
    <w:rsid w:val="48D12A65"/>
    <w:rsid w:val="48D32C81"/>
    <w:rsid w:val="48D34A2F"/>
    <w:rsid w:val="48D6451F"/>
    <w:rsid w:val="48D80297"/>
    <w:rsid w:val="48D82045"/>
    <w:rsid w:val="48DA5DBD"/>
    <w:rsid w:val="48DC7D87"/>
    <w:rsid w:val="48E11FE9"/>
    <w:rsid w:val="48E1714C"/>
    <w:rsid w:val="48E7672C"/>
    <w:rsid w:val="48E82D4D"/>
    <w:rsid w:val="48E96000"/>
    <w:rsid w:val="48F055E1"/>
    <w:rsid w:val="48F7696F"/>
    <w:rsid w:val="48FC21D7"/>
    <w:rsid w:val="48FF3A76"/>
    <w:rsid w:val="48FF5824"/>
    <w:rsid w:val="4904108C"/>
    <w:rsid w:val="49051D27"/>
    <w:rsid w:val="49054987"/>
    <w:rsid w:val="49064E04"/>
    <w:rsid w:val="4907292A"/>
    <w:rsid w:val="49090450"/>
    <w:rsid w:val="490C7F41"/>
    <w:rsid w:val="490D6193"/>
    <w:rsid w:val="491325C4"/>
    <w:rsid w:val="49180694"/>
    <w:rsid w:val="49184B37"/>
    <w:rsid w:val="492139EC"/>
    <w:rsid w:val="492601CA"/>
    <w:rsid w:val="492852F0"/>
    <w:rsid w:val="49304650"/>
    <w:rsid w:val="49325BF9"/>
    <w:rsid w:val="4933371F"/>
    <w:rsid w:val="493556E9"/>
    <w:rsid w:val="49380D36"/>
    <w:rsid w:val="493A087A"/>
    <w:rsid w:val="493C0826"/>
    <w:rsid w:val="493C6A78"/>
    <w:rsid w:val="493D634C"/>
    <w:rsid w:val="493E4372"/>
    <w:rsid w:val="493F0316"/>
    <w:rsid w:val="49425710"/>
    <w:rsid w:val="49461447"/>
    <w:rsid w:val="49486249"/>
    <w:rsid w:val="49521DF7"/>
    <w:rsid w:val="49566508"/>
    <w:rsid w:val="495711BC"/>
    <w:rsid w:val="496555C4"/>
    <w:rsid w:val="496702A5"/>
    <w:rsid w:val="49680B13"/>
    <w:rsid w:val="49696171"/>
    <w:rsid w:val="49791E13"/>
    <w:rsid w:val="497E13D0"/>
    <w:rsid w:val="497F6965"/>
    <w:rsid w:val="49804BB7"/>
    <w:rsid w:val="49836455"/>
    <w:rsid w:val="4989182E"/>
    <w:rsid w:val="4989333F"/>
    <w:rsid w:val="498A77E3"/>
    <w:rsid w:val="498D72D3"/>
    <w:rsid w:val="498E6BA8"/>
    <w:rsid w:val="49971F00"/>
    <w:rsid w:val="499917D4"/>
    <w:rsid w:val="499A72FA"/>
    <w:rsid w:val="499C7517"/>
    <w:rsid w:val="49A21DDA"/>
    <w:rsid w:val="49A34401"/>
    <w:rsid w:val="49A62143"/>
    <w:rsid w:val="49A85EBB"/>
    <w:rsid w:val="49A95790"/>
    <w:rsid w:val="49AA1C33"/>
    <w:rsid w:val="49AD702E"/>
    <w:rsid w:val="49BA799D"/>
    <w:rsid w:val="49CF169A"/>
    <w:rsid w:val="49CF3448"/>
    <w:rsid w:val="49D2118A"/>
    <w:rsid w:val="49D60C91"/>
    <w:rsid w:val="49D97E23"/>
    <w:rsid w:val="49E05655"/>
    <w:rsid w:val="49E113CD"/>
    <w:rsid w:val="49E36EF3"/>
    <w:rsid w:val="49E84459"/>
    <w:rsid w:val="49F27137"/>
    <w:rsid w:val="49F44C5D"/>
    <w:rsid w:val="49F509D5"/>
    <w:rsid w:val="49FA5FEB"/>
    <w:rsid w:val="49FC1D63"/>
    <w:rsid w:val="49FE1F7F"/>
    <w:rsid w:val="49FF7F76"/>
    <w:rsid w:val="4A001853"/>
    <w:rsid w:val="4A02485B"/>
    <w:rsid w:val="4A037596"/>
    <w:rsid w:val="4A05330E"/>
    <w:rsid w:val="4A080708"/>
    <w:rsid w:val="4A0F1A96"/>
    <w:rsid w:val="4A113A61"/>
    <w:rsid w:val="4A190B67"/>
    <w:rsid w:val="4A1A5F35"/>
    <w:rsid w:val="4A1B4023"/>
    <w:rsid w:val="4A1D5D99"/>
    <w:rsid w:val="4A1E71A6"/>
    <w:rsid w:val="4A1E75C0"/>
    <w:rsid w:val="4A28673E"/>
    <w:rsid w:val="4A2D63C1"/>
    <w:rsid w:val="4A3239D7"/>
    <w:rsid w:val="4A3414FD"/>
    <w:rsid w:val="4A366656"/>
    <w:rsid w:val="4A3D2AA8"/>
    <w:rsid w:val="4A3E05CE"/>
    <w:rsid w:val="4A407EA2"/>
    <w:rsid w:val="4A442959"/>
    <w:rsid w:val="4A484FA8"/>
    <w:rsid w:val="4A4861AE"/>
    <w:rsid w:val="4A4F6337"/>
    <w:rsid w:val="4A513E5D"/>
    <w:rsid w:val="4A547DF1"/>
    <w:rsid w:val="4A590F64"/>
    <w:rsid w:val="4A5E47CC"/>
    <w:rsid w:val="4A600544"/>
    <w:rsid w:val="4A623EAE"/>
    <w:rsid w:val="4A677B24"/>
    <w:rsid w:val="4A6873F9"/>
    <w:rsid w:val="4A6E0EB3"/>
    <w:rsid w:val="4A6F0787"/>
    <w:rsid w:val="4A712751"/>
    <w:rsid w:val="4A7162AD"/>
    <w:rsid w:val="4A746B40"/>
    <w:rsid w:val="4A756F9E"/>
    <w:rsid w:val="4A757163"/>
    <w:rsid w:val="4A7638C4"/>
    <w:rsid w:val="4A775DA4"/>
    <w:rsid w:val="4A7E7BF1"/>
    <w:rsid w:val="4A8204BA"/>
    <w:rsid w:val="4A82670C"/>
    <w:rsid w:val="4A83494B"/>
    <w:rsid w:val="4A8A3813"/>
    <w:rsid w:val="4A8C1339"/>
    <w:rsid w:val="4A8C30E7"/>
    <w:rsid w:val="4A9111A3"/>
    <w:rsid w:val="4A9326C8"/>
    <w:rsid w:val="4A9804CE"/>
    <w:rsid w:val="4A9F72BE"/>
    <w:rsid w:val="4AA2290B"/>
    <w:rsid w:val="4AA246B9"/>
    <w:rsid w:val="4AA64DBF"/>
    <w:rsid w:val="4AAB17DF"/>
    <w:rsid w:val="4AB12B4E"/>
    <w:rsid w:val="4AB83EDC"/>
    <w:rsid w:val="4AB915D4"/>
    <w:rsid w:val="4AC00E34"/>
    <w:rsid w:val="4AC26B09"/>
    <w:rsid w:val="4AC62BC0"/>
    <w:rsid w:val="4AC705C3"/>
    <w:rsid w:val="4AC76815"/>
    <w:rsid w:val="4ACA1E61"/>
    <w:rsid w:val="4ACD77C9"/>
    <w:rsid w:val="4ACE7349"/>
    <w:rsid w:val="4AD131F0"/>
    <w:rsid w:val="4AD36F68"/>
    <w:rsid w:val="4AD66A58"/>
    <w:rsid w:val="4AD7075F"/>
    <w:rsid w:val="4ADA6548"/>
    <w:rsid w:val="4ADB1B7B"/>
    <w:rsid w:val="4ADB7BCB"/>
    <w:rsid w:val="4ADD1B95"/>
    <w:rsid w:val="4AE029E3"/>
    <w:rsid w:val="4AE20F59"/>
    <w:rsid w:val="4AE41175"/>
    <w:rsid w:val="4AE9678B"/>
    <w:rsid w:val="4AEE55F3"/>
    <w:rsid w:val="4AEE78FE"/>
    <w:rsid w:val="4AF73AD6"/>
    <w:rsid w:val="4AFD2EF8"/>
    <w:rsid w:val="4B045373"/>
    <w:rsid w:val="4B09298A"/>
    <w:rsid w:val="4B0B04B0"/>
    <w:rsid w:val="4B0B4954"/>
    <w:rsid w:val="4B0B5621"/>
    <w:rsid w:val="4B0E1D4E"/>
    <w:rsid w:val="4B1530DD"/>
    <w:rsid w:val="4B1A05AF"/>
    <w:rsid w:val="4B217CD3"/>
    <w:rsid w:val="4B221C9D"/>
    <w:rsid w:val="4B241572"/>
    <w:rsid w:val="4B245A16"/>
    <w:rsid w:val="4B386DCB"/>
    <w:rsid w:val="4B3A55EB"/>
    <w:rsid w:val="4B3A746D"/>
    <w:rsid w:val="4B3C4B0D"/>
    <w:rsid w:val="4B3F45FD"/>
    <w:rsid w:val="4B3F63AB"/>
    <w:rsid w:val="4B427C4A"/>
    <w:rsid w:val="4B4A0B1E"/>
    <w:rsid w:val="4B4B73DD"/>
    <w:rsid w:val="4B4D48CE"/>
    <w:rsid w:val="4B4D6D1A"/>
    <w:rsid w:val="4B4F5ACD"/>
    <w:rsid w:val="4B5005B9"/>
    <w:rsid w:val="4B517E8D"/>
    <w:rsid w:val="4B5300A9"/>
    <w:rsid w:val="4B53748E"/>
    <w:rsid w:val="4B5447A1"/>
    <w:rsid w:val="4B5A4F93"/>
    <w:rsid w:val="4B5D2CD5"/>
    <w:rsid w:val="4B6202EC"/>
    <w:rsid w:val="4B645E12"/>
    <w:rsid w:val="4B675475"/>
    <w:rsid w:val="4B756271"/>
    <w:rsid w:val="4B7778F3"/>
    <w:rsid w:val="4B7854A6"/>
    <w:rsid w:val="4B797B0F"/>
    <w:rsid w:val="4B7A73E4"/>
    <w:rsid w:val="4B7D6C6A"/>
    <w:rsid w:val="4B803312"/>
    <w:rsid w:val="4B814C16"/>
    <w:rsid w:val="4B83098E"/>
    <w:rsid w:val="4B83273C"/>
    <w:rsid w:val="4B846F4F"/>
    <w:rsid w:val="4B851076"/>
    <w:rsid w:val="4B871B00"/>
    <w:rsid w:val="4B8A2BD1"/>
    <w:rsid w:val="4B8B339F"/>
    <w:rsid w:val="4B8B4870"/>
    <w:rsid w:val="4B8E10E1"/>
    <w:rsid w:val="4B9009B5"/>
    <w:rsid w:val="4B907E48"/>
    <w:rsid w:val="4B9366F7"/>
    <w:rsid w:val="4B9868B7"/>
    <w:rsid w:val="4BA91A77"/>
    <w:rsid w:val="4BB36023"/>
    <w:rsid w:val="4BB5041C"/>
    <w:rsid w:val="4BB943B0"/>
    <w:rsid w:val="4BB95A51"/>
    <w:rsid w:val="4BBC369E"/>
    <w:rsid w:val="4BBE3774"/>
    <w:rsid w:val="4BC30D8B"/>
    <w:rsid w:val="4BC36FDC"/>
    <w:rsid w:val="4BC845F3"/>
    <w:rsid w:val="4BCA036B"/>
    <w:rsid w:val="4BCC0FE5"/>
    <w:rsid w:val="4BD439FC"/>
    <w:rsid w:val="4BE233FC"/>
    <w:rsid w:val="4BE34975"/>
    <w:rsid w:val="4BE86A43"/>
    <w:rsid w:val="4BEF7DD1"/>
    <w:rsid w:val="4BF278C2"/>
    <w:rsid w:val="4BF52F0E"/>
    <w:rsid w:val="4BF61160"/>
    <w:rsid w:val="4BF87D30"/>
    <w:rsid w:val="4BFA6AB7"/>
    <w:rsid w:val="4BFE0015"/>
    <w:rsid w:val="4C001FDF"/>
    <w:rsid w:val="4C0118B3"/>
    <w:rsid w:val="4C0513A3"/>
    <w:rsid w:val="4C080E93"/>
    <w:rsid w:val="4C0B2731"/>
    <w:rsid w:val="4C0D64AA"/>
    <w:rsid w:val="4C107D48"/>
    <w:rsid w:val="4C116304"/>
    <w:rsid w:val="4C1524C5"/>
    <w:rsid w:val="4C1710D6"/>
    <w:rsid w:val="4C177328"/>
    <w:rsid w:val="4C1B0BC7"/>
    <w:rsid w:val="4C1B2975"/>
    <w:rsid w:val="4C1E0C2D"/>
    <w:rsid w:val="4C231829"/>
    <w:rsid w:val="4C242852"/>
    <w:rsid w:val="4C261319"/>
    <w:rsid w:val="4C263D9D"/>
    <w:rsid w:val="4C2832E3"/>
    <w:rsid w:val="4C285091"/>
    <w:rsid w:val="4C2A0E0A"/>
    <w:rsid w:val="4C2D26A8"/>
    <w:rsid w:val="4C303F46"/>
    <w:rsid w:val="4C343A36"/>
    <w:rsid w:val="4C3750D5"/>
    <w:rsid w:val="4C3F126C"/>
    <w:rsid w:val="4C40066C"/>
    <w:rsid w:val="4C404189"/>
    <w:rsid w:val="4C454024"/>
    <w:rsid w:val="4C4579F1"/>
    <w:rsid w:val="4C462BF6"/>
    <w:rsid w:val="4C485734"/>
    <w:rsid w:val="4C4874E2"/>
    <w:rsid w:val="4C4B0D80"/>
    <w:rsid w:val="4C4F6AC2"/>
    <w:rsid w:val="4C523EBC"/>
    <w:rsid w:val="4C5440D8"/>
    <w:rsid w:val="4C545E87"/>
    <w:rsid w:val="4C561BFF"/>
    <w:rsid w:val="4C583BC9"/>
    <w:rsid w:val="4C6247DB"/>
    <w:rsid w:val="4C673E0C"/>
    <w:rsid w:val="4C681932"/>
    <w:rsid w:val="4C6A56AA"/>
    <w:rsid w:val="4C6B4F7E"/>
    <w:rsid w:val="4C6C1422"/>
    <w:rsid w:val="4C6D6F48"/>
    <w:rsid w:val="4C6E0E52"/>
    <w:rsid w:val="4C7327B1"/>
    <w:rsid w:val="4C786019"/>
    <w:rsid w:val="4C7C718B"/>
    <w:rsid w:val="4C7E4CB1"/>
    <w:rsid w:val="4C800A2A"/>
    <w:rsid w:val="4C804ECE"/>
    <w:rsid w:val="4C820C46"/>
    <w:rsid w:val="4C83051A"/>
    <w:rsid w:val="4C891FD4"/>
    <w:rsid w:val="4C8C5620"/>
    <w:rsid w:val="4C8C73CE"/>
    <w:rsid w:val="4C9124AD"/>
    <w:rsid w:val="4C9444D5"/>
    <w:rsid w:val="4C975D73"/>
    <w:rsid w:val="4C991AEB"/>
    <w:rsid w:val="4C995102"/>
    <w:rsid w:val="4C995F8F"/>
    <w:rsid w:val="4CA42662"/>
    <w:rsid w:val="4CA46E0E"/>
    <w:rsid w:val="4CA87F80"/>
    <w:rsid w:val="4CB02408"/>
    <w:rsid w:val="4CB41CD6"/>
    <w:rsid w:val="4CB42DC9"/>
    <w:rsid w:val="4CB46925"/>
    <w:rsid w:val="4CB9218D"/>
    <w:rsid w:val="4CBA03DF"/>
    <w:rsid w:val="4CBE3B8B"/>
    <w:rsid w:val="4CBF2812"/>
    <w:rsid w:val="4CBF59F6"/>
    <w:rsid w:val="4CC27294"/>
    <w:rsid w:val="4CC36B68"/>
    <w:rsid w:val="4CC528E0"/>
    <w:rsid w:val="4CC56D84"/>
    <w:rsid w:val="4CC72AFC"/>
    <w:rsid w:val="4CC90623"/>
    <w:rsid w:val="4CCA439B"/>
    <w:rsid w:val="4CCF375F"/>
    <w:rsid w:val="4CCF550D"/>
    <w:rsid w:val="4CD15729"/>
    <w:rsid w:val="4CD4593A"/>
    <w:rsid w:val="4CD55219"/>
    <w:rsid w:val="4CD6689C"/>
    <w:rsid w:val="4CD86AB8"/>
    <w:rsid w:val="4CD97E11"/>
    <w:rsid w:val="4CDD1363"/>
    <w:rsid w:val="4CE1708E"/>
    <w:rsid w:val="4CE90CC5"/>
    <w:rsid w:val="4CE94821"/>
    <w:rsid w:val="4CEC2563"/>
    <w:rsid w:val="4CF03E01"/>
    <w:rsid w:val="4CF124D7"/>
    <w:rsid w:val="4CF136D5"/>
    <w:rsid w:val="4CF431C6"/>
    <w:rsid w:val="4CF84A64"/>
    <w:rsid w:val="4CFA1B21"/>
    <w:rsid w:val="4CFA6A2E"/>
    <w:rsid w:val="4CFE5DF2"/>
    <w:rsid w:val="4D005E2E"/>
    <w:rsid w:val="4D007DBC"/>
    <w:rsid w:val="4D0C050F"/>
    <w:rsid w:val="4D0F1DAD"/>
    <w:rsid w:val="4D0F61C4"/>
    <w:rsid w:val="4D185106"/>
    <w:rsid w:val="4D1A1D0C"/>
    <w:rsid w:val="4D1C074A"/>
    <w:rsid w:val="4D244F88"/>
    <w:rsid w:val="4D267823"/>
    <w:rsid w:val="4D2A6BE7"/>
    <w:rsid w:val="4D3006A2"/>
    <w:rsid w:val="4D322037"/>
    <w:rsid w:val="4D331F40"/>
    <w:rsid w:val="4D386DDA"/>
    <w:rsid w:val="4D387556"/>
    <w:rsid w:val="4D38766A"/>
    <w:rsid w:val="4D3D691B"/>
    <w:rsid w:val="4D405E8D"/>
    <w:rsid w:val="4D44414D"/>
    <w:rsid w:val="4D4E01F5"/>
    <w:rsid w:val="4D5123C6"/>
    <w:rsid w:val="4D534390"/>
    <w:rsid w:val="4D555CC4"/>
    <w:rsid w:val="4D572760"/>
    <w:rsid w:val="4D5D3C89"/>
    <w:rsid w:val="4D6420F9"/>
    <w:rsid w:val="4D695962"/>
    <w:rsid w:val="4D6B4B4B"/>
    <w:rsid w:val="4D6C0FAE"/>
    <w:rsid w:val="4D6E11CA"/>
    <w:rsid w:val="4D6E6C73"/>
    <w:rsid w:val="4D782FD9"/>
    <w:rsid w:val="4D785BA5"/>
    <w:rsid w:val="4D79174D"/>
    <w:rsid w:val="4D7F6F33"/>
    <w:rsid w:val="4D812CAB"/>
    <w:rsid w:val="4D821B8C"/>
    <w:rsid w:val="4D886C44"/>
    <w:rsid w:val="4D8C324F"/>
    <w:rsid w:val="4D8E7176"/>
    <w:rsid w:val="4D911D44"/>
    <w:rsid w:val="4D9643D3"/>
    <w:rsid w:val="4D987FF5"/>
    <w:rsid w:val="4D9B0602"/>
    <w:rsid w:val="4D9C0FDC"/>
    <w:rsid w:val="4D9C7C8B"/>
    <w:rsid w:val="4D9E1AAF"/>
    <w:rsid w:val="4DA370C6"/>
    <w:rsid w:val="4DA60964"/>
    <w:rsid w:val="4DA62CD8"/>
    <w:rsid w:val="4DAB1AD6"/>
    <w:rsid w:val="4DAB41CC"/>
    <w:rsid w:val="4DAB5F7A"/>
    <w:rsid w:val="4DB766CD"/>
    <w:rsid w:val="4DBC5B34"/>
    <w:rsid w:val="4DC06044"/>
    <w:rsid w:val="4DC31516"/>
    <w:rsid w:val="4DC808DA"/>
    <w:rsid w:val="4DC86B2C"/>
    <w:rsid w:val="4DCB03CA"/>
    <w:rsid w:val="4DCB3F26"/>
    <w:rsid w:val="4DCB5631"/>
    <w:rsid w:val="4DCD7C9F"/>
    <w:rsid w:val="4DD27745"/>
    <w:rsid w:val="4DD3102D"/>
    <w:rsid w:val="4DD8512C"/>
    <w:rsid w:val="4DDC4386"/>
    <w:rsid w:val="4DDC6134"/>
    <w:rsid w:val="4DE14C7E"/>
    <w:rsid w:val="4DE374C2"/>
    <w:rsid w:val="4DE4148C"/>
    <w:rsid w:val="4DE6024A"/>
    <w:rsid w:val="4DEE4A39"/>
    <w:rsid w:val="4DF01BDF"/>
    <w:rsid w:val="4DF01E53"/>
    <w:rsid w:val="4DF0398D"/>
    <w:rsid w:val="4DF74D1B"/>
    <w:rsid w:val="4DFC67D6"/>
    <w:rsid w:val="4DFF1E22"/>
    <w:rsid w:val="4E00263F"/>
    <w:rsid w:val="4E035DB6"/>
    <w:rsid w:val="4E045131"/>
    <w:rsid w:val="4E0A0EF3"/>
    <w:rsid w:val="4E0B6496"/>
    <w:rsid w:val="4E0F02B7"/>
    <w:rsid w:val="4E10402F"/>
    <w:rsid w:val="4E141D71"/>
    <w:rsid w:val="4E1545A9"/>
    <w:rsid w:val="4E157897"/>
    <w:rsid w:val="4E184ECF"/>
    <w:rsid w:val="4E18612D"/>
    <w:rsid w:val="4E192EE4"/>
    <w:rsid w:val="4E1A4EAE"/>
    <w:rsid w:val="4E1A6C5C"/>
    <w:rsid w:val="4E1C6E78"/>
    <w:rsid w:val="4E1E499E"/>
    <w:rsid w:val="4E200716"/>
    <w:rsid w:val="4E223A1D"/>
    <w:rsid w:val="4E231FB4"/>
    <w:rsid w:val="4E2D4BE1"/>
    <w:rsid w:val="4E2F0959"/>
    <w:rsid w:val="4E30022D"/>
    <w:rsid w:val="4E30647F"/>
    <w:rsid w:val="4E345F70"/>
    <w:rsid w:val="4E3715BC"/>
    <w:rsid w:val="4E3C4E24"/>
    <w:rsid w:val="4E3C4FB1"/>
    <w:rsid w:val="4E402B66"/>
    <w:rsid w:val="4E41243B"/>
    <w:rsid w:val="4E446BEC"/>
    <w:rsid w:val="4E481A1B"/>
    <w:rsid w:val="4E4837C9"/>
    <w:rsid w:val="4E487C6D"/>
    <w:rsid w:val="4E4A12EF"/>
    <w:rsid w:val="4E4C2032"/>
    <w:rsid w:val="4E4D7031"/>
    <w:rsid w:val="4E5263F6"/>
    <w:rsid w:val="4E5377DA"/>
    <w:rsid w:val="4E5403C0"/>
    <w:rsid w:val="4E556430"/>
    <w:rsid w:val="4E606D65"/>
    <w:rsid w:val="4E654842"/>
    <w:rsid w:val="4E683E6B"/>
    <w:rsid w:val="4E6920B3"/>
    <w:rsid w:val="4E6D1482"/>
    <w:rsid w:val="4E6F4101"/>
    <w:rsid w:val="4E6F6FA8"/>
    <w:rsid w:val="4E7C09F9"/>
    <w:rsid w:val="4E8567CB"/>
    <w:rsid w:val="4E8B0A28"/>
    <w:rsid w:val="4E8C1327"/>
    <w:rsid w:val="4E8C7B5A"/>
    <w:rsid w:val="4E8F31A6"/>
    <w:rsid w:val="4E944C60"/>
    <w:rsid w:val="4E975330"/>
    <w:rsid w:val="4E984750"/>
    <w:rsid w:val="4EA00746"/>
    <w:rsid w:val="4EA1206A"/>
    <w:rsid w:val="4EA2112B"/>
    <w:rsid w:val="4EA3285D"/>
    <w:rsid w:val="4EA34EA3"/>
    <w:rsid w:val="4EB51578"/>
    <w:rsid w:val="4EB64BD7"/>
    <w:rsid w:val="4EB70E3E"/>
    <w:rsid w:val="4EBD5F65"/>
    <w:rsid w:val="4EBF33BF"/>
    <w:rsid w:val="4EC01F05"/>
    <w:rsid w:val="4EC05A55"/>
    <w:rsid w:val="4EC12B91"/>
    <w:rsid w:val="4EC2357B"/>
    <w:rsid w:val="4EC45545"/>
    <w:rsid w:val="4EC54E1A"/>
    <w:rsid w:val="4EC76DE4"/>
    <w:rsid w:val="4EC92B5C"/>
    <w:rsid w:val="4ECC61A8"/>
    <w:rsid w:val="4ED03843"/>
    <w:rsid w:val="4ED079B5"/>
    <w:rsid w:val="4ED24BC6"/>
    <w:rsid w:val="4ED27537"/>
    <w:rsid w:val="4ED4505D"/>
    <w:rsid w:val="4EE02FF7"/>
    <w:rsid w:val="4EE47996"/>
    <w:rsid w:val="4EE50468"/>
    <w:rsid w:val="4EE74081"/>
    <w:rsid w:val="4EF07467"/>
    <w:rsid w:val="4EF13E61"/>
    <w:rsid w:val="4EF179BD"/>
    <w:rsid w:val="4EF456FF"/>
    <w:rsid w:val="4EF65EE6"/>
    <w:rsid w:val="4EF86F9D"/>
    <w:rsid w:val="4EF94AC3"/>
    <w:rsid w:val="4EFB6A8D"/>
    <w:rsid w:val="4F02606E"/>
    <w:rsid w:val="4F027E1C"/>
    <w:rsid w:val="4F032DA5"/>
    <w:rsid w:val="4F037C1C"/>
    <w:rsid w:val="4F073684"/>
    <w:rsid w:val="4F0911AA"/>
    <w:rsid w:val="4F0A10D5"/>
    <w:rsid w:val="4F11005F"/>
    <w:rsid w:val="4F111E0D"/>
    <w:rsid w:val="4F132029"/>
    <w:rsid w:val="4F194B69"/>
    <w:rsid w:val="4F1A0BCA"/>
    <w:rsid w:val="4F1B712F"/>
    <w:rsid w:val="4F2608AE"/>
    <w:rsid w:val="4F271D3E"/>
    <w:rsid w:val="4F31425D"/>
    <w:rsid w:val="4F3A75B6"/>
    <w:rsid w:val="4F3B50DC"/>
    <w:rsid w:val="4F3D2C02"/>
    <w:rsid w:val="4F3F1455"/>
    <w:rsid w:val="4F4026F2"/>
    <w:rsid w:val="4F42290E"/>
    <w:rsid w:val="4F45117A"/>
    <w:rsid w:val="4F457D08"/>
    <w:rsid w:val="4F4977F9"/>
    <w:rsid w:val="4F4C72E9"/>
    <w:rsid w:val="4F4F0B87"/>
    <w:rsid w:val="4F505507"/>
    <w:rsid w:val="4F506DD9"/>
    <w:rsid w:val="4F52414B"/>
    <w:rsid w:val="4F55619D"/>
    <w:rsid w:val="4F5B577E"/>
    <w:rsid w:val="4F5F526E"/>
    <w:rsid w:val="4F602D94"/>
    <w:rsid w:val="4F6603AB"/>
    <w:rsid w:val="4F672375"/>
    <w:rsid w:val="4F674123"/>
    <w:rsid w:val="4F6F15E1"/>
    <w:rsid w:val="4F756840"/>
    <w:rsid w:val="4F764366"/>
    <w:rsid w:val="4F77327D"/>
    <w:rsid w:val="4F7800DE"/>
    <w:rsid w:val="4F7A3E56"/>
    <w:rsid w:val="4F7B372A"/>
    <w:rsid w:val="4F7D74A2"/>
    <w:rsid w:val="4F801F1C"/>
    <w:rsid w:val="4F806F93"/>
    <w:rsid w:val="4F807D78"/>
    <w:rsid w:val="4F813436"/>
    <w:rsid w:val="4F8E16AF"/>
    <w:rsid w:val="4F90367A"/>
    <w:rsid w:val="4F960564"/>
    <w:rsid w:val="4F9922E8"/>
    <w:rsid w:val="4F9B5B7A"/>
    <w:rsid w:val="4FA42C81"/>
    <w:rsid w:val="4FA61921"/>
    <w:rsid w:val="4FAD422B"/>
    <w:rsid w:val="4FAF16B5"/>
    <w:rsid w:val="4FB1539E"/>
    <w:rsid w:val="4FB31116"/>
    <w:rsid w:val="4FB37368"/>
    <w:rsid w:val="4FB8497E"/>
    <w:rsid w:val="4FBC446F"/>
    <w:rsid w:val="4FC357FD"/>
    <w:rsid w:val="4FC8279A"/>
    <w:rsid w:val="4FCA3333"/>
    <w:rsid w:val="4FD01CC8"/>
    <w:rsid w:val="4FD2395D"/>
    <w:rsid w:val="4FD25A40"/>
    <w:rsid w:val="4FD535CD"/>
    <w:rsid w:val="4FD94922"/>
    <w:rsid w:val="4FD95020"/>
    <w:rsid w:val="4FE25169"/>
    <w:rsid w:val="4FE63299"/>
    <w:rsid w:val="4FEA6D37"/>
    <w:rsid w:val="4FFA4F97"/>
    <w:rsid w:val="50010F5D"/>
    <w:rsid w:val="50016554"/>
    <w:rsid w:val="50041972"/>
    <w:rsid w:val="50091D29"/>
    <w:rsid w:val="501047BA"/>
    <w:rsid w:val="501301BD"/>
    <w:rsid w:val="50141FA4"/>
    <w:rsid w:val="5015592D"/>
    <w:rsid w:val="501778F7"/>
    <w:rsid w:val="5019366F"/>
    <w:rsid w:val="501E0EA8"/>
    <w:rsid w:val="501F6277"/>
    <w:rsid w:val="502352E1"/>
    <w:rsid w:val="50243DC2"/>
    <w:rsid w:val="50265D8C"/>
    <w:rsid w:val="502838B2"/>
    <w:rsid w:val="502D757B"/>
    <w:rsid w:val="502D7C51"/>
    <w:rsid w:val="502E4997"/>
    <w:rsid w:val="502F4C40"/>
    <w:rsid w:val="503009B9"/>
    <w:rsid w:val="50306C0B"/>
    <w:rsid w:val="5031142E"/>
    <w:rsid w:val="5032028D"/>
    <w:rsid w:val="50324731"/>
    <w:rsid w:val="503404A9"/>
    <w:rsid w:val="503A35E5"/>
    <w:rsid w:val="503C7AAB"/>
    <w:rsid w:val="503E4E84"/>
    <w:rsid w:val="503F3AD0"/>
    <w:rsid w:val="50406E4E"/>
    <w:rsid w:val="50433E79"/>
    <w:rsid w:val="50447FC0"/>
    <w:rsid w:val="50463D38"/>
    <w:rsid w:val="50483F54"/>
    <w:rsid w:val="50487AB0"/>
    <w:rsid w:val="504F52E3"/>
    <w:rsid w:val="504F7091"/>
    <w:rsid w:val="5052092F"/>
    <w:rsid w:val="505226DD"/>
    <w:rsid w:val="505446A7"/>
    <w:rsid w:val="5055041F"/>
    <w:rsid w:val="50574197"/>
    <w:rsid w:val="50575F45"/>
    <w:rsid w:val="50597F0F"/>
    <w:rsid w:val="505F4DFA"/>
    <w:rsid w:val="50691B4D"/>
    <w:rsid w:val="506F7733"/>
    <w:rsid w:val="50724B2D"/>
    <w:rsid w:val="507A1C34"/>
    <w:rsid w:val="507C1E50"/>
    <w:rsid w:val="507E1724"/>
    <w:rsid w:val="5080549C"/>
    <w:rsid w:val="50810B36"/>
    <w:rsid w:val="50812FC2"/>
    <w:rsid w:val="50893447"/>
    <w:rsid w:val="508A631B"/>
    <w:rsid w:val="508D49F6"/>
    <w:rsid w:val="508D7BB9"/>
    <w:rsid w:val="50923421"/>
    <w:rsid w:val="50940F47"/>
    <w:rsid w:val="5095081C"/>
    <w:rsid w:val="509B0528"/>
    <w:rsid w:val="509E3B74"/>
    <w:rsid w:val="50A00F4B"/>
    <w:rsid w:val="50A05B3E"/>
    <w:rsid w:val="50A218B6"/>
    <w:rsid w:val="50A373DC"/>
    <w:rsid w:val="50A54F03"/>
    <w:rsid w:val="50AA42C7"/>
    <w:rsid w:val="50AC6291"/>
    <w:rsid w:val="50B415EA"/>
    <w:rsid w:val="50BD049E"/>
    <w:rsid w:val="50C23D07"/>
    <w:rsid w:val="50C335DB"/>
    <w:rsid w:val="50C86E43"/>
    <w:rsid w:val="50CA30CD"/>
    <w:rsid w:val="50CA3508"/>
    <w:rsid w:val="50CB7569"/>
    <w:rsid w:val="50CC09F9"/>
    <w:rsid w:val="50CC6933"/>
    <w:rsid w:val="50CD6207"/>
    <w:rsid w:val="50CE26AB"/>
    <w:rsid w:val="50CE6F9F"/>
    <w:rsid w:val="50D91050"/>
    <w:rsid w:val="50D94BAC"/>
    <w:rsid w:val="50DA0833"/>
    <w:rsid w:val="50DB6B76"/>
    <w:rsid w:val="50DB7A39"/>
    <w:rsid w:val="50E0418D"/>
    <w:rsid w:val="50E05F3B"/>
    <w:rsid w:val="50E7254E"/>
    <w:rsid w:val="50EA0B67"/>
    <w:rsid w:val="50EA6DB9"/>
    <w:rsid w:val="50ED7D32"/>
    <w:rsid w:val="50EE4AFC"/>
    <w:rsid w:val="50F25C6E"/>
    <w:rsid w:val="50F43794"/>
    <w:rsid w:val="50F639B0"/>
    <w:rsid w:val="50FD6AED"/>
    <w:rsid w:val="5100482F"/>
    <w:rsid w:val="51023F76"/>
    <w:rsid w:val="51044B29"/>
    <w:rsid w:val="510507A1"/>
    <w:rsid w:val="510559A1"/>
    <w:rsid w:val="510A1DF1"/>
    <w:rsid w:val="510D2AA8"/>
    <w:rsid w:val="510F1C3C"/>
    <w:rsid w:val="511030CC"/>
    <w:rsid w:val="51111E2A"/>
    <w:rsid w:val="51136310"/>
    <w:rsid w:val="51143E36"/>
    <w:rsid w:val="51156A77"/>
    <w:rsid w:val="5116195C"/>
    <w:rsid w:val="51165E00"/>
    <w:rsid w:val="511B3417"/>
    <w:rsid w:val="511C421F"/>
    <w:rsid w:val="511D718F"/>
    <w:rsid w:val="511F2F07"/>
    <w:rsid w:val="51220301"/>
    <w:rsid w:val="51234079"/>
    <w:rsid w:val="512651A9"/>
    <w:rsid w:val="51275918"/>
    <w:rsid w:val="51281690"/>
    <w:rsid w:val="512D6CA6"/>
    <w:rsid w:val="512F6EC2"/>
    <w:rsid w:val="513149E8"/>
    <w:rsid w:val="5133250E"/>
    <w:rsid w:val="513A1AEF"/>
    <w:rsid w:val="513C0BD2"/>
    <w:rsid w:val="513F5357"/>
    <w:rsid w:val="51422751"/>
    <w:rsid w:val="51426BF5"/>
    <w:rsid w:val="514351EF"/>
    <w:rsid w:val="51453FF0"/>
    <w:rsid w:val="514A5AAA"/>
    <w:rsid w:val="514F30C0"/>
    <w:rsid w:val="515406D7"/>
    <w:rsid w:val="515801C7"/>
    <w:rsid w:val="51597A9B"/>
    <w:rsid w:val="515D3A2F"/>
    <w:rsid w:val="515D57DD"/>
    <w:rsid w:val="515E0E17"/>
    <w:rsid w:val="516052CE"/>
    <w:rsid w:val="51625545"/>
    <w:rsid w:val="5164091A"/>
    <w:rsid w:val="51654692"/>
    <w:rsid w:val="51656440"/>
    <w:rsid w:val="516A1CA8"/>
    <w:rsid w:val="516A3A56"/>
    <w:rsid w:val="516C5A20"/>
    <w:rsid w:val="516E3547"/>
    <w:rsid w:val="516F72BF"/>
    <w:rsid w:val="51701F58"/>
    <w:rsid w:val="51706C86"/>
    <w:rsid w:val="51711289"/>
    <w:rsid w:val="517148AA"/>
    <w:rsid w:val="517320C3"/>
    <w:rsid w:val="517A638F"/>
    <w:rsid w:val="517D5E7F"/>
    <w:rsid w:val="517F5754"/>
    <w:rsid w:val="51850890"/>
    <w:rsid w:val="518906F0"/>
    <w:rsid w:val="518C60C3"/>
    <w:rsid w:val="51915487"/>
    <w:rsid w:val="51945C61"/>
    <w:rsid w:val="5199716D"/>
    <w:rsid w:val="519B6306"/>
    <w:rsid w:val="519C5ECC"/>
    <w:rsid w:val="51A67184"/>
    <w:rsid w:val="51AC5E5D"/>
    <w:rsid w:val="51AE6039"/>
    <w:rsid w:val="51AE7211"/>
    <w:rsid w:val="51AF4F86"/>
    <w:rsid w:val="51B178D7"/>
    <w:rsid w:val="51B86EB8"/>
    <w:rsid w:val="51C159B6"/>
    <w:rsid w:val="51C2088C"/>
    <w:rsid w:val="51C27D36"/>
    <w:rsid w:val="51C4585C"/>
    <w:rsid w:val="51C70EA9"/>
    <w:rsid w:val="51C8234F"/>
    <w:rsid w:val="51C904BB"/>
    <w:rsid w:val="51CF19F5"/>
    <w:rsid w:val="51CF6F3E"/>
    <w:rsid w:val="51D07D5D"/>
    <w:rsid w:val="51D57A6A"/>
    <w:rsid w:val="51DA5080"/>
    <w:rsid w:val="51DB6702"/>
    <w:rsid w:val="51DD247A"/>
    <w:rsid w:val="51DF61F2"/>
    <w:rsid w:val="51E25CE3"/>
    <w:rsid w:val="51E4360B"/>
    <w:rsid w:val="51E67581"/>
    <w:rsid w:val="51EE28D9"/>
    <w:rsid w:val="51F55A16"/>
    <w:rsid w:val="51F83758"/>
    <w:rsid w:val="51FF4AE6"/>
    <w:rsid w:val="5201085F"/>
    <w:rsid w:val="5201260D"/>
    <w:rsid w:val="52036385"/>
    <w:rsid w:val="52075749"/>
    <w:rsid w:val="5208399B"/>
    <w:rsid w:val="5209326F"/>
    <w:rsid w:val="5214298C"/>
    <w:rsid w:val="52171E30"/>
    <w:rsid w:val="521B6C41"/>
    <w:rsid w:val="521C11F4"/>
    <w:rsid w:val="521C7446"/>
    <w:rsid w:val="521F2A93"/>
    <w:rsid w:val="522105B9"/>
    <w:rsid w:val="52285DEB"/>
    <w:rsid w:val="52293911"/>
    <w:rsid w:val="52326C6A"/>
    <w:rsid w:val="523924E1"/>
    <w:rsid w:val="523B7711"/>
    <w:rsid w:val="523F3135"/>
    <w:rsid w:val="5242431B"/>
    <w:rsid w:val="524349D3"/>
    <w:rsid w:val="5248023B"/>
    <w:rsid w:val="52541382"/>
    <w:rsid w:val="5256161C"/>
    <w:rsid w:val="5257047F"/>
    <w:rsid w:val="52592449"/>
    <w:rsid w:val="525B3FFE"/>
    <w:rsid w:val="525C7843"/>
    <w:rsid w:val="525E35BB"/>
    <w:rsid w:val="525F10E1"/>
    <w:rsid w:val="525F5585"/>
    <w:rsid w:val="52650DED"/>
    <w:rsid w:val="52716224"/>
    <w:rsid w:val="527171A4"/>
    <w:rsid w:val="52725202"/>
    <w:rsid w:val="527458E8"/>
    <w:rsid w:val="527728CF"/>
    <w:rsid w:val="527A416D"/>
    <w:rsid w:val="528154FB"/>
    <w:rsid w:val="52825B1B"/>
    <w:rsid w:val="52862B12"/>
    <w:rsid w:val="528F19C6"/>
    <w:rsid w:val="528F408F"/>
    <w:rsid w:val="528F5E6A"/>
    <w:rsid w:val="528F7C18"/>
    <w:rsid w:val="52946FDD"/>
    <w:rsid w:val="529D3DB1"/>
    <w:rsid w:val="529E7E5B"/>
    <w:rsid w:val="529F5982"/>
    <w:rsid w:val="52A26B1F"/>
    <w:rsid w:val="52A336C4"/>
    <w:rsid w:val="52B0193D"/>
    <w:rsid w:val="52B256B5"/>
    <w:rsid w:val="52B2639C"/>
    <w:rsid w:val="52B437F7"/>
    <w:rsid w:val="52BA27BB"/>
    <w:rsid w:val="52BB1129"/>
    <w:rsid w:val="52BC29D7"/>
    <w:rsid w:val="52C33D66"/>
    <w:rsid w:val="52C6187C"/>
    <w:rsid w:val="52CB6777"/>
    <w:rsid w:val="52CB6E2F"/>
    <w:rsid w:val="52D40E84"/>
    <w:rsid w:val="52D90E94"/>
    <w:rsid w:val="52DB2E5E"/>
    <w:rsid w:val="52E02222"/>
    <w:rsid w:val="52E73786"/>
    <w:rsid w:val="52E8648C"/>
    <w:rsid w:val="52E87329"/>
    <w:rsid w:val="52EB49DD"/>
    <w:rsid w:val="52EF487C"/>
    <w:rsid w:val="52F42171"/>
    <w:rsid w:val="52F60E0C"/>
    <w:rsid w:val="52F97788"/>
    <w:rsid w:val="52FB3500"/>
    <w:rsid w:val="52FC4B82"/>
    <w:rsid w:val="52FC57CF"/>
    <w:rsid w:val="53000B16"/>
    <w:rsid w:val="5302663C"/>
    <w:rsid w:val="530323D9"/>
    <w:rsid w:val="53035F10"/>
    <w:rsid w:val="53073C53"/>
    <w:rsid w:val="530879CB"/>
    <w:rsid w:val="530C74BB"/>
    <w:rsid w:val="5311092D"/>
    <w:rsid w:val="53117559"/>
    <w:rsid w:val="531E0F9C"/>
    <w:rsid w:val="5322283B"/>
    <w:rsid w:val="532F4F57"/>
    <w:rsid w:val="53315D89"/>
    <w:rsid w:val="533662E6"/>
    <w:rsid w:val="5338205E"/>
    <w:rsid w:val="53394028"/>
    <w:rsid w:val="533B7DA0"/>
    <w:rsid w:val="53430A03"/>
    <w:rsid w:val="53452EE6"/>
    <w:rsid w:val="53456529"/>
    <w:rsid w:val="5349426B"/>
    <w:rsid w:val="534B0014"/>
    <w:rsid w:val="53507E24"/>
    <w:rsid w:val="53542C10"/>
    <w:rsid w:val="535449BE"/>
    <w:rsid w:val="5356205A"/>
    <w:rsid w:val="53566988"/>
    <w:rsid w:val="53591FD4"/>
    <w:rsid w:val="535E045A"/>
    <w:rsid w:val="535F3A8F"/>
    <w:rsid w:val="535F717D"/>
    <w:rsid w:val="536270DB"/>
    <w:rsid w:val="5363629A"/>
    <w:rsid w:val="53650979"/>
    <w:rsid w:val="53654B22"/>
    <w:rsid w:val="53662E9D"/>
    <w:rsid w:val="536E5A80"/>
    <w:rsid w:val="53721D2E"/>
    <w:rsid w:val="5373753A"/>
    <w:rsid w:val="53740BBC"/>
    <w:rsid w:val="53764934"/>
    <w:rsid w:val="537806AC"/>
    <w:rsid w:val="537868FE"/>
    <w:rsid w:val="537B63EF"/>
    <w:rsid w:val="538232D9"/>
    <w:rsid w:val="53837051"/>
    <w:rsid w:val="5385101B"/>
    <w:rsid w:val="538A26DB"/>
    <w:rsid w:val="538A6632"/>
    <w:rsid w:val="538D4809"/>
    <w:rsid w:val="538F6092"/>
    <w:rsid w:val="53986FA1"/>
    <w:rsid w:val="539B25ED"/>
    <w:rsid w:val="539D601D"/>
    <w:rsid w:val="53A04DAC"/>
    <w:rsid w:val="53A05E55"/>
    <w:rsid w:val="53A07C03"/>
    <w:rsid w:val="53A45945"/>
    <w:rsid w:val="53A771E4"/>
    <w:rsid w:val="53A96AB8"/>
    <w:rsid w:val="53AC0356"/>
    <w:rsid w:val="53B079A2"/>
    <w:rsid w:val="53B12890"/>
    <w:rsid w:val="53B13BBE"/>
    <w:rsid w:val="53BF0089"/>
    <w:rsid w:val="53BF452D"/>
    <w:rsid w:val="53C41B44"/>
    <w:rsid w:val="53C47D96"/>
    <w:rsid w:val="53C51418"/>
    <w:rsid w:val="53C5246A"/>
    <w:rsid w:val="53C71634"/>
    <w:rsid w:val="53C77F81"/>
    <w:rsid w:val="53CC09F8"/>
    <w:rsid w:val="53CE651E"/>
    <w:rsid w:val="53CF54F2"/>
    <w:rsid w:val="53D22156"/>
    <w:rsid w:val="53DA3115"/>
    <w:rsid w:val="53DC242E"/>
    <w:rsid w:val="53DD2C05"/>
    <w:rsid w:val="53E144A4"/>
    <w:rsid w:val="53E45D42"/>
    <w:rsid w:val="53E45EA3"/>
    <w:rsid w:val="53EB36A7"/>
    <w:rsid w:val="53EE4E13"/>
    <w:rsid w:val="53F1045F"/>
    <w:rsid w:val="53F64465"/>
    <w:rsid w:val="53F817ED"/>
    <w:rsid w:val="53FD5056"/>
    <w:rsid w:val="53FF0DCE"/>
    <w:rsid w:val="54014B46"/>
    <w:rsid w:val="540168F4"/>
    <w:rsid w:val="54040192"/>
    <w:rsid w:val="54061D8D"/>
    <w:rsid w:val="54063F0A"/>
    <w:rsid w:val="54093709"/>
    <w:rsid w:val="540939FA"/>
    <w:rsid w:val="540C7047"/>
    <w:rsid w:val="540D20E2"/>
    <w:rsid w:val="54102FDB"/>
    <w:rsid w:val="54166797"/>
    <w:rsid w:val="541D3002"/>
    <w:rsid w:val="542425E2"/>
    <w:rsid w:val="54271E31"/>
    <w:rsid w:val="542919A7"/>
    <w:rsid w:val="542B3971"/>
    <w:rsid w:val="542B571F"/>
    <w:rsid w:val="542E4991"/>
    <w:rsid w:val="54302D35"/>
    <w:rsid w:val="54305A86"/>
    <w:rsid w:val="543071D9"/>
    <w:rsid w:val="54316AAD"/>
    <w:rsid w:val="5435127D"/>
    <w:rsid w:val="543C3DD0"/>
    <w:rsid w:val="543C5B7E"/>
    <w:rsid w:val="544113E6"/>
    <w:rsid w:val="54444A33"/>
    <w:rsid w:val="54482775"/>
    <w:rsid w:val="54484523"/>
    <w:rsid w:val="544E58B1"/>
    <w:rsid w:val="54516500"/>
    <w:rsid w:val="54517DF8"/>
    <w:rsid w:val="545473CA"/>
    <w:rsid w:val="54556C40"/>
    <w:rsid w:val="545A24A8"/>
    <w:rsid w:val="54624EB9"/>
    <w:rsid w:val="5463135D"/>
    <w:rsid w:val="54640C31"/>
    <w:rsid w:val="546724CF"/>
    <w:rsid w:val="54703A7A"/>
    <w:rsid w:val="54741EC7"/>
    <w:rsid w:val="54754BEC"/>
    <w:rsid w:val="5477021B"/>
    <w:rsid w:val="547C67AB"/>
    <w:rsid w:val="547E09F5"/>
    <w:rsid w:val="547F7730"/>
    <w:rsid w:val="548E5CAE"/>
    <w:rsid w:val="54917C49"/>
    <w:rsid w:val="54920562"/>
    <w:rsid w:val="54921C42"/>
    <w:rsid w:val="54931516"/>
    <w:rsid w:val="549332C4"/>
    <w:rsid w:val="54947768"/>
    <w:rsid w:val="549A036C"/>
    <w:rsid w:val="549F1A7B"/>
    <w:rsid w:val="54A454D1"/>
    <w:rsid w:val="54A6749B"/>
    <w:rsid w:val="54AC2F51"/>
    <w:rsid w:val="54AE00FE"/>
    <w:rsid w:val="54B13782"/>
    <w:rsid w:val="54B25E40"/>
    <w:rsid w:val="54B35714"/>
    <w:rsid w:val="54B61E08"/>
    <w:rsid w:val="54B716A8"/>
    <w:rsid w:val="54B73456"/>
    <w:rsid w:val="54BB183C"/>
    <w:rsid w:val="54C70CF8"/>
    <w:rsid w:val="54C81203"/>
    <w:rsid w:val="54C87412"/>
    <w:rsid w:val="54CB6F02"/>
    <w:rsid w:val="54CC5154"/>
    <w:rsid w:val="54CD2C7A"/>
    <w:rsid w:val="54CD4A28"/>
    <w:rsid w:val="54CE266B"/>
    <w:rsid w:val="54CF3934"/>
    <w:rsid w:val="54D2203E"/>
    <w:rsid w:val="54D23DEC"/>
    <w:rsid w:val="54D50C36"/>
    <w:rsid w:val="54D77655"/>
    <w:rsid w:val="54D93EFE"/>
    <w:rsid w:val="54D9507B"/>
    <w:rsid w:val="54DC4C6B"/>
    <w:rsid w:val="54DE4E87"/>
    <w:rsid w:val="54E22DEA"/>
    <w:rsid w:val="54EF45FD"/>
    <w:rsid w:val="54F062A2"/>
    <w:rsid w:val="55020B76"/>
    <w:rsid w:val="55023F28"/>
    <w:rsid w:val="55052414"/>
    <w:rsid w:val="55067F3A"/>
    <w:rsid w:val="55083CB2"/>
    <w:rsid w:val="550A17D8"/>
    <w:rsid w:val="5511706B"/>
    <w:rsid w:val="551268DF"/>
    <w:rsid w:val="55175CA3"/>
    <w:rsid w:val="551E34D6"/>
    <w:rsid w:val="551E7032"/>
    <w:rsid w:val="55256612"/>
    <w:rsid w:val="5527238A"/>
    <w:rsid w:val="55275A0F"/>
    <w:rsid w:val="55295C69"/>
    <w:rsid w:val="55304C19"/>
    <w:rsid w:val="553255F1"/>
    <w:rsid w:val="553B5E36"/>
    <w:rsid w:val="553E22FA"/>
    <w:rsid w:val="553E5926"/>
    <w:rsid w:val="5542457E"/>
    <w:rsid w:val="55434CEA"/>
    <w:rsid w:val="55452810"/>
    <w:rsid w:val="55456CB4"/>
    <w:rsid w:val="554967A4"/>
    <w:rsid w:val="554A030E"/>
    <w:rsid w:val="554A7E27"/>
    <w:rsid w:val="554C3B9F"/>
    <w:rsid w:val="554C7D7D"/>
    <w:rsid w:val="554E24EC"/>
    <w:rsid w:val="555111B5"/>
    <w:rsid w:val="55560EC1"/>
    <w:rsid w:val="55572544"/>
    <w:rsid w:val="555869E7"/>
    <w:rsid w:val="555C7B5A"/>
    <w:rsid w:val="556422EE"/>
    <w:rsid w:val="55652EB2"/>
    <w:rsid w:val="556741A0"/>
    <w:rsid w:val="55684751"/>
    <w:rsid w:val="55693404"/>
    <w:rsid w:val="556C09CA"/>
    <w:rsid w:val="556C2493"/>
    <w:rsid w:val="557032EB"/>
    <w:rsid w:val="557355CF"/>
    <w:rsid w:val="55760C1C"/>
    <w:rsid w:val="55767585"/>
    <w:rsid w:val="5577646D"/>
    <w:rsid w:val="557931CB"/>
    <w:rsid w:val="55794BB0"/>
    <w:rsid w:val="5579695E"/>
    <w:rsid w:val="557B0928"/>
    <w:rsid w:val="557B33C0"/>
    <w:rsid w:val="557D644E"/>
    <w:rsid w:val="557E5D22"/>
    <w:rsid w:val="557F47C0"/>
    <w:rsid w:val="5587107B"/>
    <w:rsid w:val="558863EB"/>
    <w:rsid w:val="55911EF9"/>
    <w:rsid w:val="55915A56"/>
    <w:rsid w:val="55935C72"/>
    <w:rsid w:val="559519EA"/>
    <w:rsid w:val="559B4B26"/>
    <w:rsid w:val="559D43FA"/>
    <w:rsid w:val="559F4616"/>
    <w:rsid w:val="55A57753"/>
    <w:rsid w:val="55A90FF1"/>
    <w:rsid w:val="55AC6E9D"/>
    <w:rsid w:val="55AD05A3"/>
    <w:rsid w:val="55AF05D2"/>
    <w:rsid w:val="55B313A7"/>
    <w:rsid w:val="55B42837"/>
    <w:rsid w:val="55B47996"/>
    <w:rsid w:val="55B55F10"/>
    <w:rsid w:val="55BD1053"/>
    <w:rsid w:val="55C0458D"/>
    <w:rsid w:val="55C71477"/>
    <w:rsid w:val="55C73B6D"/>
    <w:rsid w:val="55C844F0"/>
    <w:rsid w:val="55C951EF"/>
    <w:rsid w:val="55CA0F67"/>
    <w:rsid w:val="55CC08C4"/>
    <w:rsid w:val="55CC1183"/>
    <w:rsid w:val="55CE5FAF"/>
    <w:rsid w:val="55CF47D0"/>
    <w:rsid w:val="55D05E26"/>
    <w:rsid w:val="55D1679A"/>
    <w:rsid w:val="55D63DB0"/>
    <w:rsid w:val="55D65B5E"/>
    <w:rsid w:val="55D7191A"/>
    <w:rsid w:val="55D87B28"/>
    <w:rsid w:val="55D909B9"/>
    <w:rsid w:val="55DA564E"/>
    <w:rsid w:val="55DB3175"/>
    <w:rsid w:val="55E11FCA"/>
    <w:rsid w:val="55E31575"/>
    <w:rsid w:val="55E42029"/>
    <w:rsid w:val="55E464CD"/>
    <w:rsid w:val="55E97640"/>
    <w:rsid w:val="55F04E72"/>
    <w:rsid w:val="55F06C20"/>
    <w:rsid w:val="55F10BEA"/>
    <w:rsid w:val="55F54D3B"/>
    <w:rsid w:val="55F61D5C"/>
    <w:rsid w:val="55FA184D"/>
    <w:rsid w:val="560162DD"/>
    <w:rsid w:val="56051FA0"/>
    <w:rsid w:val="560E3442"/>
    <w:rsid w:val="561072C2"/>
    <w:rsid w:val="561346BC"/>
    <w:rsid w:val="561C5C67"/>
    <w:rsid w:val="561D1AA7"/>
    <w:rsid w:val="56204D1B"/>
    <w:rsid w:val="56226FF5"/>
    <w:rsid w:val="56232843"/>
    <w:rsid w:val="562763BA"/>
    <w:rsid w:val="56292132"/>
    <w:rsid w:val="562A237D"/>
    <w:rsid w:val="562C598F"/>
    <w:rsid w:val="562C5B54"/>
    <w:rsid w:val="562D159C"/>
    <w:rsid w:val="562E70CC"/>
    <w:rsid w:val="563A60ED"/>
    <w:rsid w:val="563D3E2F"/>
    <w:rsid w:val="563F226F"/>
    <w:rsid w:val="5640122A"/>
    <w:rsid w:val="56407A11"/>
    <w:rsid w:val="56410EA1"/>
    <w:rsid w:val="56461469"/>
    <w:rsid w:val="56464A92"/>
    <w:rsid w:val="564B20A8"/>
    <w:rsid w:val="565166AD"/>
    <w:rsid w:val="565306E5"/>
    <w:rsid w:val="565432B3"/>
    <w:rsid w:val="565A05B8"/>
    <w:rsid w:val="565F437A"/>
    <w:rsid w:val="56665134"/>
    <w:rsid w:val="56680EAC"/>
    <w:rsid w:val="566E5D97"/>
    <w:rsid w:val="56725887"/>
    <w:rsid w:val="56761C39"/>
    <w:rsid w:val="56777341"/>
    <w:rsid w:val="56796828"/>
    <w:rsid w:val="567B233F"/>
    <w:rsid w:val="567F7FA4"/>
    <w:rsid w:val="56814E3E"/>
    <w:rsid w:val="5681771D"/>
    <w:rsid w:val="56876E58"/>
    <w:rsid w:val="568F468B"/>
    <w:rsid w:val="5697353F"/>
    <w:rsid w:val="569752EE"/>
    <w:rsid w:val="56982E14"/>
    <w:rsid w:val="56993F21"/>
    <w:rsid w:val="569E667C"/>
    <w:rsid w:val="56A27718"/>
    <w:rsid w:val="56A54D17"/>
    <w:rsid w:val="56AC7030"/>
    <w:rsid w:val="56B20379"/>
    <w:rsid w:val="56B23ED5"/>
    <w:rsid w:val="56B37C4E"/>
    <w:rsid w:val="56B51C18"/>
    <w:rsid w:val="56B714EC"/>
    <w:rsid w:val="56BC2FA6"/>
    <w:rsid w:val="56BC6214"/>
    <w:rsid w:val="56BD287A"/>
    <w:rsid w:val="56C836F9"/>
    <w:rsid w:val="56C854A7"/>
    <w:rsid w:val="56CA56C3"/>
    <w:rsid w:val="56CD0D0F"/>
    <w:rsid w:val="56CD6F61"/>
    <w:rsid w:val="56CF1FD9"/>
    <w:rsid w:val="56CF2CD9"/>
    <w:rsid w:val="56D20B13"/>
    <w:rsid w:val="56D54068"/>
    <w:rsid w:val="56D57BC4"/>
    <w:rsid w:val="56D95906"/>
    <w:rsid w:val="56DA342C"/>
    <w:rsid w:val="56DC53F6"/>
    <w:rsid w:val="56DE2F1C"/>
    <w:rsid w:val="56E04EE6"/>
    <w:rsid w:val="56E216D1"/>
    <w:rsid w:val="56E85B49"/>
    <w:rsid w:val="56ED13B1"/>
    <w:rsid w:val="56F16594"/>
    <w:rsid w:val="56F269C8"/>
    <w:rsid w:val="56F42740"/>
    <w:rsid w:val="56F91B04"/>
    <w:rsid w:val="56FB3ACE"/>
    <w:rsid w:val="57016C0B"/>
    <w:rsid w:val="57034731"/>
    <w:rsid w:val="570566FB"/>
    <w:rsid w:val="57087F99"/>
    <w:rsid w:val="570A5ABF"/>
    <w:rsid w:val="570B1838"/>
    <w:rsid w:val="570F757A"/>
    <w:rsid w:val="57106E4E"/>
    <w:rsid w:val="5712700E"/>
    <w:rsid w:val="57184072"/>
    <w:rsid w:val="57253D43"/>
    <w:rsid w:val="572A6725"/>
    <w:rsid w:val="572B451F"/>
    <w:rsid w:val="572F19CA"/>
    <w:rsid w:val="572F3778"/>
    <w:rsid w:val="57315742"/>
    <w:rsid w:val="573174F0"/>
    <w:rsid w:val="57364B06"/>
    <w:rsid w:val="57390153"/>
    <w:rsid w:val="57396991"/>
    <w:rsid w:val="573D370B"/>
    <w:rsid w:val="57405985"/>
    <w:rsid w:val="57407733"/>
    <w:rsid w:val="574134AB"/>
    <w:rsid w:val="574216FD"/>
    <w:rsid w:val="57437223"/>
    <w:rsid w:val="574A05B2"/>
    <w:rsid w:val="574B60D8"/>
    <w:rsid w:val="57534858"/>
    <w:rsid w:val="575371C8"/>
    <w:rsid w:val="57566F57"/>
    <w:rsid w:val="57574A7D"/>
    <w:rsid w:val="575C534A"/>
    <w:rsid w:val="57600001"/>
    <w:rsid w:val="57603931"/>
    <w:rsid w:val="57623B4D"/>
    <w:rsid w:val="57652917"/>
    <w:rsid w:val="57686C8A"/>
    <w:rsid w:val="576E2576"/>
    <w:rsid w:val="576E3115"/>
    <w:rsid w:val="576E6AFE"/>
    <w:rsid w:val="5770468E"/>
    <w:rsid w:val="57723665"/>
    <w:rsid w:val="57770C7B"/>
    <w:rsid w:val="57782CA7"/>
    <w:rsid w:val="57790E97"/>
    <w:rsid w:val="577C44E3"/>
    <w:rsid w:val="577D0987"/>
    <w:rsid w:val="577D3248"/>
    <w:rsid w:val="577D4062"/>
    <w:rsid w:val="577E64AD"/>
    <w:rsid w:val="57802226"/>
    <w:rsid w:val="5780751F"/>
    <w:rsid w:val="57835EA0"/>
    <w:rsid w:val="578515EA"/>
    <w:rsid w:val="57862E29"/>
    <w:rsid w:val="57875362"/>
    <w:rsid w:val="578A6E9D"/>
    <w:rsid w:val="578C0BCA"/>
    <w:rsid w:val="579655A5"/>
    <w:rsid w:val="579D4B86"/>
    <w:rsid w:val="579F66F9"/>
    <w:rsid w:val="57A35F14"/>
    <w:rsid w:val="57B0377C"/>
    <w:rsid w:val="57B179A7"/>
    <w:rsid w:val="57B40121"/>
    <w:rsid w:val="57B43C7D"/>
    <w:rsid w:val="57CB2D12"/>
    <w:rsid w:val="57D63BF4"/>
    <w:rsid w:val="57D8796C"/>
    <w:rsid w:val="57DD1426"/>
    <w:rsid w:val="57DE10B6"/>
    <w:rsid w:val="57E04A72"/>
    <w:rsid w:val="57E207EA"/>
    <w:rsid w:val="57E26A3C"/>
    <w:rsid w:val="57E72C95"/>
    <w:rsid w:val="57E83927"/>
    <w:rsid w:val="57E9601D"/>
    <w:rsid w:val="57FA1966"/>
    <w:rsid w:val="57FB7AFE"/>
    <w:rsid w:val="58003366"/>
    <w:rsid w:val="58006EC2"/>
    <w:rsid w:val="5804270C"/>
    <w:rsid w:val="58056B37"/>
    <w:rsid w:val="58070251"/>
    <w:rsid w:val="580B5F93"/>
    <w:rsid w:val="580F7106"/>
    <w:rsid w:val="58112E7E"/>
    <w:rsid w:val="58133665"/>
    <w:rsid w:val="58163104"/>
    <w:rsid w:val="581B1F4E"/>
    <w:rsid w:val="58226E39"/>
    <w:rsid w:val="58240E03"/>
    <w:rsid w:val="58254B7B"/>
    <w:rsid w:val="58256929"/>
    <w:rsid w:val="5829466B"/>
    <w:rsid w:val="583067EF"/>
    <w:rsid w:val="58351494"/>
    <w:rsid w:val="58366D88"/>
    <w:rsid w:val="583D1EC5"/>
    <w:rsid w:val="58443253"/>
    <w:rsid w:val="58450D79"/>
    <w:rsid w:val="58474AF1"/>
    <w:rsid w:val="5847689F"/>
    <w:rsid w:val="58482C7F"/>
    <w:rsid w:val="584C5771"/>
    <w:rsid w:val="584C64D4"/>
    <w:rsid w:val="584D3288"/>
    <w:rsid w:val="584D4CEE"/>
    <w:rsid w:val="584E40D2"/>
    <w:rsid w:val="58535244"/>
    <w:rsid w:val="5855720E"/>
    <w:rsid w:val="58565659"/>
    <w:rsid w:val="58573625"/>
    <w:rsid w:val="58586CFE"/>
    <w:rsid w:val="585B5A65"/>
    <w:rsid w:val="585D2567"/>
    <w:rsid w:val="585F3F16"/>
    <w:rsid w:val="58670CF0"/>
    <w:rsid w:val="586A6A88"/>
    <w:rsid w:val="586C27AA"/>
    <w:rsid w:val="586C6306"/>
    <w:rsid w:val="58704048"/>
    <w:rsid w:val="58710E2D"/>
    <w:rsid w:val="58782EFD"/>
    <w:rsid w:val="587A0A23"/>
    <w:rsid w:val="58842427"/>
    <w:rsid w:val="588440C7"/>
    <w:rsid w:val="588850A8"/>
    <w:rsid w:val="588C69A8"/>
    <w:rsid w:val="58920462"/>
    <w:rsid w:val="5895585D"/>
    <w:rsid w:val="589715D5"/>
    <w:rsid w:val="589A2E73"/>
    <w:rsid w:val="589C308F"/>
    <w:rsid w:val="58A77AFF"/>
    <w:rsid w:val="58A837E2"/>
    <w:rsid w:val="58A957AC"/>
    <w:rsid w:val="58AB5080"/>
    <w:rsid w:val="58AB6E2E"/>
    <w:rsid w:val="58AC2BA6"/>
    <w:rsid w:val="58AD0DF8"/>
    <w:rsid w:val="58B02697"/>
    <w:rsid w:val="58B32187"/>
    <w:rsid w:val="58B702DB"/>
    <w:rsid w:val="58BA31BA"/>
    <w:rsid w:val="58BC07AC"/>
    <w:rsid w:val="58BC728D"/>
    <w:rsid w:val="58BE6386"/>
    <w:rsid w:val="58C104BC"/>
    <w:rsid w:val="58C425E6"/>
    <w:rsid w:val="58C61EBA"/>
    <w:rsid w:val="58C77D96"/>
    <w:rsid w:val="58C919AA"/>
    <w:rsid w:val="58C93758"/>
    <w:rsid w:val="58C93772"/>
    <w:rsid w:val="58CA7BFC"/>
    <w:rsid w:val="58CE6FC1"/>
    <w:rsid w:val="58D07DF4"/>
    <w:rsid w:val="58D2260D"/>
    <w:rsid w:val="58D267BC"/>
    <w:rsid w:val="58D26AB1"/>
    <w:rsid w:val="58D97E3F"/>
    <w:rsid w:val="58DE7204"/>
    <w:rsid w:val="58E10AA2"/>
    <w:rsid w:val="58E32A6C"/>
    <w:rsid w:val="58E40592"/>
    <w:rsid w:val="58ED38EB"/>
    <w:rsid w:val="58F447DB"/>
    <w:rsid w:val="58FB7741"/>
    <w:rsid w:val="58FD5D9D"/>
    <w:rsid w:val="59034B0E"/>
    <w:rsid w:val="59060509"/>
    <w:rsid w:val="590617C1"/>
    <w:rsid w:val="590649AC"/>
    <w:rsid w:val="59066C26"/>
    <w:rsid w:val="590824D3"/>
    <w:rsid w:val="590B1FC3"/>
    <w:rsid w:val="590B22B6"/>
    <w:rsid w:val="590B3D71"/>
    <w:rsid w:val="590D7AE9"/>
    <w:rsid w:val="59103135"/>
    <w:rsid w:val="591075D9"/>
    <w:rsid w:val="59123351"/>
    <w:rsid w:val="59140E77"/>
    <w:rsid w:val="59162E41"/>
    <w:rsid w:val="591A7294"/>
    <w:rsid w:val="591B63F2"/>
    <w:rsid w:val="591F781C"/>
    <w:rsid w:val="59213594"/>
    <w:rsid w:val="59221701"/>
    <w:rsid w:val="592D1D9B"/>
    <w:rsid w:val="592D1F39"/>
    <w:rsid w:val="593C217C"/>
    <w:rsid w:val="593E58F0"/>
    <w:rsid w:val="593F3A1A"/>
    <w:rsid w:val="594159E5"/>
    <w:rsid w:val="59464DA9"/>
    <w:rsid w:val="5947124D"/>
    <w:rsid w:val="59484FC5"/>
    <w:rsid w:val="594D4389"/>
    <w:rsid w:val="594E3CA4"/>
    <w:rsid w:val="5955323E"/>
    <w:rsid w:val="595C45CC"/>
    <w:rsid w:val="596733BB"/>
    <w:rsid w:val="59680B5D"/>
    <w:rsid w:val="596A4F3B"/>
    <w:rsid w:val="596D67DA"/>
    <w:rsid w:val="596F26C8"/>
    <w:rsid w:val="596F4300"/>
    <w:rsid w:val="596F510D"/>
    <w:rsid w:val="5971703E"/>
    <w:rsid w:val="59723DF0"/>
    <w:rsid w:val="597436C4"/>
    <w:rsid w:val="597631FE"/>
    <w:rsid w:val="5976568E"/>
    <w:rsid w:val="59766ED3"/>
    <w:rsid w:val="59777658"/>
    <w:rsid w:val="597D18F3"/>
    <w:rsid w:val="597D4C6F"/>
    <w:rsid w:val="597E4543"/>
    <w:rsid w:val="5980475F"/>
    <w:rsid w:val="59822285"/>
    <w:rsid w:val="59843637"/>
    <w:rsid w:val="59851D75"/>
    <w:rsid w:val="59861649"/>
    <w:rsid w:val="59883613"/>
    <w:rsid w:val="598B6C60"/>
    <w:rsid w:val="5991500E"/>
    <w:rsid w:val="599B50F5"/>
    <w:rsid w:val="599C2C1B"/>
    <w:rsid w:val="599F37FD"/>
    <w:rsid w:val="59A321FB"/>
    <w:rsid w:val="59A55F73"/>
    <w:rsid w:val="59A65848"/>
    <w:rsid w:val="59A73A9A"/>
    <w:rsid w:val="59AA17DC"/>
    <w:rsid w:val="59AD307A"/>
    <w:rsid w:val="59B47F65"/>
    <w:rsid w:val="59B57CBC"/>
    <w:rsid w:val="59B9557B"/>
    <w:rsid w:val="59BC4885"/>
    <w:rsid w:val="59BD660D"/>
    <w:rsid w:val="59BF753B"/>
    <w:rsid w:val="59C14B78"/>
    <w:rsid w:val="59C21551"/>
    <w:rsid w:val="59C77C52"/>
    <w:rsid w:val="59CF2FF0"/>
    <w:rsid w:val="59CF4D9E"/>
    <w:rsid w:val="59D2663D"/>
    <w:rsid w:val="59D93E6F"/>
    <w:rsid w:val="59DB1995"/>
    <w:rsid w:val="59DB7BE7"/>
    <w:rsid w:val="59DE1886"/>
    <w:rsid w:val="59E00D5A"/>
    <w:rsid w:val="59E06FAB"/>
    <w:rsid w:val="59E208A7"/>
    <w:rsid w:val="59E35ED0"/>
    <w:rsid w:val="59E940B2"/>
    <w:rsid w:val="59EF5395"/>
    <w:rsid w:val="59EF5441"/>
    <w:rsid w:val="59EF71EF"/>
    <w:rsid w:val="59F1740B"/>
    <w:rsid w:val="59F20A8D"/>
    <w:rsid w:val="59F36CDF"/>
    <w:rsid w:val="59F44805"/>
    <w:rsid w:val="59F51775"/>
    <w:rsid w:val="59F519C7"/>
    <w:rsid w:val="59F91E1B"/>
    <w:rsid w:val="59FA28A1"/>
    <w:rsid w:val="59FC3C55"/>
    <w:rsid w:val="5A0013FC"/>
    <w:rsid w:val="5A0031AA"/>
    <w:rsid w:val="5A04713E"/>
    <w:rsid w:val="5A0A4028"/>
    <w:rsid w:val="5A0E1D6B"/>
    <w:rsid w:val="5A0F163F"/>
    <w:rsid w:val="5A1350B0"/>
    <w:rsid w:val="5A1530F9"/>
    <w:rsid w:val="5A1D0200"/>
    <w:rsid w:val="5A1D1FAE"/>
    <w:rsid w:val="5A250854"/>
    <w:rsid w:val="5A2570B4"/>
    <w:rsid w:val="5A2A46CB"/>
    <w:rsid w:val="5A344EA3"/>
    <w:rsid w:val="5A3572F7"/>
    <w:rsid w:val="5A3617D9"/>
    <w:rsid w:val="5A3665E1"/>
    <w:rsid w:val="5A366BCB"/>
    <w:rsid w:val="5A380B96"/>
    <w:rsid w:val="5A382944"/>
    <w:rsid w:val="5A4532B2"/>
    <w:rsid w:val="5A461504"/>
    <w:rsid w:val="5A47527D"/>
    <w:rsid w:val="5A47702B"/>
    <w:rsid w:val="5A4B6B1B"/>
    <w:rsid w:val="5A4D76B3"/>
    <w:rsid w:val="5A4F7C8D"/>
    <w:rsid w:val="5A513A05"/>
    <w:rsid w:val="5A5359CF"/>
    <w:rsid w:val="5A5654C0"/>
    <w:rsid w:val="5A601E9A"/>
    <w:rsid w:val="5A643739"/>
    <w:rsid w:val="5A647BDD"/>
    <w:rsid w:val="5A6776CD"/>
    <w:rsid w:val="5A6B1B59"/>
    <w:rsid w:val="5A6B2D19"/>
    <w:rsid w:val="5A701946"/>
    <w:rsid w:val="5A7046F8"/>
    <w:rsid w:val="5A715E71"/>
    <w:rsid w:val="5A7B0A82"/>
    <w:rsid w:val="5A7C4F26"/>
    <w:rsid w:val="5A845CF1"/>
    <w:rsid w:val="5A8913F1"/>
    <w:rsid w:val="5A8935B7"/>
    <w:rsid w:val="5A8A2017"/>
    <w:rsid w:val="5A8D7133"/>
    <w:rsid w:val="5A902780"/>
    <w:rsid w:val="5A913507"/>
    <w:rsid w:val="5A99726A"/>
    <w:rsid w:val="5A9A53AC"/>
    <w:rsid w:val="5A9D2A59"/>
    <w:rsid w:val="5A9F6E67"/>
    <w:rsid w:val="5AA1498D"/>
    <w:rsid w:val="5AA24261"/>
    <w:rsid w:val="5AAB1367"/>
    <w:rsid w:val="5AAC584A"/>
    <w:rsid w:val="5AAD1584"/>
    <w:rsid w:val="5ABA5A4E"/>
    <w:rsid w:val="5AC10B8B"/>
    <w:rsid w:val="5AC60A34"/>
    <w:rsid w:val="5AC62645"/>
    <w:rsid w:val="5ACB37B8"/>
    <w:rsid w:val="5ACE14FA"/>
    <w:rsid w:val="5ACF1675"/>
    <w:rsid w:val="5AD1390C"/>
    <w:rsid w:val="5AD240D0"/>
    <w:rsid w:val="5AD3266C"/>
    <w:rsid w:val="5AD54636"/>
    <w:rsid w:val="5AD73617"/>
    <w:rsid w:val="5AD92379"/>
    <w:rsid w:val="5ADB4394"/>
    <w:rsid w:val="5ADF54B5"/>
    <w:rsid w:val="5AE14981"/>
    <w:rsid w:val="5AE34FA5"/>
    <w:rsid w:val="5AE445AB"/>
    <w:rsid w:val="5AE57473"/>
    <w:rsid w:val="5AE825BC"/>
    <w:rsid w:val="5AED1980"/>
    <w:rsid w:val="5AEF41DC"/>
    <w:rsid w:val="5AF008CF"/>
    <w:rsid w:val="5AF078D1"/>
    <w:rsid w:val="5AF251E8"/>
    <w:rsid w:val="5AF365A6"/>
    <w:rsid w:val="5AF56A87"/>
    <w:rsid w:val="5AF7469F"/>
    <w:rsid w:val="5AFB7C61"/>
    <w:rsid w:val="5AFD15E4"/>
    <w:rsid w:val="5AFF16B3"/>
    <w:rsid w:val="5AFF7905"/>
    <w:rsid w:val="5B04316E"/>
    <w:rsid w:val="5B060C94"/>
    <w:rsid w:val="5B0867BA"/>
    <w:rsid w:val="5B0D3DD0"/>
    <w:rsid w:val="5B0E4CE8"/>
    <w:rsid w:val="5B150ED7"/>
    <w:rsid w:val="5B15555B"/>
    <w:rsid w:val="5B16743A"/>
    <w:rsid w:val="5B174656"/>
    <w:rsid w:val="5B18349B"/>
    <w:rsid w:val="5B1E5FDD"/>
    <w:rsid w:val="5B1F1D55"/>
    <w:rsid w:val="5B2058CD"/>
    <w:rsid w:val="5B21215C"/>
    <w:rsid w:val="5B231356"/>
    <w:rsid w:val="5B231846"/>
    <w:rsid w:val="5B2348F0"/>
    <w:rsid w:val="5B2863F4"/>
    <w:rsid w:val="5B295620"/>
    <w:rsid w:val="5B2A3D99"/>
    <w:rsid w:val="5B2A416F"/>
    <w:rsid w:val="5B2D6220"/>
    <w:rsid w:val="5B303F63"/>
    <w:rsid w:val="5B305D11"/>
    <w:rsid w:val="5B33135D"/>
    <w:rsid w:val="5B340130"/>
    <w:rsid w:val="5B340651"/>
    <w:rsid w:val="5B3475AF"/>
    <w:rsid w:val="5B37709F"/>
    <w:rsid w:val="5B394BC5"/>
    <w:rsid w:val="5B3D3F8A"/>
    <w:rsid w:val="5B413A7A"/>
    <w:rsid w:val="5B427303"/>
    <w:rsid w:val="5B5C08B4"/>
    <w:rsid w:val="5B5C6B06"/>
    <w:rsid w:val="5B5F2152"/>
    <w:rsid w:val="5B613BBD"/>
    <w:rsid w:val="5B61411C"/>
    <w:rsid w:val="5B637E94"/>
    <w:rsid w:val="5B687259"/>
    <w:rsid w:val="5B6D0D13"/>
    <w:rsid w:val="5B6D2AC1"/>
    <w:rsid w:val="5B745BFD"/>
    <w:rsid w:val="5B761E9C"/>
    <w:rsid w:val="5B7756EE"/>
    <w:rsid w:val="5B7857A8"/>
    <w:rsid w:val="5B7B3430"/>
    <w:rsid w:val="5B7C2D04"/>
    <w:rsid w:val="5B7C71A8"/>
    <w:rsid w:val="5B8322E4"/>
    <w:rsid w:val="5B8A5421"/>
    <w:rsid w:val="5B8A78EA"/>
    <w:rsid w:val="5B8C2D50"/>
    <w:rsid w:val="5B8D4F11"/>
    <w:rsid w:val="5B8D6CBF"/>
    <w:rsid w:val="5B8E56FB"/>
    <w:rsid w:val="5B915EEE"/>
    <w:rsid w:val="5B9242D5"/>
    <w:rsid w:val="5B9444F1"/>
    <w:rsid w:val="5B962018"/>
    <w:rsid w:val="5B981FE8"/>
    <w:rsid w:val="5B9B13DC"/>
    <w:rsid w:val="5BA04C44"/>
    <w:rsid w:val="5BA364E3"/>
    <w:rsid w:val="5BAC2376"/>
    <w:rsid w:val="5BAD7361"/>
    <w:rsid w:val="5BB436C1"/>
    <w:rsid w:val="5BBD4F0B"/>
    <w:rsid w:val="5BBE331C"/>
    <w:rsid w:val="5BBF7D40"/>
    <w:rsid w:val="5BC07095"/>
    <w:rsid w:val="5BC70423"/>
    <w:rsid w:val="5BC92803"/>
    <w:rsid w:val="5BD33445"/>
    <w:rsid w:val="5BDD5DA4"/>
    <w:rsid w:val="5BDE39BF"/>
    <w:rsid w:val="5BE2525D"/>
    <w:rsid w:val="5BEA7272"/>
    <w:rsid w:val="5BEB0156"/>
    <w:rsid w:val="5BFA246A"/>
    <w:rsid w:val="5BFB1E7B"/>
    <w:rsid w:val="5C0056E3"/>
    <w:rsid w:val="5C073450"/>
    <w:rsid w:val="5C084598"/>
    <w:rsid w:val="5C0A0310"/>
    <w:rsid w:val="5C0E0CC2"/>
    <w:rsid w:val="5C0F3B78"/>
    <w:rsid w:val="5C1A24BE"/>
    <w:rsid w:val="5C1D6295"/>
    <w:rsid w:val="5C1E200D"/>
    <w:rsid w:val="5C217E2B"/>
    <w:rsid w:val="5C2238AB"/>
    <w:rsid w:val="5C381321"/>
    <w:rsid w:val="5C384E7D"/>
    <w:rsid w:val="5C392AD6"/>
    <w:rsid w:val="5C3D6937"/>
    <w:rsid w:val="5C430981"/>
    <w:rsid w:val="5C473312"/>
    <w:rsid w:val="5C4750C0"/>
    <w:rsid w:val="5C4837B2"/>
    <w:rsid w:val="5C4A4BB0"/>
    <w:rsid w:val="5C4B6CC8"/>
    <w:rsid w:val="5C4C26D6"/>
    <w:rsid w:val="5C4E0C1B"/>
    <w:rsid w:val="5C4E28F2"/>
    <w:rsid w:val="5C58551F"/>
    <w:rsid w:val="5C5B500F"/>
    <w:rsid w:val="5C5B6DBD"/>
    <w:rsid w:val="5C5D2B35"/>
    <w:rsid w:val="5C643EC4"/>
    <w:rsid w:val="5C673B45"/>
    <w:rsid w:val="5C693288"/>
    <w:rsid w:val="5C69772C"/>
    <w:rsid w:val="5C6A5252"/>
    <w:rsid w:val="5C6B60E0"/>
    <w:rsid w:val="5C6E089F"/>
    <w:rsid w:val="5C706FAD"/>
    <w:rsid w:val="5C725121"/>
    <w:rsid w:val="5C735EB5"/>
    <w:rsid w:val="5C761E49"/>
    <w:rsid w:val="5C7A36E7"/>
    <w:rsid w:val="5C7B276E"/>
    <w:rsid w:val="5C8207EE"/>
    <w:rsid w:val="5C8C51C9"/>
    <w:rsid w:val="5C8C6F77"/>
    <w:rsid w:val="5C930305"/>
    <w:rsid w:val="5C9347A9"/>
    <w:rsid w:val="5C966047"/>
    <w:rsid w:val="5C9A1694"/>
    <w:rsid w:val="5CA02A22"/>
    <w:rsid w:val="5CA4759E"/>
    <w:rsid w:val="5CAA3CE0"/>
    <w:rsid w:val="5CAC13C7"/>
    <w:rsid w:val="5CB00D05"/>
    <w:rsid w:val="5CB00EB7"/>
    <w:rsid w:val="5CB5471F"/>
    <w:rsid w:val="5CB87D6C"/>
    <w:rsid w:val="5CBC5AAE"/>
    <w:rsid w:val="5CBD1826"/>
    <w:rsid w:val="5CC10AD7"/>
    <w:rsid w:val="5CC83DC7"/>
    <w:rsid w:val="5CC9164A"/>
    <w:rsid w:val="5CCE758F"/>
    <w:rsid w:val="5CD01559"/>
    <w:rsid w:val="5CD665A4"/>
    <w:rsid w:val="5CDC4CC6"/>
    <w:rsid w:val="5CDC6150"/>
    <w:rsid w:val="5CE04865"/>
    <w:rsid w:val="5CE605C8"/>
    <w:rsid w:val="5CE648D9"/>
    <w:rsid w:val="5CE70651"/>
    <w:rsid w:val="5CEC55E4"/>
    <w:rsid w:val="5CEE19DF"/>
    <w:rsid w:val="5CF35248"/>
    <w:rsid w:val="5CF52D6E"/>
    <w:rsid w:val="5CF86C73"/>
    <w:rsid w:val="5CFA65D6"/>
    <w:rsid w:val="5D017965"/>
    <w:rsid w:val="5D064F7B"/>
    <w:rsid w:val="5D07484F"/>
    <w:rsid w:val="5D0D455B"/>
    <w:rsid w:val="5D0E3E30"/>
    <w:rsid w:val="5D150CA6"/>
    <w:rsid w:val="5D1C3105"/>
    <w:rsid w:val="5D276544"/>
    <w:rsid w:val="5D2D2508"/>
    <w:rsid w:val="5D310D37"/>
    <w:rsid w:val="5D323FC2"/>
    <w:rsid w:val="5D385794"/>
    <w:rsid w:val="5D3B7AC8"/>
    <w:rsid w:val="5D3C4DB4"/>
    <w:rsid w:val="5D3F66DF"/>
    <w:rsid w:val="5D4930BA"/>
    <w:rsid w:val="5D4B0BE0"/>
    <w:rsid w:val="5D4D2BAA"/>
    <w:rsid w:val="5D5850AB"/>
    <w:rsid w:val="5D5E4DB7"/>
    <w:rsid w:val="5D656145"/>
    <w:rsid w:val="5D6B74D4"/>
    <w:rsid w:val="5D6F0D72"/>
    <w:rsid w:val="5D74605B"/>
    <w:rsid w:val="5D74628C"/>
    <w:rsid w:val="5D746389"/>
    <w:rsid w:val="5D7739CD"/>
    <w:rsid w:val="5D7874FB"/>
    <w:rsid w:val="5D79399F"/>
    <w:rsid w:val="5D7E2D63"/>
    <w:rsid w:val="5D810FF7"/>
    <w:rsid w:val="5D8205DF"/>
    <w:rsid w:val="5D850596"/>
    <w:rsid w:val="5D8660BC"/>
    <w:rsid w:val="5D891708"/>
    <w:rsid w:val="5D8B31E3"/>
    <w:rsid w:val="5D8F5802"/>
    <w:rsid w:val="5D8F6D1E"/>
    <w:rsid w:val="5D900CE9"/>
    <w:rsid w:val="5D915A0E"/>
    <w:rsid w:val="5D92680F"/>
    <w:rsid w:val="5D972077"/>
    <w:rsid w:val="5D9B663A"/>
    <w:rsid w:val="5DA56542"/>
    <w:rsid w:val="5DA64068"/>
    <w:rsid w:val="5DA778E4"/>
    <w:rsid w:val="5DAB78D0"/>
    <w:rsid w:val="5DAC0C7A"/>
    <w:rsid w:val="5DAF116F"/>
    <w:rsid w:val="5DB03139"/>
    <w:rsid w:val="5DB449D7"/>
    <w:rsid w:val="5DB9327E"/>
    <w:rsid w:val="5DBC388C"/>
    <w:rsid w:val="5DC310BE"/>
    <w:rsid w:val="5DC42740"/>
    <w:rsid w:val="5DC472D4"/>
    <w:rsid w:val="5DCA7D57"/>
    <w:rsid w:val="5DCB3ACF"/>
    <w:rsid w:val="5DD047C5"/>
    <w:rsid w:val="5DD04BD2"/>
    <w:rsid w:val="5DD230AF"/>
    <w:rsid w:val="5DD24E5D"/>
    <w:rsid w:val="5DD40BD5"/>
    <w:rsid w:val="5DDA5439"/>
    <w:rsid w:val="5DDE1552"/>
    <w:rsid w:val="5DE030A9"/>
    <w:rsid w:val="5DE132F2"/>
    <w:rsid w:val="5DE30E18"/>
    <w:rsid w:val="5DE43D51"/>
    <w:rsid w:val="5DED7EE9"/>
    <w:rsid w:val="5DFB2606"/>
    <w:rsid w:val="5DFD6560"/>
    <w:rsid w:val="5E007C1C"/>
    <w:rsid w:val="5E0303E5"/>
    <w:rsid w:val="5E03770C"/>
    <w:rsid w:val="5E04332E"/>
    <w:rsid w:val="5E064172"/>
    <w:rsid w:val="5E091947"/>
    <w:rsid w:val="5E127950"/>
    <w:rsid w:val="5E1611EE"/>
    <w:rsid w:val="5E176D14"/>
    <w:rsid w:val="5E192A8C"/>
    <w:rsid w:val="5E1B2CA8"/>
    <w:rsid w:val="5E1B6804"/>
    <w:rsid w:val="5E1D124D"/>
    <w:rsid w:val="5E20206C"/>
    <w:rsid w:val="5E2077EC"/>
    <w:rsid w:val="5E211941"/>
    <w:rsid w:val="5E225DE5"/>
    <w:rsid w:val="5E27164D"/>
    <w:rsid w:val="5E2A4C99"/>
    <w:rsid w:val="5E2C0A11"/>
    <w:rsid w:val="5E2E3482"/>
    <w:rsid w:val="5E2E58FB"/>
    <w:rsid w:val="5E2F3662"/>
    <w:rsid w:val="5E3133D3"/>
    <w:rsid w:val="5E315F82"/>
    <w:rsid w:val="5E316028"/>
    <w:rsid w:val="5E345B18"/>
    <w:rsid w:val="5E355D93"/>
    <w:rsid w:val="5E39312E"/>
    <w:rsid w:val="5E3C677A"/>
    <w:rsid w:val="5E413D91"/>
    <w:rsid w:val="5E4A70E9"/>
    <w:rsid w:val="5E4B23E2"/>
    <w:rsid w:val="5E4D0988"/>
    <w:rsid w:val="5E4F4700"/>
    <w:rsid w:val="5E51429A"/>
    <w:rsid w:val="5E5B4E53"/>
    <w:rsid w:val="5E5D50D2"/>
    <w:rsid w:val="5E604B5F"/>
    <w:rsid w:val="5E6463FD"/>
    <w:rsid w:val="5E692E96"/>
    <w:rsid w:val="5E6A153A"/>
    <w:rsid w:val="5E6C3504"/>
    <w:rsid w:val="5E6E2DD8"/>
    <w:rsid w:val="5E736640"/>
    <w:rsid w:val="5E744166"/>
    <w:rsid w:val="5E766130"/>
    <w:rsid w:val="5E783C56"/>
    <w:rsid w:val="5E785D0C"/>
    <w:rsid w:val="5E7B7098"/>
    <w:rsid w:val="5E7E0E34"/>
    <w:rsid w:val="5E7F3237"/>
    <w:rsid w:val="5E802B0B"/>
    <w:rsid w:val="5E836CBA"/>
    <w:rsid w:val="5E856373"/>
    <w:rsid w:val="5E873E9A"/>
    <w:rsid w:val="5E895E64"/>
    <w:rsid w:val="5E8C7702"/>
    <w:rsid w:val="5E8E5228"/>
    <w:rsid w:val="5E8E6FD6"/>
    <w:rsid w:val="5E934044"/>
    <w:rsid w:val="5E937ADD"/>
    <w:rsid w:val="5E9D3AC8"/>
    <w:rsid w:val="5E9F11E3"/>
    <w:rsid w:val="5EA0677E"/>
    <w:rsid w:val="5EA762EA"/>
    <w:rsid w:val="5EA902B4"/>
    <w:rsid w:val="5EAB6C27"/>
    <w:rsid w:val="5EAE1426"/>
    <w:rsid w:val="5EAE58CA"/>
    <w:rsid w:val="5EAE6EA2"/>
    <w:rsid w:val="5EB047E0"/>
    <w:rsid w:val="5EB6652D"/>
    <w:rsid w:val="5EBA601D"/>
    <w:rsid w:val="5EBB1D95"/>
    <w:rsid w:val="5EBB2DEA"/>
    <w:rsid w:val="5EBB3B43"/>
    <w:rsid w:val="5EC37085"/>
    <w:rsid w:val="5EC549C2"/>
    <w:rsid w:val="5EC56770"/>
    <w:rsid w:val="5EC93EDE"/>
    <w:rsid w:val="5ECF75EF"/>
    <w:rsid w:val="5ED03A93"/>
    <w:rsid w:val="5ED05841"/>
    <w:rsid w:val="5ED15115"/>
    <w:rsid w:val="5ED510A9"/>
    <w:rsid w:val="5ED66BCF"/>
    <w:rsid w:val="5EE148FA"/>
    <w:rsid w:val="5EE17A4E"/>
    <w:rsid w:val="5EE25574"/>
    <w:rsid w:val="5EE370C8"/>
    <w:rsid w:val="5EE44E48"/>
    <w:rsid w:val="5EE72758"/>
    <w:rsid w:val="5EEB267A"/>
    <w:rsid w:val="5EEC63F2"/>
    <w:rsid w:val="5EF86B45"/>
    <w:rsid w:val="5EFD0600"/>
    <w:rsid w:val="5F011E9E"/>
    <w:rsid w:val="5F0454EA"/>
    <w:rsid w:val="5F08322C"/>
    <w:rsid w:val="5F096FA4"/>
    <w:rsid w:val="5F100333"/>
    <w:rsid w:val="5F105C3D"/>
    <w:rsid w:val="5F196760"/>
    <w:rsid w:val="5F1C0A86"/>
    <w:rsid w:val="5F1C6CD8"/>
    <w:rsid w:val="5F1D47FE"/>
    <w:rsid w:val="5F1F2324"/>
    <w:rsid w:val="5F2008E0"/>
    <w:rsid w:val="5F230066"/>
    <w:rsid w:val="5F295B30"/>
    <w:rsid w:val="5F296CFF"/>
    <w:rsid w:val="5F2D3AFE"/>
    <w:rsid w:val="5F2E484C"/>
    <w:rsid w:val="5F304531"/>
    <w:rsid w:val="5F3131CD"/>
    <w:rsid w:val="5F3202A9"/>
    <w:rsid w:val="5F322812"/>
    <w:rsid w:val="5F335DCF"/>
    <w:rsid w:val="5F3758C0"/>
    <w:rsid w:val="5F3A53B0"/>
    <w:rsid w:val="5F3F29C6"/>
    <w:rsid w:val="5F42509B"/>
    <w:rsid w:val="5F427DC1"/>
    <w:rsid w:val="5F443B39"/>
    <w:rsid w:val="5F4F0E5B"/>
    <w:rsid w:val="5F507610"/>
    <w:rsid w:val="5F5521EA"/>
    <w:rsid w:val="5F553F98"/>
    <w:rsid w:val="5F585836"/>
    <w:rsid w:val="5F5A15AE"/>
    <w:rsid w:val="5F5A6691"/>
    <w:rsid w:val="5F630463"/>
    <w:rsid w:val="5F6661A5"/>
    <w:rsid w:val="5F6830DC"/>
    <w:rsid w:val="5F6B7317"/>
    <w:rsid w:val="5F700DD2"/>
    <w:rsid w:val="5F720D05"/>
    <w:rsid w:val="5F724B4A"/>
    <w:rsid w:val="5F7E34EF"/>
    <w:rsid w:val="5F813C55"/>
    <w:rsid w:val="5F8623A3"/>
    <w:rsid w:val="5F880A83"/>
    <w:rsid w:val="5F881C77"/>
    <w:rsid w:val="5F8B6CA4"/>
    <w:rsid w:val="5F8E3006"/>
    <w:rsid w:val="5F8F52CB"/>
    <w:rsid w:val="5F944E8A"/>
    <w:rsid w:val="5F953183"/>
    <w:rsid w:val="5F9E5AEE"/>
    <w:rsid w:val="5F9E76ED"/>
    <w:rsid w:val="5FA016B7"/>
    <w:rsid w:val="5FA41DAE"/>
    <w:rsid w:val="5FA42829"/>
    <w:rsid w:val="5FA840C8"/>
    <w:rsid w:val="5FA97E40"/>
    <w:rsid w:val="5FAA1A62"/>
    <w:rsid w:val="5FAD3EA6"/>
    <w:rsid w:val="5FAE4872"/>
    <w:rsid w:val="5FAF541F"/>
    <w:rsid w:val="5FBA3DFB"/>
    <w:rsid w:val="5FBB4DA3"/>
    <w:rsid w:val="5FC1162D"/>
    <w:rsid w:val="5FC5111D"/>
    <w:rsid w:val="5FC71BCD"/>
    <w:rsid w:val="5FC8476A"/>
    <w:rsid w:val="5FCB6008"/>
    <w:rsid w:val="5FCF5AF8"/>
    <w:rsid w:val="5FD27396"/>
    <w:rsid w:val="5FD41360"/>
    <w:rsid w:val="5FD819E0"/>
    <w:rsid w:val="5FDE21DF"/>
    <w:rsid w:val="5FDE3F8D"/>
    <w:rsid w:val="5FE231E0"/>
    <w:rsid w:val="5FE33B7B"/>
    <w:rsid w:val="5FEA46E0"/>
    <w:rsid w:val="5FEB2206"/>
    <w:rsid w:val="5FEC289C"/>
    <w:rsid w:val="5FED5F7E"/>
    <w:rsid w:val="5FF437B1"/>
    <w:rsid w:val="5FF4730D"/>
    <w:rsid w:val="5FF53085"/>
    <w:rsid w:val="5FF5332F"/>
    <w:rsid w:val="5FF94438"/>
    <w:rsid w:val="5FFC2665"/>
    <w:rsid w:val="60011A2A"/>
    <w:rsid w:val="6008663C"/>
    <w:rsid w:val="600B0A7A"/>
    <w:rsid w:val="600F05EB"/>
    <w:rsid w:val="60171F35"/>
    <w:rsid w:val="60182CB2"/>
    <w:rsid w:val="60194FC5"/>
    <w:rsid w:val="60196D73"/>
    <w:rsid w:val="601B0D3D"/>
    <w:rsid w:val="601C6864"/>
    <w:rsid w:val="60310561"/>
    <w:rsid w:val="603242D9"/>
    <w:rsid w:val="60343BAD"/>
    <w:rsid w:val="60396BAB"/>
    <w:rsid w:val="60397415"/>
    <w:rsid w:val="603E4A2C"/>
    <w:rsid w:val="603F2C27"/>
    <w:rsid w:val="604069F6"/>
    <w:rsid w:val="60427C5D"/>
    <w:rsid w:val="60430294"/>
    <w:rsid w:val="604527A6"/>
    <w:rsid w:val="604751DF"/>
    <w:rsid w:val="604C0EF7"/>
    <w:rsid w:val="6051475F"/>
    <w:rsid w:val="60534318"/>
    <w:rsid w:val="60542072"/>
    <w:rsid w:val="605424A1"/>
    <w:rsid w:val="60567FC7"/>
    <w:rsid w:val="605E5565"/>
    <w:rsid w:val="606049A2"/>
    <w:rsid w:val="60636240"/>
    <w:rsid w:val="6066482C"/>
    <w:rsid w:val="60712CDB"/>
    <w:rsid w:val="60771CEC"/>
    <w:rsid w:val="607829F8"/>
    <w:rsid w:val="607A0954"/>
    <w:rsid w:val="607B17DC"/>
    <w:rsid w:val="607E321C"/>
    <w:rsid w:val="60805044"/>
    <w:rsid w:val="60822B6A"/>
    <w:rsid w:val="6082700E"/>
    <w:rsid w:val="608B2917"/>
    <w:rsid w:val="608E3692"/>
    <w:rsid w:val="608E7761"/>
    <w:rsid w:val="608F34D9"/>
    <w:rsid w:val="60912DAE"/>
    <w:rsid w:val="609603C4"/>
    <w:rsid w:val="60A056E7"/>
    <w:rsid w:val="60A2320D"/>
    <w:rsid w:val="60AA20C1"/>
    <w:rsid w:val="60AF592A"/>
    <w:rsid w:val="60B116A2"/>
    <w:rsid w:val="60B151FE"/>
    <w:rsid w:val="60B44CEE"/>
    <w:rsid w:val="60BD3BA3"/>
    <w:rsid w:val="60C413D5"/>
    <w:rsid w:val="60C427F5"/>
    <w:rsid w:val="60C546D6"/>
    <w:rsid w:val="60C56EFB"/>
    <w:rsid w:val="60C63929"/>
    <w:rsid w:val="60D64C64"/>
    <w:rsid w:val="60DB04CD"/>
    <w:rsid w:val="60DD4245"/>
    <w:rsid w:val="60DD5FF3"/>
    <w:rsid w:val="60E0197E"/>
    <w:rsid w:val="60E16353"/>
    <w:rsid w:val="60E43825"/>
    <w:rsid w:val="60EA6962"/>
    <w:rsid w:val="60EE6214"/>
    <w:rsid w:val="60EF6A3B"/>
    <w:rsid w:val="60F021CA"/>
    <w:rsid w:val="60F668A1"/>
    <w:rsid w:val="60FF240D"/>
    <w:rsid w:val="61001CE1"/>
    <w:rsid w:val="610213CF"/>
    <w:rsid w:val="61021EFD"/>
    <w:rsid w:val="6105554A"/>
    <w:rsid w:val="61112C38"/>
    <w:rsid w:val="611539DF"/>
    <w:rsid w:val="61167757"/>
    <w:rsid w:val="611759A9"/>
    <w:rsid w:val="611834CF"/>
    <w:rsid w:val="611A0EA3"/>
    <w:rsid w:val="611A0FF5"/>
    <w:rsid w:val="61241E74"/>
    <w:rsid w:val="61271964"/>
    <w:rsid w:val="612754C0"/>
    <w:rsid w:val="61281730"/>
    <w:rsid w:val="61300818"/>
    <w:rsid w:val="61330309"/>
    <w:rsid w:val="61355E2F"/>
    <w:rsid w:val="613D1187"/>
    <w:rsid w:val="61493688"/>
    <w:rsid w:val="614B11AE"/>
    <w:rsid w:val="614D0B2B"/>
    <w:rsid w:val="614E0C9F"/>
    <w:rsid w:val="614E6EF1"/>
    <w:rsid w:val="614F39EC"/>
    <w:rsid w:val="61536800"/>
    <w:rsid w:val="6155202D"/>
    <w:rsid w:val="615D5386"/>
    <w:rsid w:val="615E6BC8"/>
    <w:rsid w:val="616044A2"/>
    <w:rsid w:val="61671D60"/>
    <w:rsid w:val="61686BC3"/>
    <w:rsid w:val="616B7AA3"/>
    <w:rsid w:val="616C3E03"/>
    <w:rsid w:val="616D55C9"/>
    <w:rsid w:val="616E30EF"/>
    <w:rsid w:val="616F44C9"/>
    <w:rsid w:val="617050B9"/>
    <w:rsid w:val="617478C1"/>
    <w:rsid w:val="6175447D"/>
    <w:rsid w:val="617701F5"/>
    <w:rsid w:val="617866B8"/>
    <w:rsid w:val="617A1A94"/>
    <w:rsid w:val="617A7CE6"/>
    <w:rsid w:val="617E77D6"/>
    <w:rsid w:val="617F354E"/>
    <w:rsid w:val="61824E34"/>
    <w:rsid w:val="61826B9A"/>
    <w:rsid w:val="61860438"/>
    <w:rsid w:val="61882403"/>
    <w:rsid w:val="61891CD7"/>
    <w:rsid w:val="61897F29"/>
    <w:rsid w:val="6192502F"/>
    <w:rsid w:val="61932B55"/>
    <w:rsid w:val="61942BFF"/>
    <w:rsid w:val="619459BA"/>
    <w:rsid w:val="619743F4"/>
    <w:rsid w:val="619B7808"/>
    <w:rsid w:val="619C7C5C"/>
    <w:rsid w:val="619F599E"/>
    <w:rsid w:val="61A22D98"/>
    <w:rsid w:val="61A27381"/>
    <w:rsid w:val="61A30FEA"/>
    <w:rsid w:val="61A52B04"/>
    <w:rsid w:val="61A66D2D"/>
    <w:rsid w:val="61A67AA2"/>
    <w:rsid w:val="61A94127"/>
    <w:rsid w:val="61B431F8"/>
    <w:rsid w:val="61B50D1E"/>
    <w:rsid w:val="61BE5E24"/>
    <w:rsid w:val="61C022D5"/>
    <w:rsid w:val="61C24DE8"/>
    <w:rsid w:val="61C359D6"/>
    <w:rsid w:val="61C471B3"/>
    <w:rsid w:val="61C62F2B"/>
    <w:rsid w:val="61C80A51"/>
    <w:rsid w:val="61CA6B5B"/>
    <w:rsid w:val="61D373F6"/>
    <w:rsid w:val="61D54F1C"/>
    <w:rsid w:val="61D75138"/>
    <w:rsid w:val="61DC44FC"/>
    <w:rsid w:val="61DF5D9B"/>
    <w:rsid w:val="61E055B5"/>
    <w:rsid w:val="61E31E84"/>
    <w:rsid w:val="61E45946"/>
    <w:rsid w:val="61E643A1"/>
    <w:rsid w:val="61E7706B"/>
    <w:rsid w:val="61EB26C7"/>
    <w:rsid w:val="61ED6709"/>
    <w:rsid w:val="61F01D56"/>
    <w:rsid w:val="61F45CEA"/>
    <w:rsid w:val="61F555BE"/>
    <w:rsid w:val="61FC06FB"/>
    <w:rsid w:val="6200468F"/>
    <w:rsid w:val="6202723B"/>
    <w:rsid w:val="62065F65"/>
    <w:rsid w:val="6208709F"/>
    <w:rsid w:val="620B4DE2"/>
    <w:rsid w:val="620F48D2"/>
    <w:rsid w:val="62106C7C"/>
    <w:rsid w:val="62143C96"/>
    <w:rsid w:val="62175534"/>
    <w:rsid w:val="621912AD"/>
    <w:rsid w:val="62195750"/>
    <w:rsid w:val="621F43E9"/>
    <w:rsid w:val="6220088D"/>
    <w:rsid w:val="62285198"/>
    <w:rsid w:val="622A6484"/>
    <w:rsid w:val="622B0FE0"/>
    <w:rsid w:val="622E2F59"/>
    <w:rsid w:val="622F3C7D"/>
    <w:rsid w:val="62312A9A"/>
    <w:rsid w:val="62353C0D"/>
    <w:rsid w:val="62377985"/>
    <w:rsid w:val="623B56C7"/>
    <w:rsid w:val="623D4B40"/>
    <w:rsid w:val="623F0640"/>
    <w:rsid w:val="623F0BA1"/>
    <w:rsid w:val="62417EFE"/>
    <w:rsid w:val="62467BC8"/>
    <w:rsid w:val="624A069A"/>
    <w:rsid w:val="624E2FF1"/>
    <w:rsid w:val="624F1172"/>
    <w:rsid w:val="625642AF"/>
    <w:rsid w:val="62590CC8"/>
    <w:rsid w:val="625B18C5"/>
    <w:rsid w:val="625C73EB"/>
    <w:rsid w:val="625E13B5"/>
    <w:rsid w:val="626003B8"/>
    <w:rsid w:val="62600C89"/>
    <w:rsid w:val="626369CC"/>
    <w:rsid w:val="626A7D5A"/>
    <w:rsid w:val="626B762E"/>
    <w:rsid w:val="626D15F8"/>
    <w:rsid w:val="626E3B17"/>
    <w:rsid w:val="626F35C2"/>
    <w:rsid w:val="626F5370"/>
    <w:rsid w:val="62791D4B"/>
    <w:rsid w:val="628030DA"/>
    <w:rsid w:val="62843025"/>
    <w:rsid w:val="62853336"/>
    <w:rsid w:val="62867EBF"/>
    <w:rsid w:val="628726BA"/>
    <w:rsid w:val="628870E6"/>
    <w:rsid w:val="628A5D32"/>
    <w:rsid w:val="628C1A7E"/>
    <w:rsid w:val="628D57F7"/>
    <w:rsid w:val="629341F9"/>
    <w:rsid w:val="62966DA1"/>
    <w:rsid w:val="629B43B7"/>
    <w:rsid w:val="62A3326C"/>
    <w:rsid w:val="62A55DE6"/>
    <w:rsid w:val="62A72D5C"/>
    <w:rsid w:val="62AC3ECF"/>
    <w:rsid w:val="62AF1C11"/>
    <w:rsid w:val="62AF39BF"/>
    <w:rsid w:val="62B31701"/>
    <w:rsid w:val="62B463B4"/>
    <w:rsid w:val="62B62F9F"/>
    <w:rsid w:val="62BB2364"/>
    <w:rsid w:val="62BB6808"/>
    <w:rsid w:val="62C423F5"/>
    <w:rsid w:val="62C51434"/>
    <w:rsid w:val="62CA25A7"/>
    <w:rsid w:val="62D81168"/>
    <w:rsid w:val="62D82F16"/>
    <w:rsid w:val="62DF24F6"/>
    <w:rsid w:val="62E278F0"/>
    <w:rsid w:val="62E80C7F"/>
    <w:rsid w:val="62EA49F7"/>
    <w:rsid w:val="62ED7408"/>
    <w:rsid w:val="62EF200D"/>
    <w:rsid w:val="62EF64B1"/>
    <w:rsid w:val="62F15D85"/>
    <w:rsid w:val="62F37D50"/>
    <w:rsid w:val="62FA10DE"/>
    <w:rsid w:val="62FC3808"/>
    <w:rsid w:val="63015C1A"/>
    <w:rsid w:val="63021D41"/>
    <w:rsid w:val="63036478"/>
    <w:rsid w:val="630C0E11"/>
    <w:rsid w:val="631101D6"/>
    <w:rsid w:val="63123525"/>
    <w:rsid w:val="631877B6"/>
    <w:rsid w:val="631A52DC"/>
    <w:rsid w:val="631B72A6"/>
    <w:rsid w:val="631F6D97"/>
    <w:rsid w:val="63224191"/>
    <w:rsid w:val="632443AD"/>
    <w:rsid w:val="63253C81"/>
    <w:rsid w:val="632717A7"/>
    <w:rsid w:val="632B0CD5"/>
    <w:rsid w:val="632E6FDA"/>
    <w:rsid w:val="63304B00"/>
    <w:rsid w:val="63316ACA"/>
    <w:rsid w:val="63352116"/>
    <w:rsid w:val="633635FA"/>
    <w:rsid w:val="633B5253"/>
    <w:rsid w:val="633D721D"/>
    <w:rsid w:val="633E4CE0"/>
    <w:rsid w:val="633F11E7"/>
    <w:rsid w:val="63402869"/>
    <w:rsid w:val="63424833"/>
    <w:rsid w:val="6349032F"/>
    <w:rsid w:val="634C7460"/>
    <w:rsid w:val="63500C1D"/>
    <w:rsid w:val="635527B8"/>
    <w:rsid w:val="63626C83"/>
    <w:rsid w:val="63660521"/>
    <w:rsid w:val="63696264"/>
    <w:rsid w:val="636B5B38"/>
    <w:rsid w:val="636E387A"/>
    <w:rsid w:val="637013A0"/>
    <w:rsid w:val="637075F2"/>
    <w:rsid w:val="63736E25"/>
    <w:rsid w:val="637473B8"/>
    <w:rsid w:val="63750765"/>
    <w:rsid w:val="637B1AF3"/>
    <w:rsid w:val="637B3E8F"/>
    <w:rsid w:val="637F3391"/>
    <w:rsid w:val="638B442C"/>
    <w:rsid w:val="638C3D00"/>
    <w:rsid w:val="638D1F52"/>
    <w:rsid w:val="63901A42"/>
    <w:rsid w:val="639037F0"/>
    <w:rsid w:val="6390559E"/>
    <w:rsid w:val="6392476A"/>
    <w:rsid w:val="63927568"/>
    <w:rsid w:val="63936E3D"/>
    <w:rsid w:val="639826A5"/>
    <w:rsid w:val="639C2195"/>
    <w:rsid w:val="639F3A33"/>
    <w:rsid w:val="63A1155A"/>
    <w:rsid w:val="63A454EE"/>
    <w:rsid w:val="63A57A90"/>
    <w:rsid w:val="63A948B2"/>
    <w:rsid w:val="63AA3442"/>
    <w:rsid w:val="63B32720"/>
    <w:rsid w:val="63B43683"/>
    <w:rsid w:val="63BE65AF"/>
    <w:rsid w:val="63C17E4E"/>
    <w:rsid w:val="63C80FC1"/>
    <w:rsid w:val="63C90AB0"/>
    <w:rsid w:val="63C96D02"/>
    <w:rsid w:val="63CB65D6"/>
    <w:rsid w:val="63CC234F"/>
    <w:rsid w:val="63CE4319"/>
    <w:rsid w:val="63D23E09"/>
    <w:rsid w:val="63D7141F"/>
    <w:rsid w:val="63D731CD"/>
    <w:rsid w:val="63DA2CBD"/>
    <w:rsid w:val="63DD455C"/>
    <w:rsid w:val="63E1229E"/>
    <w:rsid w:val="63E37DC4"/>
    <w:rsid w:val="63E43B3C"/>
    <w:rsid w:val="63E56E61"/>
    <w:rsid w:val="63E63410"/>
    <w:rsid w:val="63E678B4"/>
    <w:rsid w:val="63E91153"/>
    <w:rsid w:val="63EB0A27"/>
    <w:rsid w:val="63ED07DB"/>
    <w:rsid w:val="63ED479F"/>
    <w:rsid w:val="63F10007"/>
    <w:rsid w:val="63F26395"/>
    <w:rsid w:val="63F27C99"/>
    <w:rsid w:val="63FC0E86"/>
    <w:rsid w:val="63FF0976"/>
    <w:rsid w:val="6408782B"/>
    <w:rsid w:val="64122457"/>
    <w:rsid w:val="64137F7D"/>
    <w:rsid w:val="6415549C"/>
    <w:rsid w:val="64191A38"/>
    <w:rsid w:val="641A755E"/>
    <w:rsid w:val="641C32D6"/>
    <w:rsid w:val="641E0DFC"/>
    <w:rsid w:val="64243F39"/>
    <w:rsid w:val="642503DD"/>
    <w:rsid w:val="642A1C4A"/>
    <w:rsid w:val="642D7291"/>
    <w:rsid w:val="642F3009"/>
    <w:rsid w:val="642F4DB7"/>
    <w:rsid w:val="643E4FFA"/>
    <w:rsid w:val="64414AEB"/>
    <w:rsid w:val="64422EE1"/>
    <w:rsid w:val="64440394"/>
    <w:rsid w:val="64446389"/>
    <w:rsid w:val="644665A5"/>
    <w:rsid w:val="64470E7C"/>
    <w:rsid w:val="6448464F"/>
    <w:rsid w:val="64487C27"/>
    <w:rsid w:val="644A1BF1"/>
    <w:rsid w:val="644B15DB"/>
    <w:rsid w:val="644C3BBB"/>
    <w:rsid w:val="644D5289"/>
    <w:rsid w:val="6454481E"/>
    <w:rsid w:val="64552344"/>
    <w:rsid w:val="64590086"/>
    <w:rsid w:val="64591E34"/>
    <w:rsid w:val="645A5BAC"/>
    <w:rsid w:val="645B0956"/>
    <w:rsid w:val="64602371"/>
    <w:rsid w:val="646031C3"/>
    <w:rsid w:val="64622E98"/>
    <w:rsid w:val="64664551"/>
    <w:rsid w:val="646709F5"/>
    <w:rsid w:val="646C4FF0"/>
    <w:rsid w:val="646D34E5"/>
    <w:rsid w:val="646F5DDE"/>
    <w:rsid w:val="64721148"/>
    <w:rsid w:val="64722EF6"/>
    <w:rsid w:val="64754794"/>
    <w:rsid w:val="6476379D"/>
    <w:rsid w:val="647C3D75"/>
    <w:rsid w:val="64813139"/>
    <w:rsid w:val="648D5F82"/>
    <w:rsid w:val="649A32C7"/>
    <w:rsid w:val="649C5F21"/>
    <w:rsid w:val="649D4417"/>
    <w:rsid w:val="64A31301"/>
    <w:rsid w:val="64AA6B34"/>
    <w:rsid w:val="64AC465A"/>
    <w:rsid w:val="64AC6408"/>
    <w:rsid w:val="64AE0E8C"/>
    <w:rsid w:val="64AF414A"/>
    <w:rsid w:val="64B4350F"/>
    <w:rsid w:val="64B74DAD"/>
    <w:rsid w:val="64C00108"/>
    <w:rsid w:val="64C42DBE"/>
    <w:rsid w:val="64C5571C"/>
    <w:rsid w:val="64D12312"/>
    <w:rsid w:val="64D265D3"/>
    <w:rsid w:val="64D70FAB"/>
    <w:rsid w:val="64D75934"/>
    <w:rsid w:val="64D911C7"/>
    <w:rsid w:val="64DB4F3F"/>
    <w:rsid w:val="64DE616D"/>
    <w:rsid w:val="64E02555"/>
    <w:rsid w:val="64E10284"/>
    <w:rsid w:val="64E21E2A"/>
    <w:rsid w:val="64E53367"/>
    <w:rsid w:val="64E536C8"/>
    <w:rsid w:val="64EC0EFA"/>
    <w:rsid w:val="64EE4C72"/>
    <w:rsid w:val="64EF2799"/>
    <w:rsid w:val="64F031D4"/>
    <w:rsid w:val="64F25DE5"/>
    <w:rsid w:val="64F32289"/>
    <w:rsid w:val="64F47DAF"/>
    <w:rsid w:val="64F56864"/>
    <w:rsid w:val="64F56A29"/>
    <w:rsid w:val="64F8164D"/>
    <w:rsid w:val="6501769D"/>
    <w:rsid w:val="6502427A"/>
    <w:rsid w:val="65046244"/>
    <w:rsid w:val="65053D6A"/>
    <w:rsid w:val="650A312E"/>
    <w:rsid w:val="650D2C1F"/>
    <w:rsid w:val="650E0E71"/>
    <w:rsid w:val="650E70C3"/>
    <w:rsid w:val="651D5558"/>
    <w:rsid w:val="651E4C38"/>
    <w:rsid w:val="6522491C"/>
    <w:rsid w:val="652266CA"/>
    <w:rsid w:val="652341F0"/>
    <w:rsid w:val="65285B05"/>
    <w:rsid w:val="652C5AFB"/>
    <w:rsid w:val="652C7549"/>
    <w:rsid w:val="652D1B5C"/>
    <w:rsid w:val="652E506F"/>
    <w:rsid w:val="653308D7"/>
    <w:rsid w:val="65363F24"/>
    <w:rsid w:val="65377536"/>
    <w:rsid w:val="653A1C66"/>
    <w:rsid w:val="65406257"/>
    <w:rsid w:val="65426D6C"/>
    <w:rsid w:val="65450A41"/>
    <w:rsid w:val="6546685C"/>
    <w:rsid w:val="65472B37"/>
    <w:rsid w:val="65493C57"/>
    <w:rsid w:val="6549634D"/>
    <w:rsid w:val="654C1999"/>
    <w:rsid w:val="65515201"/>
    <w:rsid w:val="65534AD5"/>
    <w:rsid w:val="65566374"/>
    <w:rsid w:val="6558033E"/>
    <w:rsid w:val="655D5954"/>
    <w:rsid w:val="655F16CC"/>
    <w:rsid w:val="65622F6B"/>
    <w:rsid w:val="65626E56"/>
    <w:rsid w:val="65646CE3"/>
    <w:rsid w:val="656661C8"/>
    <w:rsid w:val="656960A7"/>
    <w:rsid w:val="65736F26"/>
    <w:rsid w:val="657C227E"/>
    <w:rsid w:val="657D6AE4"/>
    <w:rsid w:val="6582360D"/>
    <w:rsid w:val="658630FD"/>
    <w:rsid w:val="658D65D9"/>
    <w:rsid w:val="658F0577"/>
    <w:rsid w:val="658F5EAE"/>
    <w:rsid w:val="65907AD8"/>
    <w:rsid w:val="65931376"/>
    <w:rsid w:val="659A0956"/>
    <w:rsid w:val="659B0B9A"/>
    <w:rsid w:val="659B647C"/>
    <w:rsid w:val="659F09EE"/>
    <w:rsid w:val="65A2780B"/>
    <w:rsid w:val="65AD2209"/>
    <w:rsid w:val="65AE7F5E"/>
    <w:rsid w:val="65B15345"/>
    <w:rsid w:val="65B433A9"/>
    <w:rsid w:val="65B6730B"/>
    <w:rsid w:val="65BB267B"/>
    <w:rsid w:val="65BC0577"/>
    <w:rsid w:val="65BD4645"/>
    <w:rsid w:val="65BE41D5"/>
    <w:rsid w:val="65BF03BD"/>
    <w:rsid w:val="65BF660F"/>
    <w:rsid w:val="65C07D27"/>
    <w:rsid w:val="65C14135"/>
    <w:rsid w:val="65C459D3"/>
    <w:rsid w:val="65CB0B10"/>
    <w:rsid w:val="65D35C16"/>
    <w:rsid w:val="65D3619D"/>
    <w:rsid w:val="65D80B7F"/>
    <w:rsid w:val="65D86017"/>
    <w:rsid w:val="65E11CB1"/>
    <w:rsid w:val="65E16585"/>
    <w:rsid w:val="65E362B1"/>
    <w:rsid w:val="65E9368C"/>
    <w:rsid w:val="65EC4433"/>
    <w:rsid w:val="65EF46DD"/>
    <w:rsid w:val="65F90E7C"/>
    <w:rsid w:val="65FC6F1B"/>
    <w:rsid w:val="65FD355F"/>
    <w:rsid w:val="66062D44"/>
    <w:rsid w:val="66065FEC"/>
    <w:rsid w:val="66081D64"/>
    <w:rsid w:val="66091638"/>
    <w:rsid w:val="660979AD"/>
    <w:rsid w:val="660C1A49"/>
    <w:rsid w:val="661108C1"/>
    <w:rsid w:val="661632D0"/>
    <w:rsid w:val="661A0911"/>
    <w:rsid w:val="66236B9E"/>
    <w:rsid w:val="662D3578"/>
    <w:rsid w:val="662E109F"/>
    <w:rsid w:val="662F5543"/>
    <w:rsid w:val="66303069"/>
    <w:rsid w:val="66326DE1"/>
    <w:rsid w:val="66377785"/>
    <w:rsid w:val="66395563"/>
    <w:rsid w:val="663A30CA"/>
    <w:rsid w:val="663A5C95"/>
    <w:rsid w:val="663C1A0D"/>
    <w:rsid w:val="663F32AC"/>
    <w:rsid w:val="663F505A"/>
    <w:rsid w:val="66432D9C"/>
    <w:rsid w:val="664408C2"/>
    <w:rsid w:val="6646463A"/>
    <w:rsid w:val="664856F2"/>
    <w:rsid w:val="664B39FF"/>
    <w:rsid w:val="664B7EA3"/>
    <w:rsid w:val="664C2FA5"/>
    <w:rsid w:val="664D3C1B"/>
    <w:rsid w:val="664D7777"/>
    <w:rsid w:val="6650370B"/>
    <w:rsid w:val="66551CC6"/>
    <w:rsid w:val="665925BF"/>
    <w:rsid w:val="665C20B0"/>
    <w:rsid w:val="665C5C0C"/>
    <w:rsid w:val="665D44C4"/>
    <w:rsid w:val="66615387"/>
    <w:rsid w:val="66664368"/>
    <w:rsid w:val="66680A54"/>
    <w:rsid w:val="666B22F3"/>
    <w:rsid w:val="66707FEA"/>
    <w:rsid w:val="667271DD"/>
    <w:rsid w:val="6679056C"/>
    <w:rsid w:val="667967BE"/>
    <w:rsid w:val="667A42E4"/>
    <w:rsid w:val="667C1E0A"/>
    <w:rsid w:val="667C4500"/>
    <w:rsid w:val="6683763C"/>
    <w:rsid w:val="668533B4"/>
    <w:rsid w:val="6685680F"/>
    <w:rsid w:val="66884C53"/>
    <w:rsid w:val="66886A01"/>
    <w:rsid w:val="66901E43"/>
    <w:rsid w:val="66903B07"/>
    <w:rsid w:val="6692787F"/>
    <w:rsid w:val="669435F8"/>
    <w:rsid w:val="6694497A"/>
    <w:rsid w:val="669811DF"/>
    <w:rsid w:val="669E0B12"/>
    <w:rsid w:val="669F2EC7"/>
    <w:rsid w:val="66A00B1A"/>
    <w:rsid w:val="66A82BFF"/>
    <w:rsid w:val="66A84C39"/>
    <w:rsid w:val="66AB0941"/>
    <w:rsid w:val="66AB26EF"/>
    <w:rsid w:val="66AC6B93"/>
    <w:rsid w:val="66B141AA"/>
    <w:rsid w:val="66B47C99"/>
    <w:rsid w:val="66B90C2B"/>
    <w:rsid w:val="66BA2932"/>
    <w:rsid w:val="66C37A39"/>
    <w:rsid w:val="66C537B1"/>
    <w:rsid w:val="66C814F3"/>
    <w:rsid w:val="66C8643E"/>
    <w:rsid w:val="66CC6405"/>
    <w:rsid w:val="66CE1496"/>
    <w:rsid w:val="66D24120"/>
    <w:rsid w:val="66D32372"/>
    <w:rsid w:val="66D439F4"/>
    <w:rsid w:val="66DE0D17"/>
    <w:rsid w:val="66E005EB"/>
    <w:rsid w:val="66E57795"/>
    <w:rsid w:val="66EA76BB"/>
    <w:rsid w:val="66EC2DE8"/>
    <w:rsid w:val="66EC2F44"/>
    <w:rsid w:val="66ED0F5A"/>
    <w:rsid w:val="66EF6A80"/>
    <w:rsid w:val="66F2031E"/>
    <w:rsid w:val="66F45E44"/>
    <w:rsid w:val="66FB71D3"/>
    <w:rsid w:val="66FE4F15"/>
    <w:rsid w:val="67000C8D"/>
    <w:rsid w:val="67006EDF"/>
    <w:rsid w:val="6700790A"/>
    <w:rsid w:val="670A5668"/>
    <w:rsid w:val="670B6618"/>
    <w:rsid w:val="670D6F06"/>
    <w:rsid w:val="670F2C7E"/>
    <w:rsid w:val="67114C48"/>
    <w:rsid w:val="6712451C"/>
    <w:rsid w:val="671309C0"/>
    <w:rsid w:val="671367B5"/>
    <w:rsid w:val="67140294"/>
    <w:rsid w:val="671D35ED"/>
    <w:rsid w:val="671E1113"/>
    <w:rsid w:val="671E7365"/>
    <w:rsid w:val="67222094"/>
    <w:rsid w:val="6723175B"/>
    <w:rsid w:val="6723497B"/>
    <w:rsid w:val="67237D4A"/>
    <w:rsid w:val="67242BCD"/>
    <w:rsid w:val="6727621A"/>
    <w:rsid w:val="67283D40"/>
    <w:rsid w:val="672A7AB8"/>
    <w:rsid w:val="67310E46"/>
    <w:rsid w:val="673426E5"/>
    <w:rsid w:val="673821D5"/>
    <w:rsid w:val="67395F4D"/>
    <w:rsid w:val="673B3A73"/>
    <w:rsid w:val="673F4CC4"/>
    <w:rsid w:val="6740552D"/>
    <w:rsid w:val="674072DB"/>
    <w:rsid w:val="67430B7A"/>
    <w:rsid w:val="67446DCC"/>
    <w:rsid w:val="67542D87"/>
    <w:rsid w:val="67550FD9"/>
    <w:rsid w:val="67564D51"/>
    <w:rsid w:val="675B2367"/>
    <w:rsid w:val="676A6106"/>
    <w:rsid w:val="676B07FC"/>
    <w:rsid w:val="676D025A"/>
    <w:rsid w:val="676E209B"/>
    <w:rsid w:val="676E5BF7"/>
    <w:rsid w:val="67762CFD"/>
    <w:rsid w:val="6777664F"/>
    <w:rsid w:val="67825B46"/>
    <w:rsid w:val="6782764B"/>
    <w:rsid w:val="678418BE"/>
    <w:rsid w:val="67852F40"/>
    <w:rsid w:val="67874F0A"/>
    <w:rsid w:val="67890C82"/>
    <w:rsid w:val="678B616D"/>
    <w:rsid w:val="678C2521"/>
    <w:rsid w:val="678E0047"/>
    <w:rsid w:val="678E0566"/>
    <w:rsid w:val="6790177A"/>
    <w:rsid w:val="67937902"/>
    <w:rsid w:val="679413D5"/>
    <w:rsid w:val="67966EFB"/>
    <w:rsid w:val="67980EC5"/>
    <w:rsid w:val="679F6EB4"/>
    <w:rsid w:val="67A1421E"/>
    <w:rsid w:val="67A63A9A"/>
    <w:rsid w:val="67AE06E9"/>
    <w:rsid w:val="67B0620F"/>
    <w:rsid w:val="67B83316"/>
    <w:rsid w:val="67BA0E3C"/>
    <w:rsid w:val="67BC1058"/>
    <w:rsid w:val="67C036F4"/>
    <w:rsid w:val="67CC6DC1"/>
    <w:rsid w:val="67CE0D8B"/>
    <w:rsid w:val="67D068B1"/>
    <w:rsid w:val="67D16185"/>
    <w:rsid w:val="67D31EFE"/>
    <w:rsid w:val="67D53EC8"/>
    <w:rsid w:val="67D75E41"/>
    <w:rsid w:val="67DA7730"/>
    <w:rsid w:val="67DD4B2A"/>
    <w:rsid w:val="67DF4D46"/>
    <w:rsid w:val="67E97973"/>
    <w:rsid w:val="67EC1211"/>
    <w:rsid w:val="67ED1A09"/>
    <w:rsid w:val="67F027BB"/>
    <w:rsid w:val="67F307F2"/>
    <w:rsid w:val="67F500C6"/>
    <w:rsid w:val="67FA7D4C"/>
    <w:rsid w:val="67FC1454"/>
    <w:rsid w:val="67FC6A66"/>
    <w:rsid w:val="67FD51CC"/>
    <w:rsid w:val="67FD6528"/>
    <w:rsid w:val="67FE01D8"/>
    <w:rsid w:val="680622D3"/>
    <w:rsid w:val="68077DF9"/>
    <w:rsid w:val="680848B9"/>
    <w:rsid w:val="680C5BF3"/>
    <w:rsid w:val="680E73DA"/>
    <w:rsid w:val="68104F00"/>
    <w:rsid w:val="681432BF"/>
    <w:rsid w:val="68180E35"/>
    <w:rsid w:val="681E586F"/>
    <w:rsid w:val="681F15E7"/>
    <w:rsid w:val="681F5BC7"/>
    <w:rsid w:val="68260162"/>
    <w:rsid w:val="68264723"/>
    <w:rsid w:val="68277C2A"/>
    <w:rsid w:val="6828049B"/>
    <w:rsid w:val="682D3D04"/>
    <w:rsid w:val="6832131A"/>
    <w:rsid w:val="68336E40"/>
    <w:rsid w:val="68376930"/>
    <w:rsid w:val="684626D0"/>
    <w:rsid w:val="684D3A5E"/>
    <w:rsid w:val="685017A0"/>
    <w:rsid w:val="68511B1C"/>
    <w:rsid w:val="68520577"/>
    <w:rsid w:val="68523A33"/>
    <w:rsid w:val="68553916"/>
    <w:rsid w:val="68572B2F"/>
    <w:rsid w:val="68585D79"/>
    <w:rsid w:val="685C1EF3"/>
    <w:rsid w:val="685E5C6B"/>
    <w:rsid w:val="686007CB"/>
    <w:rsid w:val="68625CD8"/>
    <w:rsid w:val="68692862"/>
    <w:rsid w:val="686A0AB4"/>
    <w:rsid w:val="686B0388"/>
    <w:rsid w:val="68725BBA"/>
    <w:rsid w:val="68785E71"/>
    <w:rsid w:val="687C07E7"/>
    <w:rsid w:val="687F0310"/>
    <w:rsid w:val="687F107F"/>
    <w:rsid w:val="68863414"/>
    <w:rsid w:val="688A4CB2"/>
    <w:rsid w:val="68923B67"/>
    <w:rsid w:val="68975621"/>
    <w:rsid w:val="689E706D"/>
    <w:rsid w:val="68AD09A1"/>
    <w:rsid w:val="68AD1056"/>
    <w:rsid w:val="68AD6BF3"/>
    <w:rsid w:val="68AF16DD"/>
    <w:rsid w:val="68AF4719"/>
    <w:rsid w:val="68B202C6"/>
    <w:rsid w:val="68B57855"/>
    <w:rsid w:val="68B910F3"/>
    <w:rsid w:val="68B9168D"/>
    <w:rsid w:val="68BC6E36"/>
    <w:rsid w:val="68C06926"/>
    <w:rsid w:val="68C21D29"/>
    <w:rsid w:val="68C33D20"/>
    <w:rsid w:val="68D26659"/>
    <w:rsid w:val="68D423D1"/>
    <w:rsid w:val="68D51CA5"/>
    <w:rsid w:val="68DB550E"/>
    <w:rsid w:val="68DD74D8"/>
    <w:rsid w:val="68DE6DAC"/>
    <w:rsid w:val="68E36170"/>
    <w:rsid w:val="68E36491"/>
    <w:rsid w:val="68E550C3"/>
    <w:rsid w:val="68E5638C"/>
    <w:rsid w:val="68E72104"/>
    <w:rsid w:val="68EA5751"/>
    <w:rsid w:val="68ED6FEF"/>
    <w:rsid w:val="68EF720B"/>
    <w:rsid w:val="68F00A95"/>
    <w:rsid w:val="69020CEC"/>
    <w:rsid w:val="69021082"/>
    <w:rsid w:val="69036813"/>
    <w:rsid w:val="69076303"/>
    <w:rsid w:val="690F0C92"/>
    <w:rsid w:val="69132EFA"/>
    <w:rsid w:val="69146C72"/>
    <w:rsid w:val="691722BE"/>
    <w:rsid w:val="69196EEA"/>
    <w:rsid w:val="691C6F33"/>
    <w:rsid w:val="6920000C"/>
    <w:rsid w:val="69201173"/>
    <w:rsid w:val="69232A11"/>
    <w:rsid w:val="69236EB5"/>
    <w:rsid w:val="69274C15"/>
    <w:rsid w:val="69280027"/>
    <w:rsid w:val="692844CB"/>
    <w:rsid w:val="692C5D69"/>
    <w:rsid w:val="692C7B17"/>
    <w:rsid w:val="692D0C83"/>
    <w:rsid w:val="692F13B6"/>
    <w:rsid w:val="692F61D9"/>
    <w:rsid w:val="693764BC"/>
    <w:rsid w:val="69380883"/>
    <w:rsid w:val="69390486"/>
    <w:rsid w:val="693B3BE9"/>
    <w:rsid w:val="693B7D5A"/>
    <w:rsid w:val="693C3AD3"/>
    <w:rsid w:val="693D709C"/>
    <w:rsid w:val="693E5A9D"/>
    <w:rsid w:val="69401815"/>
    <w:rsid w:val="69470DF5"/>
    <w:rsid w:val="69490DE0"/>
    <w:rsid w:val="694C640B"/>
    <w:rsid w:val="69513A22"/>
    <w:rsid w:val="6953779A"/>
    <w:rsid w:val="695452C0"/>
    <w:rsid w:val="69603C65"/>
    <w:rsid w:val="69633987"/>
    <w:rsid w:val="6965127B"/>
    <w:rsid w:val="69692B1A"/>
    <w:rsid w:val="696C43B8"/>
    <w:rsid w:val="696E6382"/>
    <w:rsid w:val="69733998"/>
    <w:rsid w:val="697C309E"/>
    <w:rsid w:val="698060B5"/>
    <w:rsid w:val="69823BDB"/>
    <w:rsid w:val="69882D82"/>
    <w:rsid w:val="69886D18"/>
    <w:rsid w:val="698B7FC2"/>
    <w:rsid w:val="698F62F8"/>
    <w:rsid w:val="6993437B"/>
    <w:rsid w:val="699833FF"/>
    <w:rsid w:val="699B0FC8"/>
    <w:rsid w:val="699B2EEF"/>
    <w:rsid w:val="699B4C9D"/>
    <w:rsid w:val="699D6C67"/>
    <w:rsid w:val="69A2602B"/>
    <w:rsid w:val="69A41DA4"/>
    <w:rsid w:val="69A91168"/>
    <w:rsid w:val="69AB1384"/>
    <w:rsid w:val="69AC2A06"/>
    <w:rsid w:val="69B0699A"/>
    <w:rsid w:val="69B144C0"/>
    <w:rsid w:val="69B31FE7"/>
    <w:rsid w:val="69B33D95"/>
    <w:rsid w:val="69B55D5F"/>
    <w:rsid w:val="69B8584F"/>
    <w:rsid w:val="69BA15C7"/>
    <w:rsid w:val="69BF098B"/>
    <w:rsid w:val="69C2222A"/>
    <w:rsid w:val="69C35833"/>
    <w:rsid w:val="69C441F4"/>
    <w:rsid w:val="69C53AC8"/>
    <w:rsid w:val="69C935B8"/>
    <w:rsid w:val="69D02B99"/>
    <w:rsid w:val="69D1246D"/>
    <w:rsid w:val="69D25B4D"/>
    <w:rsid w:val="69D72179"/>
    <w:rsid w:val="69DD3414"/>
    <w:rsid w:val="69E421A0"/>
    <w:rsid w:val="69EA09DE"/>
    <w:rsid w:val="69EA352F"/>
    <w:rsid w:val="69EE4313"/>
    <w:rsid w:val="69F4587B"/>
    <w:rsid w:val="69F53287"/>
    <w:rsid w:val="69F54D2E"/>
    <w:rsid w:val="69F66377"/>
    <w:rsid w:val="69FA0715"/>
    <w:rsid w:val="69FA7C16"/>
    <w:rsid w:val="69FB017C"/>
    <w:rsid w:val="69FB573C"/>
    <w:rsid w:val="69FF18D3"/>
    <w:rsid w:val="69FF347E"/>
    <w:rsid w:val="6A0171F6"/>
    <w:rsid w:val="6A070584"/>
    <w:rsid w:val="6A0A597F"/>
    <w:rsid w:val="6A0D4150"/>
    <w:rsid w:val="6A10568B"/>
    <w:rsid w:val="6A124842"/>
    <w:rsid w:val="6A1A02B8"/>
    <w:rsid w:val="6A1B047E"/>
    <w:rsid w:val="6A1D1C45"/>
    <w:rsid w:val="6A1D56B2"/>
    <w:rsid w:val="6A222CC8"/>
    <w:rsid w:val="6A22716C"/>
    <w:rsid w:val="6A227D0E"/>
    <w:rsid w:val="6A2D7FEB"/>
    <w:rsid w:val="6A303637"/>
    <w:rsid w:val="6A350C4E"/>
    <w:rsid w:val="6A3B3D8A"/>
    <w:rsid w:val="6A3C022E"/>
    <w:rsid w:val="6A3C1FDC"/>
    <w:rsid w:val="6A3F1ACC"/>
    <w:rsid w:val="6A426CC9"/>
    <w:rsid w:val="6A460CA7"/>
    <w:rsid w:val="6A4610AD"/>
    <w:rsid w:val="6A484E25"/>
    <w:rsid w:val="6A486BD3"/>
    <w:rsid w:val="6A4D41E9"/>
    <w:rsid w:val="6A4E61B3"/>
    <w:rsid w:val="6A4E7F61"/>
    <w:rsid w:val="6A5135AE"/>
    <w:rsid w:val="6A54261C"/>
    <w:rsid w:val="6A585D0E"/>
    <w:rsid w:val="6A5A06B4"/>
    <w:rsid w:val="6A5D1B9C"/>
    <w:rsid w:val="6A5F5CCB"/>
    <w:rsid w:val="6A635FA8"/>
    <w:rsid w:val="6A6E23B2"/>
    <w:rsid w:val="6A707ED8"/>
    <w:rsid w:val="6A7115D6"/>
    <w:rsid w:val="6A745C1A"/>
    <w:rsid w:val="6A767F57"/>
    <w:rsid w:val="6A793230"/>
    <w:rsid w:val="6A7B27A9"/>
    <w:rsid w:val="6A7D43A3"/>
    <w:rsid w:val="6A8120E5"/>
    <w:rsid w:val="6A845731"/>
    <w:rsid w:val="6A876FCF"/>
    <w:rsid w:val="6A894958"/>
    <w:rsid w:val="6A8B4D12"/>
    <w:rsid w:val="6A902328"/>
    <w:rsid w:val="6A9040D6"/>
    <w:rsid w:val="6A941E18"/>
    <w:rsid w:val="6A9811DC"/>
    <w:rsid w:val="6A99742E"/>
    <w:rsid w:val="6A9A4F55"/>
    <w:rsid w:val="6A9A6D03"/>
    <w:rsid w:val="6A9C0CCD"/>
    <w:rsid w:val="6A9E3B91"/>
    <w:rsid w:val="6AA45DD3"/>
    <w:rsid w:val="6AA638F9"/>
    <w:rsid w:val="6AA87672"/>
    <w:rsid w:val="6AA95BC6"/>
    <w:rsid w:val="6AAA163C"/>
    <w:rsid w:val="6AAB1A19"/>
    <w:rsid w:val="6AAF0A00"/>
    <w:rsid w:val="6AB204F0"/>
    <w:rsid w:val="6AB26742"/>
    <w:rsid w:val="6AB35899"/>
    <w:rsid w:val="6AB778B5"/>
    <w:rsid w:val="6AB9187F"/>
    <w:rsid w:val="6AB9362D"/>
    <w:rsid w:val="6ABA55F7"/>
    <w:rsid w:val="6AC26F41"/>
    <w:rsid w:val="6AC33DB7"/>
    <w:rsid w:val="6AC56475"/>
    <w:rsid w:val="6AC63F9C"/>
    <w:rsid w:val="6ACA583A"/>
    <w:rsid w:val="6ACC2C9C"/>
    <w:rsid w:val="6AD05313"/>
    <w:rsid w:val="6AD466B8"/>
    <w:rsid w:val="6AD77F57"/>
    <w:rsid w:val="6AD8071A"/>
    <w:rsid w:val="6AE023C2"/>
    <w:rsid w:val="6AE306AA"/>
    <w:rsid w:val="6AE52674"/>
    <w:rsid w:val="6AE61F48"/>
    <w:rsid w:val="6AEA5EDC"/>
    <w:rsid w:val="6AEB57B0"/>
    <w:rsid w:val="6AED1528"/>
    <w:rsid w:val="6AED777A"/>
    <w:rsid w:val="6AEF52A0"/>
    <w:rsid w:val="6AEF704E"/>
    <w:rsid w:val="6AF9611F"/>
    <w:rsid w:val="6AFB1E97"/>
    <w:rsid w:val="6AFF300A"/>
    <w:rsid w:val="6B014FD4"/>
    <w:rsid w:val="6B016D82"/>
    <w:rsid w:val="6B030D4C"/>
    <w:rsid w:val="6B040620"/>
    <w:rsid w:val="6B080110"/>
    <w:rsid w:val="6B0C26B5"/>
    <w:rsid w:val="6B1116BB"/>
    <w:rsid w:val="6B1271E1"/>
    <w:rsid w:val="6B1765A5"/>
    <w:rsid w:val="6B1860D6"/>
    <w:rsid w:val="6B19056F"/>
    <w:rsid w:val="6B19231D"/>
    <w:rsid w:val="6B1B42E7"/>
    <w:rsid w:val="6B1C1E0E"/>
    <w:rsid w:val="6B1E157D"/>
    <w:rsid w:val="6B1E2C4D"/>
    <w:rsid w:val="6B2034A7"/>
    <w:rsid w:val="6B2313EE"/>
    <w:rsid w:val="6B264A3A"/>
    <w:rsid w:val="6B272FFA"/>
    <w:rsid w:val="6B2A0087"/>
    <w:rsid w:val="6B301415"/>
    <w:rsid w:val="6B340F05"/>
    <w:rsid w:val="6B39200D"/>
    <w:rsid w:val="6B39476E"/>
    <w:rsid w:val="6B3C600C"/>
    <w:rsid w:val="6B3D24B0"/>
    <w:rsid w:val="6B3E3B32"/>
    <w:rsid w:val="6B457CC4"/>
    <w:rsid w:val="6B476E8A"/>
    <w:rsid w:val="6B4A0729"/>
    <w:rsid w:val="6B4A697B"/>
    <w:rsid w:val="6B511AB7"/>
    <w:rsid w:val="6B563571"/>
    <w:rsid w:val="6B592977"/>
    <w:rsid w:val="6B5947EC"/>
    <w:rsid w:val="6B594E10"/>
    <w:rsid w:val="6B5A2FD8"/>
    <w:rsid w:val="6B5E2426"/>
    <w:rsid w:val="6B623CC4"/>
    <w:rsid w:val="6B630500"/>
    <w:rsid w:val="6B685053"/>
    <w:rsid w:val="6B686E01"/>
    <w:rsid w:val="6B6C4B43"/>
    <w:rsid w:val="6B712159"/>
    <w:rsid w:val="6B761553"/>
    <w:rsid w:val="6B7632CC"/>
    <w:rsid w:val="6B7C2964"/>
    <w:rsid w:val="6B7C51E5"/>
    <w:rsid w:val="6B7D28AC"/>
    <w:rsid w:val="6B8005EE"/>
    <w:rsid w:val="6B836E07"/>
    <w:rsid w:val="6B841E74"/>
    <w:rsid w:val="6B842A13"/>
    <w:rsid w:val="6B854729"/>
    <w:rsid w:val="6B863F8C"/>
    <w:rsid w:val="6B8C2426"/>
    <w:rsid w:val="6B8E7776"/>
    <w:rsid w:val="6B8F25DF"/>
    <w:rsid w:val="6B947BF6"/>
    <w:rsid w:val="6B99520C"/>
    <w:rsid w:val="6B9B0F84"/>
    <w:rsid w:val="6B9F6960"/>
    <w:rsid w:val="6BA234A1"/>
    <w:rsid w:val="6BA350A4"/>
    <w:rsid w:val="6BA46CEF"/>
    <w:rsid w:val="6BA53BB1"/>
    <w:rsid w:val="6BA8544F"/>
    <w:rsid w:val="6BAA7419"/>
    <w:rsid w:val="6BAC4F3F"/>
    <w:rsid w:val="6BAE0CB8"/>
    <w:rsid w:val="6BAF2C82"/>
    <w:rsid w:val="6BB107A8"/>
    <w:rsid w:val="6BB35604"/>
    <w:rsid w:val="6BB661EC"/>
    <w:rsid w:val="6BB70F10"/>
    <w:rsid w:val="6BBB1626"/>
    <w:rsid w:val="6BBB33D4"/>
    <w:rsid w:val="6BBD539F"/>
    <w:rsid w:val="6BBE4C73"/>
    <w:rsid w:val="6BC06C3D"/>
    <w:rsid w:val="6BC57F00"/>
    <w:rsid w:val="6BC73B27"/>
    <w:rsid w:val="6BCF6E80"/>
    <w:rsid w:val="6BD050D2"/>
    <w:rsid w:val="6BD3071E"/>
    <w:rsid w:val="6BD821D8"/>
    <w:rsid w:val="6BDB5825"/>
    <w:rsid w:val="6BDF5315"/>
    <w:rsid w:val="6BE467D1"/>
    <w:rsid w:val="6BE65489"/>
    <w:rsid w:val="6BE73BFE"/>
    <w:rsid w:val="6BE741CA"/>
    <w:rsid w:val="6BE96194"/>
    <w:rsid w:val="6BEC17E0"/>
    <w:rsid w:val="6BEC7A32"/>
    <w:rsid w:val="6BF07522"/>
    <w:rsid w:val="6BF25356"/>
    <w:rsid w:val="6BF44EAF"/>
    <w:rsid w:val="6BF6265F"/>
    <w:rsid w:val="6BF66731"/>
    <w:rsid w:val="6BFF3C0B"/>
    <w:rsid w:val="6C083EDD"/>
    <w:rsid w:val="6C0B610A"/>
    <w:rsid w:val="6C0C1250"/>
    <w:rsid w:val="6C0E5BFA"/>
    <w:rsid w:val="6C0F0DFC"/>
    <w:rsid w:val="6C136D6D"/>
    <w:rsid w:val="6C141D47"/>
    <w:rsid w:val="6C150D37"/>
    <w:rsid w:val="6C164AAF"/>
    <w:rsid w:val="6C1672C1"/>
    <w:rsid w:val="6C17459F"/>
    <w:rsid w:val="6C180827"/>
    <w:rsid w:val="6C1F3963"/>
    <w:rsid w:val="6C2076DB"/>
    <w:rsid w:val="6C264CF2"/>
    <w:rsid w:val="6C270246"/>
    <w:rsid w:val="6C2B1DC9"/>
    <w:rsid w:val="6C2C7E2E"/>
    <w:rsid w:val="6C2E004A"/>
    <w:rsid w:val="6C327B3B"/>
    <w:rsid w:val="6C3513D9"/>
    <w:rsid w:val="6C375151"/>
    <w:rsid w:val="6C3C4515"/>
    <w:rsid w:val="6C3D64DF"/>
    <w:rsid w:val="6C417D7E"/>
    <w:rsid w:val="6C423CA9"/>
    <w:rsid w:val="6C4537CF"/>
    <w:rsid w:val="6C457946"/>
    <w:rsid w:val="6C4B4A70"/>
    <w:rsid w:val="6C4C04D0"/>
    <w:rsid w:val="6C4D3E71"/>
    <w:rsid w:val="6C515AE7"/>
    <w:rsid w:val="6C5706BC"/>
    <w:rsid w:val="6C5775A1"/>
    <w:rsid w:val="6C580C23"/>
    <w:rsid w:val="6C586E75"/>
    <w:rsid w:val="6C5B4ADD"/>
    <w:rsid w:val="6C5B7766"/>
    <w:rsid w:val="6C5C11C9"/>
    <w:rsid w:val="6C5D26DE"/>
    <w:rsid w:val="6C5D448C"/>
    <w:rsid w:val="6C6972D4"/>
    <w:rsid w:val="6C6A16B7"/>
    <w:rsid w:val="6C6B6BA9"/>
    <w:rsid w:val="6C6B6C2A"/>
    <w:rsid w:val="6C6E6699"/>
    <w:rsid w:val="6C702411"/>
    <w:rsid w:val="6C72227A"/>
    <w:rsid w:val="6C757A27"/>
    <w:rsid w:val="6C7672FB"/>
    <w:rsid w:val="6C7A3290"/>
    <w:rsid w:val="6C81017A"/>
    <w:rsid w:val="6C815AC2"/>
    <w:rsid w:val="6C823EF2"/>
    <w:rsid w:val="6C845EBC"/>
    <w:rsid w:val="6C885039"/>
    <w:rsid w:val="6C8859AD"/>
    <w:rsid w:val="6C8A6B02"/>
    <w:rsid w:val="6C8C6B1F"/>
    <w:rsid w:val="6C90660F"/>
    <w:rsid w:val="6C9205D9"/>
    <w:rsid w:val="6C97174C"/>
    <w:rsid w:val="6C9A123C"/>
    <w:rsid w:val="6C9A56E0"/>
    <w:rsid w:val="6C9F4AA4"/>
    <w:rsid w:val="6CA4030D"/>
    <w:rsid w:val="6CAB7E55"/>
    <w:rsid w:val="6CB5251A"/>
    <w:rsid w:val="6CB56076"/>
    <w:rsid w:val="6CB87914"/>
    <w:rsid w:val="6CBA0FE1"/>
    <w:rsid w:val="6CBE317C"/>
    <w:rsid w:val="6CC14A1B"/>
    <w:rsid w:val="6CC22541"/>
    <w:rsid w:val="6CC27C76"/>
    <w:rsid w:val="6CC30793"/>
    <w:rsid w:val="6CC354FC"/>
    <w:rsid w:val="6CC462B9"/>
    <w:rsid w:val="6CC938CF"/>
    <w:rsid w:val="6CD209D6"/>
    <w:rsid w:val="6CD306F8"/>
    <w:rsid w:val="6CD81D64"/>
    <w:rsid w:val="6CD97FB6"/>
    <w:rsid w:val="6CDC3602"/>
    <w:rsid w:val="6CDD60A6"/>
    <w:rsid w:val="6CDE737B"/>
    <w:rsid w:val="6CE30E35"/>
    <w:rsid w:val="6CE4695B"/>
    <w:rsid w:val="6CE81FA7"/>
    <w:rsid w:val="6CE8644B"/>
    <w:rsid w:val="6CE93F71"/>
    <w:rsid w:val="6CEB1A97"/>
    <w:rsid w:val="6CED3A62"/>
    <w:rsid w:val="6CF04751"/>
    <w:rsid w:val="6CF22E26"/>
    <w:rsid w:val="6CF52916"/>
    <w:rsid w:val="6CFA617E"/>
    <w:rsid w:val="6CFC5A53"/>
    <w:rsid w:val="6CFE7A1D"/>
    <w:rsid w:val="6D0019E7"/>
    <w:rsid w:val="6D035033"/>
    <w:rsid w:val="6D0509B6"/>
    <w:rsid w:val="6D090170"/>
    <w:rsid w:val="6D0A4613"/>
    <w:rsid w:val="6D0B3EE8"/>
    <w:rsid w:val="6D1234C8"/>
    <w:rsid w:val="6D1E3C1B"/>
    <w:rsid w:val="6D1F412E"/>
    <w:rsid w:val="6D266F73"/>
    <w:rsid w:val="6D2B458A"/>
    <w:rsid w:val="6D2B6338"/>
    <w:rsid w:val="6D34343E"/>
    <w:rsid w:val="6D3451EC"/>
    <w:rsid w:val="6D350F65"/>
    <w:rsid w:val="6D3A5127"/>
    <w:rsid w:val="6D3E06C9"/>
    <w:rsid w:val="6D3E250F"/>
    <w:rsid w:val="6D3F7117"/>
    <w:rsid w:val="6D467052"/>
    <w:rsid w:val="6D4E3543"/>
    <w:rsid w:val="6D4F2026"/>
    <w:rsid w:val="6D505D9E"/>
    <w:rsid w:val="6D512242"/>
    <w:rsid w:val="6D513FF0"/>
    <w:rsid w:val="6D521B17"/>
    <w:rsid w:val="6D5238C5"/>
    <w:rsid w:val="6D561607"/>
    <w:rsid w:val="6D570025"/>
    <w:rsid w:val="6D5B4E6F"/>
    <w:rsid w:val="6D5B6C1D"/>
    <w:rsid w:val="6D611D5A"/>
    <w:rsid w:val="6D616AB2"/>
    <w:rsid w:val="6D617FAC"/>
    <w:rsid w:val="6D642862"/>
    <w:rsid w:val="6D657A9C"/>
    <w:rsid w:val="6D667370"/>
    <w:rsid w:val="6D6B5FE5"/>
    <w:rsid w:val="6D6D6950"/>
    <w:rsid w:val="6D745F31"/>
    <w:rsid w:val="6D747729"/>
    <w:rsid w:val="6D747CDF"/>
    <w:rsid w:val="6D7952F5"/>
    <w:rsid w:val="6D7A61C9"/>
    <w:rsid w:val="6D832679"/>
    <w:rsid w:val="6D8617C0"/>
    <w:rsid w:val="6D8F4B19"/>
    <w:rsid w:val="6D91263F"/>
    <w:rsid w:val="6D942381"/>
    <w:rsid w:val="6D9D7236"/>
    <w:rsid w:val="6D9E4D5C"/>
    <w:rsid w:val="6DA51372"/>
    <w:rsid w:val="6DA700B4"/>
    <w:rsid w:val="6DAC1227"/>
    <w:rsid w:val="6DAC2834"/>
    <w:rsid w:val="6DAD4F9F"/>
    <w:rsid w:val="6DB1683D"/>
    <w:rsid w:val="6DB225B5"/>
    <w:rsid w:val="6DB35745"/>
    <w:rsid w:val="6DBA39B1"/>
    <w:rsid w:val="6DBC2D09"/>
    <w:rsid w:val="6DBC51E2"/>
    <w:rsid w:val="6DC21DEE"/>
    <w:rsid w:val="6DC81DD9"/>
    <w:rsid w:val="6DC9002B"/>
    <w:rsid w:val="6DC9627D"/>
    <w:rsid w:val="6DD135E5"/>
    <w:rsid w:val="6DD32C57"/>
    <w:rsid w:val="6DD864C0"/>
    <w:rsid w:val="6DD93FE6"/>
    <w:rsid w:val="6DD95C8D"/>
    <w:rsid w:val="6DDD3AD6"/>
    <w:rsid w:val="6DE05CD4"/>
    <w:rsid w:val="6DE24C48"/>
    <w:rsid w:val="6DE309C1"/>
    <w:rsid w:val="6DE5298B"/>
    <w:rsid w:val="6DE85FD7"/>
    <w:rsid w:val="6DE9247B"/>
    <w:rsid w:val="6DEC3D19"/>
    <w:rsid w:val="6DED3309"/>
    <w:rsid w:val="6DEE7A91"/>
    <w:rsid w:val="6DEF3809"/>
    <w:rsid w:val="6DF36E56"/>
    <w:rsid w:val="6DF42BCE"/>
    <w:rsid w:val="6DF606F4"/>
    <w:rsid w:val="6DF64282"/>
    <w:rsid w:val="6DF80910"/>
    <w:rsid w:val="6DF901E4"/>
    <w:rsid w:val="6DFA4688"/>
    <w:rsid w:val="6DFB3F5C"/>
    <w:rsid w:val="6DFF4B3E"/>
    <w:rsid w:val="6DFF5B12"/>
    <w:rsid w:val="6E02353D"/>
    <w:rsid w:val="6E0659AC"/>
    <w:rsid w:val="6E096679"/>
    <w:rsid w:val="6E0C6169"/>
    <w:rsid w:val="6E105EB1"/>
    <w:rsid w:val="6E1312A6"/>
    <w:rsid w:val="6E176DA8"/>
    <w:rsid w:val="6E184B0E"/>
    <w:rsid w:val="6E1D0376"/>
    <w:rsid w:val="6E1F7C4B"/>
    <w:rsid w:val="6E201C15"/>
    <w:rsid w:val="6E223498"/>
    <w:rsid w:val="6E22773B"/>
    <w:rsid w:val="6E263B15"/>
    <w:rsid w:val="6E2A4841"/>
    <w:rsid w:val="6E2E4332"/>
    <w:rsid w:val="6E3000AA"/>
    <w:rsid w:val="6E3D4575"/>
    <w:rsid w:val="6E4B6C92"/>
    <w:rsid w:val="6E4C0396"/>
    <w:rsid w:val="6E522CAD"/>
    <w:rsid w:val="6E5377EC"/>
    <w:rsid w:val="6E565636"/>
    <w:rsid w:val="6E5A5127"/>
    <w:rsid w:val="6E5C19CE"/>
    <w:rsid w:val="6E5F273D"/>
    <w:rsid w:val="6E62342C"/>
    <w:rsid w:val="6E6733A0"/>
    <w:rsid w:val="6E6B10E2"/>
    <w:rsid w:val="6E6D676C"/>
    <w:rsid w:val="6E6E472E"/>
    <w:rsid w:val="6E7A0843"/>
    <w:rsid w:val="6E7B6E4B"/>
    <w:rsid w:val="6E7D0E15"/>
    <w:rsid w:val="6E804461"/>
    <w:rsid w:val="6E810905"/>
    <w:rsid w:val="6E8126B3"/>
    <w:rsid w:val="6E89335C"/>
    <w:rsid w:val="6E8A03A5"/>
    <w:rsid w:val="6E8C40E8"/>
    <w:rsid w:val="6E91041D"/>
    <w:rsid w:val="6E91558C"/>
    <w:rsid w:val="6E922B12"/>
    <w:rsid w:val="6E941653"/>
    <w:rsid w:val="6E9879FD"/>
    <w:rsid w:val="6E9E14B7"/>
    <w:rsid w:val="6EA25D30"/>
    <w:rsid w:val="6EAD16FA"/>
    <w:rsid w:val="6EB10C80"/>
    <w:rsid w:val="6EB365E5"/>
    <w:rsid w:val="6EB60DF0"/>
    <w:rsid w:val="6EB8009F"/>
    <w:rsid w:val="6EB84305"/>
    <w:rsid w:val="6EB93430"/>
    <w:rsid w:val="6EC24A7A"/>
    <w:rsid w:val="6EC32CCC"/>
    <w:rsid w:val="6EC4452A"/>
    <w:rsid w:val="6EC67DFF"/>
    <w:rsid w:val="6EC9405A"/>
    <w:rsid w:val="6ECA36D3"/>
    <w:rsid w:val="6ECC76A7"/>
    <w:rsid w:val="6ECD2716"/>
    <w:rsid w:val="6ECE55DC"/>
    <w:rsid w:val="6ED053E9"/>
    <w:rsid w:val="6ED44ED9"/>
    <w:rsid w:val="6EE51CFE"/>
    <w:rsid w:val="6EE64C0C"/>
    <w:rsid w:val="6EE82E45"/>
    <w:rsid w:val="6EEB2223"/>
    <w:rsid w:val="6EEE586F"/>
    <w:rsid w:val="6EF00DC8"/>
    <w:rsid w:val="6EF56BFD"/>
    <w:rsid w:val="6EF8049C"/>
    <w:rsid w:val="6EFA4214"/>
    <w:rsid w:val="6EFD09F1"/>
    <w:rsid w:val="6EFE3D04"/>
    <w:rsid w:val="6EFF7A7C"/>
    <w:rsid w:val="6F0230C8"/>
    <w:rsid w:val="6F0357BE"/>
    <w:rsid w:val="6F0440B7"/>
    <w:rsid w:val="6F084B83"/>
    <w:rsid w:val="6F0A08FB"/>
    <w:rsid w:val="6F143527"/>
    <w:rsid w:val="6F16554D"/>
    <w:rsid w:val="6F190B3E"/>
    <w:rsid w:val="6F1928EC"/>
    <w:rsid w:val="6F1E43A6"/>
    <w:rsid w:val="6F213E96"/>
    <w:rsid w:val="6F215C44"/>
    <w:rsid w:val="6F255735"/>
    <w:rsid w:val="6F26325B"/>
    <w:rsid w:val="6F2861E7"/>
    <w:rsid w:val="6F2B261F"/>
    <w:rsid w:val="6F2B3057"/>
    <w:rsid w:val="6F2C5FF8"/>
    <w:rsid w:val="6F2D283B"/>
    <w:rsid w:val="6F2F210F"/>
    <w:rsid w:val="6F340B5E"/>
    <w:rsid w:val="6F345978"/>
    <w:rsid w:val="6F3C5AED"/>
    <w:rsid w:val="6F40431D"/>
    <w:rsid w:val="6F437969"/>
    <w:rsid w:val="6F441EB0"/>
    <w:rsid w:val="6F466764"/>
    <w:rsid w:val="6F481423"/>
    <w:rsid w:val="6F4B4A6F"/>
    <w:rsid w:val="6F4B7F29"/>
    <w:rsid w:val="6F51652A"/>
    <w:rsid w:val="6F547DC8"/>
    <w:rsid w:val="6F563B40"/>
    <w:rsid w:val="6F571666"/>
    <w:rsid w:val="6F5778B8"/>
    <w:rsid w:val="6F5C6C7D"/>
    <w:rsid w:val="6F5D12B3"/>
    <w:rsid w:val="6F5D1A70"/>
    <w:rsid w:val="6F6049BF"/>
    <w:rsid w:val="6F60676D"/>
    <w:rsid w:val="6F62223F"/>
    <w:rsid w:val="6F6618A9"/>
    <w:rsid w:val="6F683873"/>
    <w:rsid w:val="6F6840AB"/>
    <w:rsid w:val="6F6A1399"/>
    <w:rsid w:val="6F6A5F99"/>
    <w:rsid w:val="6F6D49E6"/>
    <w:rsid w:val="6F6E3364"/>
    <w:rsid w:val="6F6F075E"/>
    <w:rsid w:val="6F7264A0"/>
    <w:rsid w:val="6F742218"/>
    <w:rsid w:val="6F773AB6"/>
    <w:rsid w:val="6F7E3097"/>
    <w:rsid w:val="6F83245B"/>
    <w:rsid w:val="6F8C7562"/>
    <w:rsid w:val="6F8D27C3"/>
    <w:rsid w:val="6F8D3F04"/>
    <w:rsid w:val="6F8D6E36"/>
    <w:rsid w:val="6F9401C4"/>
    <w:rsid w:val="6F9603E0"/>
    <w:rsid w:val="6F966EFB"/>
    <w:rsid w:val="6F9E54E7"/>
    <w:rsid w:val="6FA06B69"/>
    <w:rsid w:val="6FA128E1"/>
    <w:rsid w:val="6FA523D2"/>
    <w:rsid w:val="6FA7614A"/>
    <w:rsid w:val="6FA81A3C"/>
    <w:rsid w:val="6FAF14A2"/>
    <w:rsid w:val="6FB10D76"/>
    <w:rsid w:val="6FB16FC8"/>
    <w:rsid w:val="6FB22D40"/>
    <w:rsid w:val="6FB2689C"/>
    <w:rsid w:val="6FB35C1F"/>
    <w:rsid w:val="6FB67229"/>
    <w:rsid w:val="6FC14D32"/>
    <w:rsid w:val="6FC447D3"/>
    <w:rsid w:val="6FC84312"/>
    <w:rsid w:val="6FC9117A"/>
    <w:rsid w:val="6FCA008A"/>
    <w:rsid w:val="6FCD1928"/>
    <w:rsid w:val="6FCE7B7A"/>
    <w:rsid w:val="6FCF38F2"/>
    <w:rsid w:val="6FD40F09"/>
    <w:rsid w:val="6FD44A65"/>
    <w:rsid w:val="6FD736E6"/>
    <w:rsid w:val="6FDC1B6B"/>
    <w:rsid w:val="6FDD1EA3"/>
    <w:rsid w:val="6FE0165C"/>
    <w:rsid w:val="6FE4739E"/>
    <w:rsid w:val="6FE50A20"/>
    <w:rsid w:val="6FE54EC4"/>
    <w:rsid w:val="6FE74798"/>
    <w:rsid w:val="6FE80510"/>
    <w:rsid w:val="6FEA3A6A"/>
    <w:rsid w:val="6FEB7D36"/>
    <w:rsid w:val="6FED5B27"/>
    <w:rsid w:val="6FF003F1"/>
    <w:rsid w:val="6FF173C5"/>
    <w:rsid w:val="6FF3138F"/>
    <w:rsid w:val="6FF46EB5"/>
    <w:rsid w:val="6FF70753"/>
    <w:rsid w:val="6FFA2E4B"/>
    <w:rsid w:val="6FFB46E7"/>
    <w:rsid w:val="7003534A"/>
    <w:rsid w:val="70061528"/>
    <w:rsid w:val="700C2451"/>
    <w:rsid w:val="700D682A"/>
    <w:rsid w:val="700E441B"/>
    <w:rsid w:val="70115CB9"/>
    <w:rsid w:val="70117A67"/>
    <w:rsid w:val="701337DF"/>
    <w:rsid w:val="701557A9"/>
    <w:rsid w:val="70230A50"/>
    <w:rsid w:val="702A6D7B"/>
    <w:rsid w:val="702C48A1"/>
    <w:rsid w:val="702F613F"/>
    <w:rsid w:val="70310109"/>
    <w:rsid w:val="70313C65"/>
    <w:rsid w:val="70390D6C"/>
    <w:rsid w:val="70390E66"/>
    <w:rsid w:val="70393D95"/>
    <w:rsid w:val="703C3572"/>
    <w:rsid w:val="703D6AAE"/>
    <w:rsid w:val="7040659E"/>
    <w:rsid w:val="704716DB"/>
    <w:rsid w:val="7047792D"/>
    <w:rsid w:val="70485CE6"/>
    <w:rsid w:val="704C0A9F"/>
    <w:rsid w:val="704C6CF1"/>
    <w:rsid w:val="704D78C3"/>
    <w:rsid w:val="7053007F"/>
    <w:rsid w:val="70562E59"/>
    <w:rsid w:val="705838E8"/>
    <w:rsid w:val="705878A5"/>
    <w:rsid w:val="705C54C7"/>
    <w:rsid w:val="705D0EFE"/>
    <w:rsid w:val="705D2CAC"/>
    <w:rsid w:val="70624A53"/>
    <w:rsid w:val="70657DB3"/>
    <w:rsid w:val="70695446"/>
    <w:rsid w:val="706F1805"/>
    <w:rsid w:val="70741DA4"/>
    <w:rsid w:val="70765B1C"/>
    <w:rsid w:val="707A560C"/>
    <w:rsid w:val="707D50FC"/>
    <w:rsid w:val="7080244B"/>
    <w:rsid w:val="7080699B"/>
    <w:rsid w:val="70814BED"/>
    <w:rsid w:val="708C533F"/>
    <w:rsid w:val="708D657F"/>
    <w:rsid w:val="70916390"/>
    <w:rsid w:val="70983692"/>
    <w:rsid w:val="70A07186"/>
    <w:rsid w:val="70A628A5"/>
    <w:rsid w:val="70A94143"/>
    <w:rsid w:val="70AF6D48"/>
    <w:rsid w:val="70B054D2"/>
    <w:rsid w:val="70BB79D3"/>
    <w:rsid w:val="70BC134B"/>
    <w:rsid w:val="70C04FE9"/>
    <w:rsid w:val="70C1148D"/>
    <w:rsid w:val="70C152B0"/>
    <w:rsid w:val="70C42D2B"/>
    <w:rsid w:val="70C60851"/>
    <w:rsid w:val="70C64CF5"/>
    <w:rsid w:val="70C745CA"/>
    <w:rsid w:val="70C8271B"/>
    <w:rsid w:val="70C920F0"/>
    <w:rsid w:val="70D016D0"/>
    <w:rsid w:val="70D25448"/>
    <w:rsid w:val="70D31FDB"/>
    <w:rsid w:val="70DE203F"/>
    <w:rsid w:val="70DF7B65"/>
    <w:rsid w:val="70E138DD"/>
    <w:rsid w:val="70E64CAA"/>
    <w:rsid w:val="70E87D2E"/>
    <w:rsid w:val="70E92792"/>
    <w:rsid w:val="70EB650A"/>
    <w:rsid w:val="70ED2282"/>
    <w:rsid w:val="70EE0E01"/>
    <w:rsid w:val="70F25AEA"/>
    <w:rsid w:val="70F31F92"/>
    <w:rsid w:val="70F33611"/>
    <w:rsid w:val="70F520ED"/>
    <w:rsid w:val="70F52EE5"/>
    <w:rsid w:val="70F65EBA"/>
    <w:rsid w:val="70F73101"/>
    <w:rsid w:val="70F7672F"/>
    <w:rsid w:val="70FA674D"/>
    <w:rsid w:val="70FC0717"/>
    <w:rsid w:val="7101667B"/>
    <w:rsid w:val="71035221"/>
    <w:rsid w:val="710B2708"/>
    <w:rsid w:val="710D6480"/>
    <w:rsid w:val="711041C2"/>
    <w:rsid w:val="711200BC"/>
    <w:rsid w:val="7113780F"/>
    <w:rsid w:val="71152AE8"/>
    <w:rsid w:val="71153587"/>
    <w:rsid w:val="711D243B"/>
    <w:rsid w:val="7121200D"/>
    <w:rsid w:val="71213827"/>
    <w:rsid w:val="71245578"/>
    <w:rsid w:val="712573E8"/>
    <w:rsid w:val="712612F0"/>
    <w:rsid w:val="712832BA"/>
    <w:rsid w:val="712864D5"/>
    <w:rsid w:val="712A5284"/>
    <w:rsid w:val="71332BBF"/>
    <w:rsid w:val="713734FD"/>
    <w:rsid w:val="713752AB"/>
    <w:rsid w:val="713C0B14"/>
    <w:rsid w:val="713C53B2"/>
    <w:rsid w:val="71436346"/>
    <w:rsid w:val="71494FDF"/>
    <w:rsid w:val="714B51FB"/>
    <w:rsid w:val="714F0C57"/>
    <w:rsid w:val="714F6A99"/>
    <w:rsid w:val="71566079"/>
    <w:rsid w:val="715A543E"/>
    <w:rsid w:val="715E1BEB"/>
    <w:rsid w:val="716770E4"/>
    <w:rsid w:val="716A5681"/>
    <w:rsid w:val="716D33C3"/>
    <w:rsid w:val="716E686F"/>
    <w:rsid w:val="716F0EE9"/>
    <w:rsid w:val="716F2C97"/>
    <w:rsid w:val="717007BD"/>
    <w:rsid w:val="71706A0F"/>
    <w:rsid w:val="71725BB0"/>
    <w:rsid w:val="71731C06"/>
    <w:rsid w:val="71771B4C"/>
    <w:rsid w:val="717B788E"/>
    <w:rsid w:val="717C7162"/>
    <w:rsid w:val="718A5D23"/>
    <w:rsid w:val="71900E5F"/>
    <w:rsid w:val="71922E29"/>
    <w:rsid w:val="71940950"/>
    <w:rsid w:val="719646C8"/>
    <w:rsid w:val="71995F66"/>
    <w:rsid w:val="719C7804"/>
    <w:rsid w:val="71A072F4"/>
    <w:rsid w:val="71A2244A"/>
    <w:rsid w:val="71A41A51"/>
    <w:rsid w:val="71A42811"/>
    <w:rsid w:val="71A861A9"/>
    <w:rsid w:val="71AA0173"/>
    <w:rsid w:val="71AB5C99"/>
    <w:rsid w:val="71B047FB"/>
    <w:rsid w:val="71B15784"/>
    <w:rsid w:val="71B20DD6"/>
    <w:rsid w:val="71B21F4E"/>
    <w:rsid w:val="71B2527A"/>
    <w:rsid w:val="71B44B4E"/>
    <w:rsid w:val="71B72890"/>
    <w:rsid w:val="71BC7EA6"/>
    <w:rsid w:val="71C01745"/>
    <w:rsid w:val="71C07997"/>
    <w:rsid w:val="71C31235"/>
    <w:rsid w:val="71C72AD3"/>
    <w:rsid w:val="71C867F5"/>
    <w:rsid w:val="71CA376C"/>
    <w:rsid w:val="71CD3E62"/>
    <w:rsid w:val="71D13952"/>
    <w:rsid w:val="71D1444C"/>
    <w:rsid w:val="71D64AC4"/>
    <w:rsid w:val="71DC5E53"/>
    <w:rsid w:val="71DE0782"/>
    <w:rsid w:val="71DE1BCB"/>
    <w:rsid w:val="71E03B95"/>
    <w:rsid w:val="71E847F7"/>
    <w:rsid w:val="71EC253A"/>
    <w:rsid w:val="71F238C8"/>
    <w:rsid w:val="71F4319C"/>
    <w:rsid w:val="71F633B8"/>
    <w:rsid w:val="71F9130C"/>
    <w:rsid w:val="71FE226D"/>
    <w:rsid w:val="72007D93"/>
    <w:rsid w:val="720553A9"/>
    <w:rsid w:val="720C6738"/>
    <w:rsid w:val="7215759C"/>
    <w:rsid w:val="721B697B"/>
    <w:rsid w:val="7220374A"/>
    <w:rsid w:val="722241AD"/>
    <w:rsid w:val="72256230"/>
    <w:rsid w:val="72273572"/>
    <w:rsid w:val="722C0B88"/>
    <w:rsid w:val="722C6DDA"/>
    <w:rsid w:val="722E4900"/>
    <w:rsid w:val="722F2426"/>
    <w:rsid w:val="722F68CA"/>
    <w:rsid w:val="72304797"/>
    <w:rsid w:val="7231619E"/>
    <w:rsid w:val="72395053"/>
    <w:rsid w:val="723D0FE7"/>
    <w:rsid w:val="723F6274"/>
    <w:rsid w:val="72442376"/>
    <w:rsid w:val="7245773D"/>
    <w:rsid w:val="724834E8"/>
    <w:rsid w:val="7249040E"/>
    <w:rsid w:val="724C4D86"/>
    <w:rsid w:val="724E4FA2"/>
    <w:rsid w:val="72536115"/>
    <w:rsid w:val="72555F92"/>
    <w:rsid w:val="72565C05"/>
    <w:rsid w:val="726522EC"/>
    <w:rsid w:val="7265409A"/>
    <w:rsid w:val="726739D4"/>
    <w:rsid w:val="726E11A1"/>
    <w:rsid w:val="7270316B"/>
    <w:rsid w:val="727047CE"/>
    <w:rsid w:val="72712A3F"/>
    <w:rsid w:val="727367B7"/>
    <w:rsid w:val="72750781"/>
    <w:rsid w:val="7275252F"/>
    <w:rsid w:val="727A5D97"/>
    <w:rsid w:val="727B1B10"/>
    <w:rsid w:val="72824C4C"/>
    <w:rsid w:val="728409C4"/>
    <w:rsid w:val="7284346E"/>
    <w:rsid w:val="72850298"/>
    <w:rsid w:val="728564EA"/>
    <w:rsid w:val="728C6806"/>
    <w:rsid w:val="728C7879"/>
    <w:rsid w:val="728D72D4"/>
    <w:rsid w:val="728F1117"/>
    <w:rsid w:val="72936E59"/>
    <w:rsid w:val="7295118A"/>
    <w:rsid w:val="72955A66"/>
    <w:rsid w:val="7298446F"/>
    <w:rsid w:val="729B5D0E"/>
    <w:rsid w:val="729D1A86"/>
    <w:rsid w:val="729D3834"/>
    <w:rsid w:val="72A252EE"/>
    <w:rsid w:val="72A5093A"/>
    <w:rsid w:val="72A63904"/>
    <w:rsid w:val="72A66B8C"/>
    <w:rsid w:val="72A9042B"/>
    <w:rsid w:val="72AC1CC9"/>
    <w:rsid w:val="72AE2AAD"/>
    <w:rsid w:val="72B017B9"/>
    <w:rsid w:val="72B90194"/>
    <w:rsid w:val="72BA43E6"/>
    <w:rsid w:val="72BD7A32"/>
    <w:rsid w:val="72BF19FC"/>
    <w:rsid w:val="72C2329A"/>
    <w:rsid w:val="72CC4119"/>
    <w:rsid w:val="72CE5BB2"/>
    <w:rsid w:val="72CE60E3"/>
    <w:rsid w:val="72D6565A"/>
    <w:rsid w:val="72DB610A"/>
    <w:rsid w:val="72DC25AE"/>
    <w:rsid w:val="72DE2C3D"/>
    <w:rsid w:val="72DF5BFA"/>
    <w:rsid w:val="72E27499"/>
    <w:rsid w:val="72E70F53"/>
    <w:rsid w:val="72E927FF"/>
    <w:rsid w:val="72EB27F1"/>
    <w:rsid w:val="72EC0317"/>
    <w:rsid w:val="72EC65AF"/>
    <w:rsid w:val="72ED217D"/>
    <w:rsid w:val="72EE22E1"/>
    <w:rsid w:val="72F80E64"/>
    <w:rsid w:val="72F912A8"/>
    <w:rsid w:val="73012015"/>
    <w:rsid w:val="73043513"/>
    <w:rsid w:val="730613D9"/>
    <w:rsid w:val="7306587D"/>
    <w:rsid w:val="730B2E93"/>
    <w:rsid w:val="730B69EF"/>
    <w:rsid w:val="730C2768"/>
    <w:rsid w:val="730D09BA"/>
    <w:rsid w:val="730F1287"/>
    <w:rsid w:val="730F44AC"/>
    <w:rsid w:val="731358A4"/>
    <w:rsid w:val="73171838"/>
    <w:rsid w:val="731F249B"/>
    <w:rsid w:val="731F2D71"/>
    <w:rsid w:val="73201B9F"/>
    <w:rsid w:val="73217FC1"/>
    <w:rsid w:val="73231CF3"/>
    <w:rsid w:val="732D105C"/>
    <w:rsid w:val="733034AE"/>
    <w:rsid w:val="73306456"/>
    <w:rsid w:val="73335F46"/>
    <w:rsid w:val="7334649C"/>
    <w:rsid w:val="73351CBE"/>
    <w:rsid w:val="73396415"/>
    <w:rsid w:val="733C304D"/>
    <w:rsid w:val="733E17AF"/>
    <w:rsid w:val="733F48EB"/>
    <w:rsid w:val="734819F2"/>
    <w:rsid w:val="734939BC"/>
    <w:rsid w:val="734D525A"/>
    <w:rsid w:val="73506AF8"/>
    <w:rsid w:val="73530396"/>
    <w:rsid w:val="73566CAF"/>
    <w:rsid w:val="73571880"/>
    <w:rsid w:val="735760D9"/>
    <w:rsid w:val="735859AD"/>
    <w:rsid w:val="735C36EF"/>
    <w:rsid w:val="735C724B"/>
    <w:rsid w:val="735E1215"/>
    <w:rsid w:val="736425A4"/>
    <w:rsid w:val="736507F6"/>
    <w:rsid w:val="73661E78"/>
    <w:rsid w:val="736B3932"/>
    <w:rsid w:val="736B748E"/>
    <w:rsid w:val="736D3206"/>
    <w:rsid w:val="736E51D0"/>
    <w:rsid w:val="737067CE"/>
    <w:rsid w:val="7370719A"/>
    <w:rsid w:val="7375655F"/>
    <w:rsid w:val="73766299"/>
    <w:rsid w:val="73770529"/>
    <w:rsid w:val="737722D7"/>
    <w:rsid w:val="7379604F"/>
    <w:rsid w:val="73797DFD"/>
    <w:rsid w:val="737A3B75"/>
    <w:rsid w:val="737C1488"/>
    <w:rsid w:val="737C169B"/>
    <w:rsid w:val="737E6763"/>
    <w:rsid w:val="73842D8A"/>
    <w:rsid w:val="73856327"/>
    <w:rsid w:val="738644F9"/>
    <w:rsid w:val="73893DB8"/>
    <w:rsid w:val="738B18DE"/>
    <w:rsid w:val="738B7B30"/>
    <w:rsid w:val="73944C37"/>
    <w:rsid w:val="73A00CA7"/>
    <w:rsid w:val="73A3131E"/>
    <w:rsid w:val="73AB01D2"/>
    <w:rsid w:val="73AC6367"/>
    <w:rsid w:val="73AF1A71"/>
    <w:rsid w:val="73AF515A"/>
    <w:rsid w:val="73B057E9"/>
    <w:rsid w:val="73B1065D"/>
    <w:rsid w:val="73B13A3B"/>
    <w:rsid w:val="73B250BD"/>
    <w:rsid w:val="73B452D9"/>
    <w:rsid w:val="73B47087"/>
    <w:rsid w:val="73BC418E"/>
    <w:rsid w:val="73BE1CB4"/>
    <w:rsid w:val="73C27AB3"/>
    <w:rsid w:val="73C33969"/>
    <w:rsid w:val="73C372CA"/>
    <w:rsid w:val="73C66DBA"/>
    <w:rsid w:val="73C84DFA"/>
    <w:rsid w:val="73CA0659"/>
    <w:rsid w:val="73CC5F32"/>
    <w:rsid w:val="73CD1EF7"/>
    <w:rsid w:val="73D03795"/>
    <w:rsid w:val="73D9089C"/>
    <w:rsid w:val="73D96AEE"/>
    <w:rsid w:val="73DA4614"/>
    <w:rsid w:val="73E00E2F"/>
    <w:rsid w:val="73E6120B"/>
    <w:rsid w:val="73EF4563"/>
    <w:rsid w:val="73EF6311"/>
    <w:rsid w:val="73F6144E"/>
    <w:rsid w:val="73F90F3E"/>
    <w:rsid w:val="740050F0"/>
    <w:rsid w:val="74014E45"/>
    <w:rsid w:val="74026044"/>
    <w:rsid w:val="74065409"/>
    <w:rsid w:val="7407365B"/>
    <w:rsid w:val="74081181"/>
    <w:rsid w:val="740873D3"/>
    <w:rsid w:val="740A4EF9"/>
    <w:rsid w:val="740D49E9"/>
    <w:rsid w:val="740D6797"/>
    <w:rsid w:val="74143FCA"/>
    <w:rsid w:val="74147B26"/>
    <w:rsid w:val="7416564C"/>
    <w:rsid w:val="74192A9B"/>
    <w:rsid w:val="74205599"/>
    <w:rsid w:val="74277859"/>
    <w:rsid w:val="742D385E"/>
    <w:rsid w:val="742F2BB2"/>
    <w:rsid w:val="74367A9C"/>
    <w:rsid w:val="743774E1"/>
    <w:rsid w:val="743A4358"/>
    <w:rsid w:val="7442098B"/>
    <w:rsid w:val="74435A84"/>
    <w:rsid w:val="74471CA9"/>
    <w:rsid w:val="74477EFB"/>
    <w:rsid w:val="74485A21"/>
    <w:rsid w:val="744A1799"/>
    <w:rsid w:val="744C3764"/>
    <w:rsid w:val="744F5002"/>
    <w:rsid w:val="74534AF2"/>
    <w:rsid w:val="74546174"/>
    <w:rsid w:val="745C0AF6"/>
    <w:rsid w:val="745C662B"/>
    <w:rsid w:val="74654825"/>
    <w:rsid w:val="74674561"/>
    <w:rsid w:val="746A1E3C"/>
    <w:rsid w:val="746C5BB4"/>
    <w:rsid w:val="746D0255"/>
    <w:rsid w:val="746F26E3"/>
    <w:rsid w:val="74704AA1"/>
    <w:rsid w:val="747131CA"/>
    <w:rsid w:val="7480205F"/>
    <w:rsid w:val="7487654A"/>
    <w:rsid w:val="748A428C"/>
    <w:rsid w:val="748A7DE8"/>
    <w:rsid w:val="748C1DB2"/>
    <w:rsid w:val="748D0ADA"/>
    <w:rsid w:val="748F3650"/>
    <w:rsid w:val="7491561A"/>
    <w:rsid w:val="74934EEE"/>
    <w:rsid w:val="749D5D6D"/>
    <w:rsid w:val="749D7B1B"/>
    <w:rsid w:val="74A0585D"/>
    <w:rsid w:val="74A62C0B"/>
    <w:rsid w:val="74AC4D85"/>
    <w:rsid w:val="74AF784E"/>
    <w:rsid w:val="74B11819"/>
    <w:rsid w:val="74B35591"/>
    <w:rsid w:val="74B3733F"/>
    <w:rsid w:val="74B51309"/>
    <w:rsid w:val="74C14349"/>
    <w:rsid w:val="74C27582"/>
    <w:rsid w:val="74C3319E"/>
    <w:rsid w:val="74C4154C"/>
    <w:rsid w:val="74C5589B"/>
    <w:rsid w:val="74C72DEA"/>
    <w:rsid w:val="74CA4688"/>
    <w:rsid w:val="74CC5BBB"/>
    <w:rsid w:val="74D20D69"/>
    <w:rsid w:val="74D6127F"/>
    <w:rsid w:val="74D97F76"/>
    <w:rsid w:val="74DA0950"/>
    <w:rsid w:val="74DC4AE7"/>
    <w:rsid w:val="74E05C5A"/>
    <w:rsid w:val="74E219D2"/>
    <w:rsid w:val="74E25198"/>
    <w:rsid w:val="74E403D4"/>
    <w:rsid w:val="74E63744"/>
    <w:rsid w:val="74E92D60"/>
    <w:rsid w:val="74E97204"/>
    <w:rsid w:val="74F00593"/>
    <w:rsid w:val="74F23177"/>
    <w:rsid w:val="74F31E31"/>
    <w:rsid w:val="74F51B52"/>
    <w:rsid w:val="74F55BA9"/>
    <w:rsid w:val="74F6722B"/>
    <w:rsid w:val="74FA4F6E"/>
    <w:rsid w:val="74FD05BA"/>
    <w:rsid w:val="74FF2584"/>
    <w:rsid w:val="74FF4B63"/>
    <w:rsid w:val="75047B9A"/>
    <w:rsid w:val="750758DC"/>
    <w:rsid w:val="75091655"/>
    <w:rsid w:val="750D7D7F"/>
    <w:rsid w:val="751029E3"/>
    <w:rsid w:val="75127B90"/>
    <w:rsid w:val="7513273D"/>
    <w:rsid w:val="7513602F"/>
    <w:rsid w:val="75153B55"/>
    <w:rsid w:val="7519760D"/>
    <w:rsid w:val="751D21C1"/>
    <w:rsid w:val="75241FEA"/>
    <w:rsid w:val="752913AF"/>
    <w:rsid w:val="752D5343"/>
    <w:rsid w:val="753007A1"/>
    <w:rsid w:val="75327179"/>
    <w:rsid w:val="75373201"/>
    <w:rsid w:val="753871DF"/>
    <w:rsid w:val="753B196C"/>
    <w:rsid w:val="753C37D8"/>
    <w:rsid w:val="753F36F1"/>
    <w:rsid w:val="753F6E24"/>
    <w:rsid w:val="75502DDF"/>
    <w:rsid w:val="75510906"/>
    <w:rsid w:val="75530B22"/>
    <w:rsid w:val="75556648"/>
    <w:rsid w:val="755B49B2"/>
    <w:rsid w:val="755E5AEA"/>
    <w:rsid w:val="756578D8"/>
    <w:rsid w:val="75671015"/>
    <w:rsid w:val="75671ED7"/>
    <w:rsid w:val="7568637B"/>
    <w:rsid w:val="75695C4F"/>
    <w:rsid w:val="756B19C7"/>
    <w:rsid w:val="757132D1"/>
    <w:rsid w:val="75720FA8"/>
    <w:rsid w:val="7577036C"/>
    <w:rsid w:val="757765BE"/>
    <w:rsid w:val="75790588"/>
    <w:rsid w:val="757C1E26"/>
    <w:rsid w:val="758331B5"/>
    <w:rsid w:val="75856EB5"/>
    <w:rsid w:val="758B206A"/>
    <w:rsid w:val="758D193E"/>
    <w:rsid w:val="758D4498"/>
    <w:rsid w:val="759206C7"/>
    <w:rsid w:val="75931266"/>
    <w:rsid w:val="75954C96"/>
    <w:rsid w:val="75956A44"/>
    <w:rsid w:val="759B5BFF"/>
    <w:rsid w:val="759F5B15"/>
    <w:rsid w:val="75A44ED9"/>
    <w:rsid w:val="75A66E6C"/>
    <w:rsid w:val="75AB44BA"/>
    <w:rsid w:val="75B46F90"/>
    <w:rsid w:val="75B65E96"/>
    <w:rsid w:val="75B73ED4"/>
    <w:rsid w:val="75BC4A71"/>
    <w:rsid w:val="75BC5722"/>
    <w:rsid w:val="75C12BF5"/>
    <w:rsid w:val="75C17839"/>
    <w:rsid w:val="75C72748"/>
    <w:rsid w:val="75CE0FA0"/>
    <w:rsid w:val="75D21A46"/>
    <w:rsid w:val="75D752AF"/>
    <w:rsid w:val="75DE488F"/>
    <w:rsid w:val="75E4177A"/>
    <w:rsid w:val="75E672A0"/>
    <w:rsid w:val="75E91A34"/>
    <w:rsid w:val="75EB48B6"/>
    <w:rsid w:val="75F06371"/>
    <w:rsid w:val="75F32F93"/>
    <w:rsid w:val="75F73F89"/>
    <w:rsid w:val="75F75951"/>
    <w:rsid w:val="75F776FF"/>
    <w:rsid w:val="75FC2F67"/>
    <w:rsid w:val="75FE5C0C"/>
    <w:rsid w:val="76004806"/>
    <w:rsid w:val="76011BC9"/>
    <w:rsid w:val="760140DA"/>
    <w:rsid w:val="76052D17"/>
    <w:rsid w:val="76091264"/>
    <w:rsid w:val="760F0C13"/>
    <w:rsid w:val="7610256F"/>
    <w:rsid w:val="761262E7"/>
    <w:rsid w:val="7614205F"/>
    <w:rsid w:val="76157B85"/>
    <w:rsid w:val="76173158"/>
    <w:rsid w:val="761B163F"/>
    <w:rsid w:val="761D53B8"/>
    <w:rsid w:val="761E4C8C"/>
    <w:rsid w:val="76235D60"/>
    <w:rsid w:val="762A7AD4"/>
    <w:rsid w:val="762B1157"/>
    <w:rsid w:val="76326989"/>
    <w:rsid w:val="76366479"/>
    <w:rsid w:val="763B75EC"/>
    <w:rsid w:val="763E70DC"/>
    <w:rsid w:val="76404C02"/>
    <w:rsid w:val="76432944"/>
    <w:rsid w:val="764811BC"/>
    <w:rsid w:val="764A782F"/>
    <w:rsid w:val="76504CBE"/>
    <w:rsid w:val="76515061"/>
    <w:rsid w:val="765320E5"/>
    <w:rsid w:val="76544B51"/>
    <w:rsid w:val="765661D4"/>
    <w:rsid w:val="76592168"/>
    <w:rsid w:val="765A3553"/>
    <w:rsid w:val="765B5EE0"/>
    <w:rsid w:val="765C5EF1"/>
    <w:rsid w:val="765D7381"/>
    <w:rsid w:val="76607052"/>
    <w:rsid w:val="7662101C"/>
    <w:rsid w:val="76654669"/>
    <w:rsid w:val="76676633"/>
    <w:rsid w:val="766823AB"/>
    <w:rsid w:val="766A6E7D"/>
    <w:rsid w:val="76740D50"/>
    <w:rsid w:val="76746FA2"/>
    <w:rsid w:val="7677439C"/>
    <w:rsid w:val="76790114"/>
    <w:rsid w:val="7681460D"/>
    <w:rsid w:val="768371E5"/>
    <w:rsid w:val="7688173A"/>
    <w:rsid w:val="7689645A"/>
    <w:rsid w:val="768F7938"/>
    <w:rsid w:val="76960CC6"/>
    <w:rsid w:val="76962A74"/>
    <w:rsid w:val="769709D0"/>
    <w:rsid w:val="76982C90"/>
    <w:rsid w:val="76992564"/>
    <w:rsid w:val="769942BD"/>
    <w:rsid w:val="76A333E3"/>
    <w:rsid w:val="76A72ED3"/>
    <w:rsid w:val="76AC04E9"/>
    <w:rsid w:val="76AF17F9"/>
    <w:rsid w:val="76AF3B36"/>
    <w:rsid w:val="76B13D52"/>
    <w:rsid w:val="76B15B00"/>
    <w:rsid w:val="76B178AE"/>
    <w:rsid w:val="76B26CEA"/>
    <w:rsid w:val="76B35133"/>
    <w:rsid w:val="76B4114C"/>
    <w:rsid w:val="76B850E0"/>
    <w:rsid w:val="76B86E8E"/>
    <w:rsid w:val="76B92C06"/>
    <w:rsid w:val="76B949B4"/>
    <w:rsid w:val="76BD26F7"/>
    <w:rsid w:val="76C42ACB"/>
    <w:rsid w:val="76C53359"/>
    <w:rsid w:val="76C577FD"/>
    <w:rsid w:val="76C70E7F"/>
    <w:rsid w:val="76C75323"/>
    <w:rsid w:val="76C9109B"/>
    <w:rsid w:val="76CC0B8C"/>
    <w:rsid w:val="76CC0D21"/>
    <w:rsid w:val="76CD220E"/>
    <w:rsid w:val="76D10663"/>
    <w:rsid w:val="76D55C89"/>
    <w:rsid w:val="76D66663"/>
    <w:rsid w:val="76DC0816"/>
    <w:rsid w:val="76DD5309"/>
    <w:rsid w:val="76DF3B1A"/>
    <w:rsid w:val="76E21799"/>
    <w:rsid w:val="76E62CF0"/>
    <w:rsid w:val="76ED481A"/>
    <w:rsid w:val="76EE5C21"/>
    <w:rsid w:val="76F22A3C"/>
    <w:rsid w:val="76F31C74"/>
    <w:rsid w:val="76F61765"/>
    <w:rsid w:val="76F8372F"/>
    <w:rsid w:val="76FC05B4"/>
    <w:rsid w:val="77057BFA"/>
    <w:rsid w:val="77071BC4"/>
    <w:rsid w:val="77075720"/>
    <w:rsid w:val="770D60E9"/>
    <w:rsid w:val="770E2F52"/>
    <w:rsid w:val="77101B8D"/>
    <w:rsid w:val="771542E1"/>
    <w:rsid w:val="7715608F"/>
    <w:rsid w:val="77170059"/>
    <w:rsid w:val="771A36A5"/>
    <w:rsid w:val="771C566F"/>
    <w:rsid w:val="771F673E"/>
    <w:rsid w:val="771F6F0D"/>
    <w:rsid w:val="7722255A"/>
    <w:rsid w:val="77297D8C"/>
    <w:rsid w:val="772A140E"/>
    <w:rsid w:val="772C64B4"/>
    <w:rsid w:val="7730111A"/>
    <w:rsid w:val="77356731"/>
    <w:rsid w:val="7737771B"/>
    <w:rsid w:val="77383B2B"/>
    <w:rsid w:val="773D3837"/>
    <w:rsid w:val="77420E4E"/>
    <w:rsid w:val="77422BFC"/>
    <w:rsid w:val="77433F56"/>
    <w:rsid w:val="77440722"/>
    <w:rsid w:val="7746169E"/>
    <w:rsid w:val="77476464"/>
    <w:rsid w:val="774A4354"/>
    <w:rsid w:val="774B1AB0"/>
    <w:rsid w:val="774C5829"/>
    <w:rsid w:val="77505319"/>
    <w:rsid w:val="77513458"/>
    <w:rsid w:val="775C313C"/>
    <w:rsid w:val="775D3592"/>
    <w:rsid w:val="776143DD"/>
    <w:rsid w:val="7762504C"/>
    <w:rsid w:val="77626DFA"/>
    <w:rsid w:val="7767181A"/>
    <w:rsid w:val="77691D85"/>
    <w:rsid w:val="776963DA"/>
    <w:rsid w:val="776B5CAF"/>
    <w:rsid w:val="776E49BD"/>
    <w:rsid w:val="77701517"/>
    <w:rsid w:val="77754D7F"/>
    <w:rsid w:val="777A05E8"/>
    <w:rsid w:val="777C4360"/>
    <w:rsid w:val="777F364F"/>
    <w:rsid w:val="777F5BFE"/>
    <w:rsid w:val="777F79AC"/>
    <w:rsid w:val="7783749C"/>
    <w:rsid w:val="77843214"/>
    <w:rsid w:val="77876861"/>
    <w:rsid w:val="778C10EB"/>
    <w:rsid w:val="778D20C9"/>
    <w:rsid w:val="77925931"/>
    <w:rsid w:val="7794726C"/>
    <w:rsid w:val="7795357A"/>
    <w:rsid w:val="77955421"/>
    <w:rsid w:val="7798554B"/>
    <w:rsid w:val="779A30DE"/>
    <w:rsid w:val="779A44A7"/>
    <w:rsid w:val="779A47E6"/>
    <w:rsid w:val="779D6084"/>
    <w:rsid w:val="779D7E32"/>
    <w:rsid w:val="779F1DFC"/>
    <w:rsid w:val="779F6E07"/>
    <w:rsid w:val="77A15B74"/>
    <w:rsid w:val="77A45665"/>
    <w:rsid w:val="77A6318B"/>
    <w:rsid w:val="77A86F03"/>
    <w:rsid w:val="77A93E46"/>
    <w:rsid w:val="77A967D7"/>
    <w:rsid w:val="77AF64E3"/>
    <w:rsid w:val="77B070F5"/>
    <w:rsid w:val="77B227F5"/>
    <w:rsid w:val="77B27D81"/>
    <w:rsid w:val="77B37656"/>
    <w:rsid w:val="77B5517C"/>
    <w:rsid w:val="77B74817"/>
    <w:rsid w:val="77B84C6C"/>
    <w:rsid w:val="77BA09E4"/>
    <w:rsid w:val="77BD2282"/>
    <w:rsid w:val="77C35AEB"/>
    <w:rsid w:val="77C45C0E"/>
    <w:rsid w:val="77C6655A"/>
    <w:rsid w:val="77C70EBD"/>
    <w:rsid w:val="77CB0E43"/>
    <w:rsid w:val="77D01FB6"/>
    <w:rsid w:val="77D1684F"/>
    <w:rsid w:val="77D575CC"/>
    <w:rsid w:val="77D71596"/>
    <w:rsid w:val="77DA1086"/>
    <w:rsid w:val="77DE1622"/>
    <w:rsid w:val="77E441F4"/>
    <w:rsid w:val="77E73A77"/>
    <w:rsid w:val="77EA683A"/>
    <w:rsid w:val="77EB0615"/>
    <w:rsid w:val="77EB7A4D"/>
    <w:rsid w:val="77F162D0"/>
    <w:rsid w:val="77F17064"/>
    <w:rsid w:val="77F42148"/>
    <w:rsid w:val="77F51A1C"/>
    <w:rsid w:val="77F9775E"/>
    <w:rsid w:val="780350F4"/>
    <w:rsid w:val="7805128C"/>
    <w:rsid w:val="78061E7B"/>
    <w:rsid w:val="780649BD"/>
    <w:rsid w:val="780835EF"/>
    <w:rsid w:val="78085BF3"/>
    <w:rsid w:val="780F06C0"/>
    <w:rsid w:val="781379F5"/>
    <w:rsid w:val="781400F4"/>
    <w:rsid w:val="78174088"/>
    <w:rsid w:val="781E371F"/>
    <w:rsid w:val="781F63BA"/>
    <w:rsid w:val="7820118F"/>
    <w:rsid w:val="7820259C"/>
    <w:rsid w:val="78212811"/>
    <w:rsid w:val="78216CB5"/>
    <w:rsid w:val="78224195"/>
    <w:rsid w:val="782642CC"/>
    <w:rsid w:val="78270007"/>
    <w:rsid w:val="782765AD"/>
    <w:rsid w:val="782A0E50"/>
    <w:rsid w:val="782A2DB5"/>
    <w:rsid w:val="7836450F"/>
    <w:rsid w:val="78372035"/>
    <w:rsid w:val="783764D9"/>
    <w:rsid w:val="78393FFF"/>
    <w:rsid w:val="783B7D77"/>
    <w:rsid w:val="783E33C3"/>
    <w:rsid w:val="78454752"/>
    <w:rsid w:val="78465777"/>
    <w:rsid w:val="78482494"/>
    <w:rsid w:val="78490394"/>
    <w:rsid w:val="784A5D07"/>
    <w:rsid w:val="784F55D0"/>
    <w:rsid w:val="78511348"/>
    <w:rsid w:val="78535B94"/>
    <w:rsid w:val="78536178"/>
    <w:rsid w:val="785726D7"/>
    <w:rsid w:val="78572CA3"/>
    <w:rsid w:val="785B5D23"/>
    <w:rsid w:val="785D5F3F"/>
    <w:rsid w:val="785E4C0A"/>
    <w:rsid w:val="786064CE"/>
    <w:rsid w:val="78615304"/>
    <w:rsid w:val="78632E2A"/>
    <w:rsid w:val="78650950"/>
    <w:rsid w:val="78670B6C"/>
    <w:rsid w:val="7868692A"/>
    <w:rsid w:val="78727511"/>
    <w:rsid w:val="787B63C5"/>
    <w:rsid w:val="787D5FEB"/>
    <w:rsid w:val="78801C2E"/>
    <w:rsid w:val="78845416"/>
    <w:rsid w:val="788648E1"/>
    <w:rsid w:val="788650FD"/>
    <w:rsid w:val="78874D6A"/>
    <w:rsid w:val="788A6608"/>
    <w:rsid w:val="78967146"/>
    <w:rsid w:val="78986F77"/>
    <w:rsid w:val="789B6A68"/>
    <w:rsid w:val="78A05E2C"/>
    <w:rsid w:val="78B35B5F"/>
    <w:rsid w:val="78B673FD"/>
    <w:rsid w:val="78BC253A"/>
    <w:rsid w:val="78BD69DE"/>
    <w:rsid w:val="78C22246"/>
    <w:rsid w:val="78C65643"/>
    <w:rsid w:val="78CF6711"/>
    <w:rsid w:val="78D12489"/>
    <w:rsid w:val="78D43D28"/>
    <w:rsid w:val="78DB58DC"/>
    <w:rsid w:val="78DC699B"/>
    <w:rsid w:val="78DE0702"/>
    <w:rsid w:val="78E421BD"/>
    <w:rsid w:val="78EC1071"/>
    <w:rsid w:val="78F47F26"/>
    <w:rsid w:val="78FA1EA3"/>
    <w:rsid w:val="78FB7506"/>
    <w:rsid w:val="78FD2652"/>
    <w:rsid w:val="78FD327E"/>
    <w:rsid w:val="79002D6F"/>
    <w:rsid w:val="79022643"/>
    <w:rsid w:val="790463BB"/>
    <w:rsid w:val="790740FD"/>
    <w:rsid w:val="790E2D96"/>
    <w:rsid w:val="790E7239"/>
    <w:rsid w:val="790F4D60"/>
    <w:rsid w:val="79110AD8"/>
    <w:rsid w:val="79134850"/>
    <w:rsid w:val="79181E66"/>
    <w:rsid w:val="79183C14"/>
    <w:rsid w:val="791D3F2D"/>
    <w:rsid w:val="79200D1B"/>
    <w:rsid w:val="79202AC9"/>
    <w:rsid w:val="79231957"/>
    <w:rsid w:val="79240BAB"/>
    <w:rsid w:val="79273E57"/>
    <w:rsid w:val="792A1003"/>
    <w:rsid w:val="792C76C0"/>
    <w:rsid w:val="792D7857"/>
    <w:rsid w:val="79330A4E"/>
    <w:rsid w:val="79334EF2"/>
    <w:rsid w:val="79346574"/>
    <w:rsid w:val="793A002E"/>
    <w:rsid w:val="793E2FB5"/>
    <w:rsid w:val="79462067"/>
    <w:rsid w:val="7947274B"/>
    <w:rsid w:val="794830FC"/>
    <w:rsid w:val="794E14FB"/>
    <w:rsid w:val="794E5888"/>
    <w:rsid w:val="794F33AE"/>
    <w:rsid w:val="7950014D"/>
    <w:rsid w:val="795135CA"/>
    <w:rsid w:val="7956298E"/>
    <w:rsid w:val="79570BE0"/>
    <w:rsid w:val="795804B5"/>
    <w:rsid w:val="79592461"/>
    <w:rsid w:val="795B1D53"/>
    <w:rsid w:val="795B7FA5"/>
    <w:rsid w:val="795E27B4"/>
    <w:rsid w:val="796055BB"/>
    <w:rsid w:val="796432FD"/>
    <w:rsid w:val="796450AB"/>
    <w:rsid w:val="79646E59"/>
    <w:rsid w:val="796926C2"/>
    <w:rsid w:val="796C5D0E"/>
    <w:rsid w:val="796E1A86"/>
    <w:rsid w:val="79701CA2"/>
    <w:rsid w:val="797057FE"/>
    <w:rsid w:val="79773031"/>
    <w:rsid w:val="797846B3"/>
    <w:rsid w:val="797A48CF"/>
    <w:rsid w:val="797A667D"/>
    <w:rsid w:val="797D43BF"/>
    <w:rsid w:val="79807AE3"/>
    <w:rsid w:val="798205F9"/>
    <w:rsid w:val="79865022"/>
    <w:rsid w:val="79870D9A"/>
    <w:rsid w:val="798A5143"/>
    <w:rsid w:val="798F5890"/>
    <w:rsid w:val="799040F2"/>
    <w:rsid w:val="79954710"/>
    <w:rsid w:val="799F60E4"/>
    <w:rsid w:val="79A656C4"/>
    <w:rsid w:val="79A66F05"/>
    <w:rsid w:val="79AC0800"/>
    <w:rsid w:val="79AD6A52"/>
    <w:rsid w:val="79B274E9"/>
    <w:rsid w:val="79B3354A"/>
    <w:rsid w:val="79B3393D"/>
    <w:rsid w:val="79B50A3B"/>
    <w:rsid w:val="79BF6786"/>
    <w:rsid w:val="79C36276"/>
    <w:rsid w:val="79C478F8"/>
    <w:rsid w:val="79C6083B"/>
    <w:rsid w:val="79C618C2"/>
    <w:rsid w:val="79C773E8"/>
    <w:rsid w:val="79C85CD9"/>
    <w:rsid w:val="79C913B2"/>
    <w:rsid w:val="79CA0341"/>
    <w:rsid w:val="79D42567"/>
    <w:rsid w:val="79D54FEF"/>
    <w:rsid w:val="79D833A4"/>
    <w:rsid w:val="79DA536E"/>
    <w:rsid w:val="79E166FC"/>
    <w:rsid w:val="79E306C6"/>
    <w:rsid w:val="79E3753B"/>
    <w:rsid w:val="79E47F9A"/>
    <w:rsid w:val="79E81839"/>
    <w:rsid w:val="79EB108E"/>
    <w:rsid w:val="79EB1329"/>
    <w:rsid w:val="79EE3136"/>
    <w:rsid w:val="79F20909"/>
    <w:rsid w:val="79F503F9"/>
    <w:rsid w:val="79F75F20"/>
    <w:rsid w:val="79F91C98"/>
    <w:rsid w:val="79FC7092"/>
    <w:rsid w:val="79FE105C"/>
    <w:rsid w:val="79FF4DD4"/>
    <w:rsid w:val="7A025901"/>
    <w:rsid w:val="7A04063C"/>
    <w:rsid w:val="7A0423EA"/>
    <w:rsid w:val="7A067F11"/>
    <w:rsid w:val="7A070125"/>
    <w:rsid w:val="7A080AFF"/>
    <w:rsid w:val="7A083C89"/>
    <w:rsid w:val="7A0A5C53"/>
    <w:rsid w:val="7A0C6902"/>
    <w:rsid w:val="7A0E5017"/>
    <w:rsid w:val="7A1B7E60"/>
    <w:rsid w:val="7A2025CB"/>
    <w:rsid w:val="7A230AC3"/>
    <w:rsid w:val="7A2455EA"/>
    <w:rsid w:val="7A2465E9"/>
    <w:rsid w:val="7A2921ED"/>
    <w:rsid w:val="7A293BFF"/>
    <w:rsid w:val="7A3525A4"/>
    <w:rsid w:val="7A3A5E0C"/>
    <w:rsid w:val="7A3D7DFA"/>
    <w:rsid w:val="7A3E3B4E"/>
    <w:rsid w:val="7A41363F"/>
    <w:rsid w:val="7A432F13"/>
    <w:rsid w:val="7A456C8B"/>
    <w:rsid w:val="7A4A24F3"/>
    <w:rsid w:val="7A4A42A1"/>
    <w:rsid w:val="7A4F70AE"/>
    <w:rsid w:val="7A505630"/>
    <w:rsid w:val="7A5213A8"/>
    <w:rsid w:val="7A523156"/>
    <w:rsid w:val="7A546ECE"/>
    <w:rsid w:val="7A5549F4"/>
    <w:rsid w:val="7A601D17"/>
    <w:rsid w:val="7A611EC9"/>
    <w:rsid w:val="7A6443AD"/>
    <w:rsid w:val="7A652E89"/>
    <w:rsid w:val="7A6B15C4"/>
    <w:rsid w:val="7A6B4218"/>
    <w:rsid w:val="7A74131E"/>
    <w:rsid w:val="7A772BBC"/>
    <w:rsid w:val="7A772DBA"/>
    <w:rsid w:val="7A7C6425"/>
    <w:rsid w:val="7A7F2DCF"/>
    <w:rsid w:val="7A810FFC"/>
    <w:rsid w:val="7A8552D9"/>
    <w:rsid w:val="7A8772A3"/>
    <w:rsid w:val="7A8A0B42"/>
    <w:rsid w:val="7A8A28F0"/>
    <w:rsid w:val="7A9674E6"/>
    <w:rsid w:val="7A9719D9"/>
    <w:rsid w:val="7A980FBD"/>
    <w:rsid w:val="7A993CB5"/>
    <w:rsid w:val="7A9B2D4F"/>
    <w:rsid w:val="7A9B68AB"/>
    <w:rsid w:val="7AA339B1"/>
    <w:rsid w:val="7AA36941"/>
    <w:rsid w:val="7AAD4830"/>
    <w:rsid w:val="7AB12572"/>
    <w:rsid w:val="7ABB6F4D"/>
    <w:rsid w:val="7AC04563"/>
    <w:rsid w:val="7AC06311"/>
    <w:rsid w:val="7AC3005A"/>
    <w:rsid w:val="7ACF29F8"/>
    <w:rsid w:val="7AD07CBE"/>
    <w:rsid w:val="7AD1051F"/>
    <w:rsid w:val="7AD3663F"/>
    <w:rsid w:val="7AD36F66"/>
    <w:rsid w:val="7AD5178A"/>
    <w:rsid w:val="7AD5360C"/>
    <w:rsid w:val="7ADD5115"/>
    <w:rsid w:val="7ADF4BE2"/>
    <w:rsid w:val="7AE21CA9"/>
    <w:rsid w:val="7AEC5D56"/>
    <w:rsid w:val="7AEC7106"/>
    <w:rsid w:val="7AEE2205"/>
    <w:rsid w:val="7AF4420D"/>
    <w:rsid w:val="7AF81F4F"/>
    <w:rsid w:val="7AFD57B8"/>
    <w:rsid w:val="7B000E04"/>
    <w:rsid w:val="7B024B7C"/>
    <w:rsid w:val="7B043FDD"/>
    <w:rsid w:val="7B05641A"/>
    <w:rsid w:val="7B0C1557"/>
    <w:rsid w:val="7B160627"/>
    <w:rsid w:val="7B1623D5"/>
    <w:rsid w:val="7B174702"/>
    <w:rsid w:val="7B1E74DC"/>
    <w:rsid w:val="7B1F767D"/>
    <w:rsid w:val="7B252618"/>
    <w:rsid w:val="7B256ABC"/>
    <w:rsid w:val="7B265853"/>
    <w:rsid w:val="7B2C1BF9"/>
    <w:rsid w:val="7B312C81"/>
    <w:rsid w:val="7B326164"/>
    <w:rsid w:val="7B3459C8"/>
    <w:rsid w:val="7B38059E"/>
    <w:rsid w:val="7B395539"/>
    <w:rsid w:val="7B396001"/>
    <w:rsid w:val="7B4038F6"/>
    <w:rsid w:val="7B424F78"/>
    <w:rsid w:val="7B430CF1"/>
    <w:rsid w:val="7B4E7DC1"/>
    <w:rsid w:val="7B4F58E7"/>
    <w:rsid w:val="7B51340D"/>
    <w:rsid w:val="7B564EC8"/>
    <w:rsid w:val="7B5A2BED"/>
    <w:rsid w:val="7B5B428C"/>
    <w:rsid w:val="7B6018A2"/>
    <w:rsid w:val="7B656EB9"/>
    <w:rsid w:val="7B6969A9"/>
    <w:rsid w:val="7B6E3FBF"/>
    <w:rsid w:val="7B6F1AE6"/>
    <w:rsid w:val="7B6F4892"/>
    <w:rsid w:val="7B71246B"/>
    <w:rsid w:val="7B7F481D"/>
    <w:rsid w:val="7B7F61CD"/>
    <w:rsid w:val="7B826C46"/>
    <w:rsid w:val="7B861AB8"/>
    <w:rsid w:val="7B871525"/>
    <w:rsid w:val="7B8749B6"/>
    <w:rsid w:val="7B893F18"/>
    <w:rsid w:val="7B8B2DC3"/>
    <w:rsid w:val="7B8B4B71"/>
    <w:rsid w:val="7B8F3F36"/>
    <w:rsid w:val="7B9003DA"/>
    <w:rsid w:val="7B900EAA"/>
    <w:rsid w:val="7B902188"/>
    <w:rsid w:val="7B95779E"/>
    <w:rsid w:val="7B98728E"/>
    <w:rsid w:val="7B9A21F0"/>
    <w:rsid w:val="7B9F061D"/>
    <w:rsid w:val="7B9F23CB"/>
    <w:rsid w:val="7BA2010D"/>
    <w:rsid w:val="7BA7127F"/>
    <w:rsid w:val="7BAB6FC2"/>
    <w:rsid w:val="7BAE55A6"/>
    <w:rsid w:val="7BAE67AF"/>
    <w:rsid w:val="7BB10350"/>
    <w:rsid w:val="7BB309E9"/>
    <w:rsid w:val="7BB31FE0"/>
    <w:rsid w:val="7BB514DD"/>
    <w:rsid w:val="7BBA3565"/>
    <w:rsid w:val="7BBC11CF"/>
    <w:rsid w:val="7BC260B9"/>
    <w:rsid w:val="7BC27D34"/>
    <w:rsid w:val="7BC50C8F"/>
    <w:rsid w:val="7BCB31C0"/>
    <w:rsid w:val="7BCC6F38"/>
    <w:rsid w:val="7BCD518A"/>
    <w:rsid w:val="7BCF5287"/>
    <w:rsid w:val="7BD1454E"/>
    <w:rsid w:val="7BD16399"/>
    <w:rsid w:val="7BD227A0"/>
    <w:rsid w:val="7BD323FA"/>
    <w:rsid w:val="7BD4388A"/>
    <w:rsid w:val="7BD57E03"/>
    <w:rsid w:val="7BD61B65"/>
    <w:rsid w:val="7BDC361F"/>
    <w:rsid w:val="7BDC53CD"/>
    <w:rsid w:val="7BDD1145"/>
    <w:rsid w:val="7BDF338E"/>
    <w:rsid w:val="7BE20509"/>
    <w:rsid w:val="7BE527D1"/>
    <w:rsid w:val="7BE91898"/>
    <w:rsid w:val="7BE92EDF"/>
    <w:rsid w:val="7BE94A5A"/>
    <w:rsid w:val="7BEB5B24"/>
    <w:rsid w:val="7BEC3136"/>
    <w:rsid w:val="7BF2699E"/>
    <w:rsid w:val="7BF86B05"/>
    <w:rsid w:val="7BFC3D4D"/>
    <w:rsid w:val="7BFD3595"/>
    <w:rsid w:val="7C02295A"/>
    <w:rsid w:val="7C084414"/>
    <w:rsid w:val="7C0E12FE"/>
    <w:rsid w:val="7C1032C9"/>
    <w:rsid w:val="7C134B67"/>
    <w:rsid w:val="7C183F2B"/>
    <w:rsid w:val="7C1C7EBF"/>
    <w:rsid w:val="7C262AEC"/>
    <w:rsid w:val="7C26489A"/>
    <w:rsid w:val="7C2B0102"/>
    <w:rsid w:val="7C2B1EB0"/>
    <w:rsid w:val="7C2E5873"/>
    <w:rsid w:val="7C321491"/>
    <w:rsid w:val="7C336FB7"/>
    <w:rsid w:val="7C352C27"/>
    <w:rsid w:val="7C3859AC"/>
    <w:rsid w:val="7C3C5E6C"/>
    <w:rsid w:val="7C4116D4"/>
    <w:rsid w:val="7C414BA4"/>
    <w:rsid w:val="7C43369E"/>
    <w:rsid w:val="7C466CEA"/>
    <w:rsid w:val="7C484810"/>
    <w:rsid w:val="7C4D62CB"/>
    <w:rsid w:val="7C532BE5"/>
    <w:rsid w:val="7C5331B5"/>
    <w:rsid w:val="7C5533D1"/>
    <w:rsid w:val="7C55517F"/>
    <w:rsid w:val="7C5D4691"/>
    <w:rsid w:val="7C5E077A"/>
    <w:rsid w:val="7C5E4034"/>
    <w:rsid w:val="7C5F566E"/>
    <w:rsid w:val="7C624DBC"/>
    <w:rsid w:val="7C63789C"/>
    <w:rsid w:val="7C655D5E"/>
    <w:rsid w:val="7C6B04FF"/>
    <w:rsid w:val="7C6F7FEF"/>
    <w:rsid w:val="7C7216E7"/>
    <w:rsid w:val="7C745605"/>
    <w:rsid w:val="7C75137E"/>
    <w:rsid w:val="7C7575D0"/>
    <w:rsid w:val="7C7E6484"/>
    <w:rsid w:val="7C80044E"/>
    <w:rsid w:val="7C86358B"/>
    <w:rsid w:val="7C8B7BB3"/>
    <w:rsid w:val="7C9020F0"/>
    <w:rsid w:val="7C943EFA"/>
    <w:rsid w:val="7C9B7036"/>
    <w:rsid w:val="7CA0289E"/>
    <w:rsid w:val="7CA22801"/>
    <w:rsid w:val="7CA3339F"/>
    <w:rsid w:val="7CAE47CA"/>
    <w:rsid w:val="7CB50753"/>
    <w:rsid w:val="7CBE2D25"/>
    <w:rsid w:val="7CBE4AD3"/>
    <w:rsid w:val="7CBF48B5"/>
    <w:rsid w:val="7CC84A54"/>
    <w:rsid w:val="7CCA791B"/>
    <w:rsid w:val="7CCC5441"/>
    <w:rsid w:val="7CCD4D16"/>
    <w:rsid w:val="7CCD740C"/>
    <w:rsid w:val="7CD12A58"/>
    <w:rsid w:val="7CD47820"/>
    <w:rsid w:val="7CD561F5"/>
    <w:rsid w:val="7CD67752"/>
    <w:rsid w:val="7CD67C72"/>
    <w:rsid w:val="7CD824D6"/>
    <w:rsid w:val="7CDB7433"/>
    <w:rsid w:val="7CE22E28"/>
    <w:rsid w:val="7CE24C65"/>
    <w:rsid w:val="7CE46E89"/>
    <w:rsid w:val="7CEC1640"/>
    <w:rsid w:val="7CED360A"/>
    <w:rsid w:val="7CEF2EDE"/>
    <w:rsid w:val="7CF7272E"/>
    <w:rsid w:val="7CF77FE5"/>
    <w:rsid w:val="7D050953"/>
    <w:rsid w:val="7D0C7F34"/>
    <w:rsid w:val="7D0D7525"/>
    <w:rsid w:val="7D11554A"/>
    <w:rsid w:val="7D1172F8"/>
    <w:rsid w:val="7D142945"/>
    <w:rsid w:val="7D197F5B"/>
    <w:rsid w:val="7D1A586A"/>
    <w:rsid w:val="7D23702C"/>
    <w:rsid w:val="7D252DA4"/>
    <w:rsid w:val="7D2A2168"/>
    <w:rsid w:val="7D2C4132"/>
    <w:rsid w:val="7D341239"/>
    <w:rsid w:val="7D366C7B"/>
    <w:rsid w:val="7D3923AB"/>
    <w:rsid w:val="7D39684F"/>
    <w:rsid w:val="7D3E3E65"/>
    <w:rsid w:val="7D484972"/>
    <w:rsid w:val="7D4D20CE"/>
    <w:rsid w:val="7D4D5E56"/>
    <w:rsid w:val="7D5471E5"/>
    <w:rsid w:val="7D567401"/>
    <w:rsid w:val="7D625F21"/>
    <w:rsid w:val="7D63567A"/>
    <w:rsid w:val="7D675200"/>
    <w:rsid w:val="7D676FBC"/>
    <w:rsid w:val="7D6A07B6"/>
    <w:rsid w:val="7D717D97"/>
    <w:rsid w:val="7D7243AD"/>
    <w:rsid w:val="7D733B0F"/>
    <w:rsid w:val="7D7653AD"/>
    <w:rsid w:val="7D777879"/>
    <w:rsid w:val="7D7F0706"/>
    <w:rsid w:val="7D821FA4"/>
    <w:rsid w:val="7D822167"/>
    <w:rsid w:val="7D8C4BD1"/>
    <w:rsid w:val="7D8E0949"/>
    <w:rsid w:val="7D9121E7"/>
    <w:rsid w:val="7D9237C6"/>
    <w:rsid w:val="7D9615AC"/>
    <w:rsid w:val="7D985324"/>
    <w:rsid w:val="7D9A5540"/>
    <w:rsid w:val="7D9D293A"/>
    <w:rsid w:val="7D9F2B56"/>
    <w:rsid w:val="7DA16BFB"/>
    <w:rsid w:val="7DA43CC8"/>
    <w:rsid w:val="7DA57A41"/>
    <w:rsid w:val="7DA912DF"/>
    <w:rsid w:val="7DA95783"/>
    <w:rsid w:val="7DAD1B95"/>
    <w:rsid w:val="7DAE0FEB"/>
    <w:rsid w:val="7DAF3A78"/>
    <w:rsid w:val="7DB14637"/>
    <w:rsid w:val="7DB303AF"/>
    <w:rsid w:val="7DC1794C"/>
    <w:rsid w:val="7DC26844"/>
    <w:rsid w:val="7DC336BA"/>
    <w:rsid w:val="7DC4436B"/>
    <w:rsid w:val="7DC477E3"/>
    <w:rsid w:val="7DC538DA"/>
    <w:rsid w:val="7DD33150"/>
    <w:rsid w:val="7DDA1DE0"/>
    <w:rsid w:val="7DDB020A"/>
    <w:rsid w:val="7DDC1631"/>
    <w:rsid w:val="7DE1316F"/>
    <w:rsid w:val="7DE44A0D"/>
    <w:rsid w:val="7DE74A45"/>
    <w:rsid w:val="7DE84635"/>
    <w:rsid w:val="7DEA4547"/>
    <w:rsid w:val="7DEE6EE1"/>
    <w:rsid w:val="7DF52776"/>
    <w:rsid w:val="7DF804B8"/>
    <w:rsid w:val="7DF82266"/>
    <w:rsid w:val="7DF84EB1"/>
    <w:rsid w:val="7DFA4230"/>
    <w:rsid w:val="7DFB58B2"/>
    <w:rsid w:val="7E00216C"/>
    <w:rsid w:val="7E01736D"/>
    <w:rsid w:val="7E096221"/>
    <w:rsid w:val="7E0B01EB"/>
    <w:rsid w:val="7E0D3F64"/>
    <w:rsid w:val="7E124581"/>
    <w:rsid w:val="7E1621A7"/>
    <w:rsid w:val="7E1C7D03"/>
    <w:rsid w:val="7E266DD3"/>
    <w:rsid w:val="7E287508"/>
    <w:rsid w:val="7E292420"/>
    <w:rsid w:val="7E2A06FB"/>
    <w:rsid w:val="7E2D0162"/>
    <w:rsid w:val="7E2D1F10"/>
    <w:rsid w:val="7E327526"/>
    <w:rsid w:val="7E357016"/>
    <w:rsid w:val="7E3F2791"/>
    <w:rsid w:val="7E3F60E7"/>
    <w:rsid w:val="7E4B05E8"/>
    <w:rsid w:val="7E4B4A8C"/>
    <w:rsid w:val="7E4B683A"/>
    <w:rsid w:val="7E4C610E"/>
    <w:rsid w:val="7E4D4360"/>
    <w:rsid w:val="7E4F49A7"/>
    <w:rsid w:val="7E527BC8"/>
    <w:rsid w:val="7E532EA4"/>
    <w:rsid w:val="7E535DCD"/>
    <w:rsid w:val="7E5576B9"/>
    <w:rsid w:val="7E5C0A47"/>
    <w:rsid w:val="7E633B84"/>
    <w:rsid w:val="7E6A7C63"/>
    <w:rsid w:val="7E6B23A3"/>
    <w:rsid w:val="7E6B47E6"/>
    <w:rsid w:val="7E6D4A02"/>
    <w:rsid w:val="7E725B75"/>
    <w:rsid w:val="7E7318ED"/>
    <w:rsid w:val="7E77762F"/>
    <w:rsid w:val="7E81400A"/>
    <w:rsid w:val="7E891110"/>
    <w:rsid w:val="7E8B30DA"/>
    <w:rsid w:val="7E8D29AE"/>
    <w:rsid w:val="7E9006F1"/>
    <w:rsid w:val="7E90249F"/>
    <w:rsid w:val="7E927FC5"/>
    <w:rsid w:val="7E941F8F"/>
    <w:rsid w:val="7E991353"/>
    <w:rsid w:val="7E9C0E44"/>
    <w:rsid w:val="7E9C2A65"/>
    <w:rsid w:val="7E9F624D"/>
    <w:rsid w:val="7EA146AC"/>
    <w:rsid w:val="7EA62CDF"/>
    <w:rsid w:val="7EA67F14"/>
    <w:rsid w:val="7EA72608"/>
    <w:rsid w:val="7EA83C8C"/>
    <w:rsid w:val="7EAA3560"/>
    <w:rsid w:val="7EAD3051"/>
    <w:rsid w:val="7EB10D93"/>
    <w:rsid w:val="7EB22415"/>
    <w:rsid w:val="7EB42631"/>
    <w:rsid w:val="7EB517AA"/>
    <w:rsid w:val="7EB64B61"/>
    <w:rsid w:val="7EB81876"/>
    <w:rsid w:val="7EBA751C"/>
    <w:rsid w:val="7EBC7738"/>
    <w:rsid w:val="7EC34622"/>
    <w:rsid w:val="7EC35CD5"/>
    <w:rsid w:val="7EC42148"/>
    <w:rsid w:val="7EC55299"/>
    <w:rsid w:val="7ECA3C03"/>
    <w:rsid w:val="7ECB1729"/>
    <w:rsid w:val="7ECF0F9A"/>
    <w:rsid w:val="7ECF7888"/>
    <w:rsid w:val="7ED625A7"/>
    <w:rsid w:val="7ED92098"/>
    <w:rsid w:val="7EDA196C"/>
    <w:rsid w:val="7EE30820"/>
    <w:rsid w:val="7EF24F07"/>
    <w:rsid w:val="7EF742CC"/>
    <w:rsid w:val="7EF96296"/>
    <w:rsid w:val="7EFB3DBC"/>
    <w:rsid w:val="7EFC5948"/>
    <w:rsid w:val="7EFC5D86"/>
    <w:rsid w:val="7EFE1AFE"/>
    <w:rsid w:val="7F0013D2"/>
    <w:rsid w:val="7F037115"/>
    <w:rsid w:val="7F0B394B"/>
    <w:rsid w:val="7F0E027B"/>
    <w:rsid w:val="7F0F5AB9"/>
    <w:rsid w:val="7F0F7867"/>
    <w:rsid w:val="7F1135E0"/>
    <w:rsid w:val="7F141322"/>
    <w:rsid w:val="7F1906E6"/>
    <w:rsid w:val="7F192494"/>
    <w:rsid w:val="7F207CC7"/>
    <w:rsid w:val="7F233313"/>
    <w:rsid w:val="7F2D4191"/>
    <w:rsid w:val="7F3177DE"/>
    <w:rsid w:val="7F343772"/>
    <w:rsid w:val="7F361298"/>
    <w:rsid w:val="7F385010"/>
    <w:rsid w:val="7F3B240A"/>
    <w:rsid w:val="7F3D15CE"/>
    <w:rsid w:val="7F402117"/>
    <w:rsid w:val="7F460DAF"/>
    <w:rsid w:val="7F482D79"/>
    <w:rsid w:val="7F4D0390"/>
    <w:rsid w:val="7F4F4108"/>
    <w:rsid w:val="7F596D35"/>
    <w:rsid w:val="7F5B3A4C"/>
    <w:rsid w:val="7F5B485B"/>
    <w:rsid w:val="7F5E259D"/>
    <w:rsid w:val="7F604567"/>
    <w:rsid w:val="7F6573DA"/>
    <w:rsid w:val="7F6A37A6"/>
    <w:rsid w:val="7F6B7807"/>
    <w:rsid w:val="7F6C7FA9"/>
    <w:rsid w:val="7F7160D4"/>
    <w:rsid w:val="7F765B38"/>
    <w:rsid w:val="7F840255"/>
    <w:rsid w:val="7F8B5460"/>
    <w:rsid w:val="7F8C7F60"/>
    <w:rsid w:val="7F8D69DE"/>
    <w:rsid w:val="7F8E0DA1"/>
    <w:rsid w:val="7F8E2E82"/>
    <w:rsid w:val="7F911521"/>
    <w:rsid w:val="7F923FF5"/>
    <w:rsid w:val="7F930498"/>
    <w:rsid w:val="7F932E5A"/>
    <w:rsid w:val="7F9562A7"/>
    <w:rsid w:val="7F956761"/>
    <w:rsid w:val="7F9A2B41"/>
    <w:rsid w:val="7F9B10FB"/>
    <w:rsid w:val="7F9B559F"/>
    <w:rsid w:val="7F9B734D"/>
    <w:rsid w:val="7F9F5B66"/>
    <w:rsid w:val="7FA2248A"/>
    <w:rsid w:val="7FA93818"/>
    <w:rsid w:val="7FAA7590"/>
    <w:rsid w:val="7FAB3A34"/>
    <w:rsid w:val="7FB1091F"/>
    <w:rsid w:val="7FBA072D"/>
    <w:rsid w:val="7FBA3C77"/>
    <w:rsid w:val="7FBC2E67"/>
    <w:rsid w:val="7FC40652"/>
    <w:rsid w:val="7FC543CA"/>
    <w:rsid w:val="7FC56178"/>
    <w:rsid w:val="7FC76394"/>
    <w:rsid w:val="7FCA0AE5"/>
    <w:rsid w:val="7FD13DE3"/>
    <w:rsid w:val="7FD178C3"/>
    <w:rsid w:val="7FD55335"/>
    <w:rsid w:val="7FDA65D6"/>
    <w:rsid w:val="7FDD5BB8"/>
    <w:rsid w:val="7FE231CE"/>
    <w:rsid w:val="7FE505C8"/>
    <w:rsid w:val="7FE83B07"/>
    <w:rsid w:val="7FEC6AD2"/>
    <w:rsid w:val="7FF30F37"/>
    <w:rsid w:val="7FF35CED"/>
    <w:rsid w:val="7FF56A5D"/>
    <w:rsid w:val="7FFE4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3"/>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unhideWhenUsed/>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autoRedefine/>
    <w:unhideWhenUsed/>
    <w:qFormat/>
    <w:uiPriority w:val="0"/>
    <w:pPr>
      <w:ind w:firstLine="420"/>
    </w:pPr>
    <w:rPr>
      <w:szCs w:val="20"/>
    </w:rPr>
  </w:style>
  <w:style w:type="paragraph" w:styleId="7">
    <w:name w:val="annotation text"/>
    <w:basedOn w:val="1"/>
    <w:link w:val="55"/>
    <w:qFormat/>
    <w:uiPriority w:val="0"/>
    <w:pPr>
      <w:jc w:val="left"/>
    </w:pPr>
  </w:style>
  <w:style w:type="paragraph" w:styleId="8">
    <w:name w:val="Body Text"/>
    <w:basedOn w:val="1"/>
    <w:next w:val="9"/>
    <w:autoRedefine/>
    <w:qFormat/>
    <w:uiPriority w:val="0"/>
    <w:pPr>
      <w:widowControl/>
      <w:snapToGrid w:val="0"/>
      <w:spacing w:before="60" w:after="160" w:line="259" w:lineRule="auto"/>
      <w:ind w:right="113"/>
    </w:pPr>
    <w:rPr>
      <w:kern w:val="0"/>
      <w:sz w:val="18"/>
      <w:szCs w:val="20"/>
    </w:rPr>
  </w:style>
  <w:style w:type="paragraph" w:styleId="9">
    <w:name w:val="Date"/>
    <w:basedOn w:val="1"/>
    <w:next w:val="1"/>
    <w:qFormat/>
    <w:uiPriority w:val="0"/>
    <w:rPr>
      <w:sz w:val="28"/>
    </w:rPr>
  </w:style>
  <w:style w:type="paragraph" w:styleId="10">
    <w:name w:val="Body Text Indent"/>
    <w:basedOn w:val="1"/>
    <w:next w:val="11"/>
    <w:autoRedefine/>
    <w:qFormat/>
    <w:uiPriority w:val="0"/>
    <w:pPr>
      <w:spacing w:after="120"/>
      <w:ind w:left="420" w:leftChars="200"/>
    </w:pPr>
    <w:rPr>
      <w:kern w:val="0"/>
      <w:sz w:val="24"/>
      <w:szCs w:val="20"/>
    </w:rPr>
  </w:style>
  <w:style w:type="paragraph" w:styleId="11">
    <w:name w:val="envelope return"/>
    <w:basedOn w:val="1"/>
    <w:qFormat/>
    <w:uiPriority w:val="0"/>
    <w:pPr>
      <w:snapToGrid w:val="0"/>
      <w:spacing w:line="480" w:lineRule="exact"/>
    </w:pPr>
    <w:rPr>
      <w:rFonts w:ascii="Arial" w:hAnsi="Arial" w:cs="Arial"/>
    </w:rPr>
  </w:style>
  <w:style w:type="paragraph" w:styleId="12">
    <w:name w:val="toc 3"/>
    <w:basedOn w:val="1"/>
    <w:next w:val="1"/>
    <w:qFormat/>
    <w:uiPriority w:val="39"/>
    <w:pPr>
      <w:ind w:left="840" w:leftChars="400"/>
    </w:pPr>
  </w:style>
  <w:style w:type="paragraph" w:styleId="13">
    <w:name w:val="Plain Text"/>
    <w:basedOn w:val="1"/>
    <w:autoRedefine/>
    <w:unhideWhenUsed/>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styleId="14">
    <w:name w:val="footer"/>
    <w:basedOn w:val="1"/>
    <w:autoRedefine/>
    <w:qFormat/>
    <w:uiPriority w:val="99"/>
    <w:pPr>
      <w:tabs>
        <w:tab w:val="center" w:pos="4153"/>
        <w:tab w:val="right" w:pos="8306"/>
      </w:tabs>
      <w:snapToGrid w:val="0"/>
      <w:jc w:val="left"/>
    </w:pPr>
    <w:rPr>
      <w:kern w:val="0"/>
      <w:sz w:val="18"/>
      <w:szCs w:val="20"/>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toc 1"/>
    <w:basedOn w:val="1"/>
    <w:next w:val="1"/>
    <w:qFormat/>
    <w:uiPriority w:val="39"/>
  </w:style>
  <w:style w:type="paragraph" w:styleId="17">
    <w:name w:val="List"/>
    <w:basedOn w:val="1"/>
    <w:unhideWhenUsed/>
    <w:qFormat/>
    <w:uiPriority w:val="99"/>
    <w:pPr>
      <w:ind w:left="200" w:hanging="200" w:hangingChars="200"/>
      <w:contextualSpacing/>
    </w:pPr>
  </w:style>
  <w:style w:type="paragraph" w:styleId="18">
    <w:name w:val="toc 2"/>
    <w:basedOn w:val="1"/>
    <w:next w:val="1"/>
    <w:qFormat/>
    <w:uiPriority w:val="39"/>
    <w:pPr>
      <w:ind w:left="420" w:leftChars="200"/>
    </w:pPr>
  </w:style>
  <w:style w:type="paragraph" w:styleId="19">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0">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21">
    <w:name w:val="annotation subject"/>
    <w:basedOn w:val="7"/>
    <w:next w:val="7"/>
    <w:link w:val="56"/>
    <w:qFormat/>
    <w:uiPriority w:val="0"/>
    <w:rPr>
      <w:b/>
      <w:bCs/>
    </w:rPr>
  </w:style>
  <w:style w:type="paragraph" w:styleId="22">
    <w:name w:val="Body Text First Indent 2"/>
    <w:basedOn w:val="10"/>
    <w:next w:val="1"/>
    <w:autoRedefine/>
    <w:unhideWhenUsed/>
    <w:qFormat/>
    <w:uiPriority w:val="0"/>
    <w:pPr>
      <w:ind w:firstLine="420" w:firstLineChars="200"/>
    </w:pPr>
    <w:rPr>
      <w:kern w:val="2"/>
      <w:sz w:val="21"/>
      <w:szCs w:val="24"/>
    </w:rPr>
  </w:style>
  <w:style w:type="table" w:styleId="24">
    <w:name w:val="Table Grid"/>
    <w:basedOn w:val="2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styleId="27">
    <w:name w:val="page number"/>
    <w:basedOn w:val="25"/>
    <w:autoRedefine/>
    <w:qFormat/>
    <w:uiPriority w:val="0"/>
  </w:style>
  <w:style w:type="character" w:styleId="28">
    <w:name w:val="Emphasis"/>
    <w:basedOn w:val="25"/>
    <w:autoRedefine/>
    <w:qFormat/>
    <w:uiPriority w:val="20"/>
    <w:rPr>
      <w:i/>
      <w:iCs/>
    </w:rPr>
  </w:style>
  <w:style w:type="character" w:styleId="29">
    <w:name w:val="Hyperlink"/>
    <w:basedOn w:val="25"/>
    <w:autoRedefine/>
    <w:unhideWhenUsed/>
    <w:qFormat/>
    <w:uiPriority w:val="99"/>
    <w:rPr>
      <w:color w:val="0000FF"/>
      <w:u w:val="single"/>
    </w:rPr>
  </w:style>
  <w:style w:type="character" w:styleId="30">
    <w:name w:val="annotation reference"/>
    <w:basedOn w:val="25"/>
    <w:qFormat/>
    <w:uiPriority w:val="0"/>
    <w:rPr>
      <w:sz w:val="21"/>
      <w:szCs w:val="21"/>
    </w:rPr>
  </w:style>
  <w:style w:type="character" w:customStyle="1" w:styleId="31">
    <w:name w:val="fontstyle01"/>
    <w:basedOn w:val="25"/>
    <w:autoRedefine/>
    <w:qFormat/>
    <w:uiPriority w:val="0"/>
    <w:rPr>
      <w:rFonts w:hint="eastAsia" w:ascii="宋体" w:hAnsi="宋体" w:eastAsia="宋体"/>
      <w:color w:val="000000"/>
      <w:sz w:val="24"/>
      <w:szCs w:val="24"/>
    </w:rPr>
  </w:style>
  <w:style w:type="character" w:customStyle="1" w:styleId="32">
    <w:name w:val="fontstyle11"/>
    <w:basedOn w:val="25"/>
    <w:autoRedefine/>
    <w:qFormat/>
    <w:uiPriority w:val="0"/>
    <w:rPr>
      <w:rFonts w:hint="default" w:ascii="TimesNewRoman" w:hAnsi="TimesNewRoman"/>
      <w:color w:val="000000"/>
      <w:sz w:val="24"/>
      <w:szCs w:val="24"/>
    </w:rPr>
  </w:style>
  <w:style w:type="character" w:customStyle="1" w:styleId="33">
    <w:name w:val="fontstyle21"/>
    <w:basedOn w:val="25"/>
    <w:autoRedefine/>
    <w:qFormat/>
    <w:uiPriority w:val="0"/>
    <w:rPr>
      <w:rFonts w:hint="default" w:ascii="TimesNewRoman" w:hAnsi="TimesNewRoman"/>
      <w:color w:val="000000"/>
      <w:sz w:val="24"/>
      <w:szCs w:val="24"/>
    </w:rPr>
  </w:style>
  <w:style w:type="character" w:customStyle="1" w:styleId="34">
    <w:name w:val="font11"/>
    <w:basedOn w:val="25"/>
    <w:autoRedefine/>
    <w:qFormat/>
    <w:uiPriority w:val="0"/>
    <w:rPr>
      <w:rFonts w:hint="eastAsia" w:ascii="宋体" w:hAnsi="宋体" w:eastAsia="宋体" w:cs="宋体"/>
      <w:color w:val="000000"/>
      <w:sz w:val="21"/>
      <w:szCs w:val="21"/>
      <w:u w:val="none"/>
    </w:rPr>
  </w:style>
  <w:style w:type="character" w:customStyle="1" w:styleId="35">
    <w:name w:val="font41"/>
    <w:basedOn w:val="25"/>
    <w:autoRedefine/>
    <w:qFormat/>
    <w:uiPriority w:val="0"/>
    <w:rPr>
      <w:rFonts w:hint="default" w:ascii="Times New Roman" w:hAnsi="Times New Roman" w:cs="Times New Roman"/>
      <w:color w:val="000000"/>
      <w:sz w:val="21"/>
      <w:szCs w:val="21"/>
      <w:u w:val="none"/>
    </w:rPr>
  </w:style>
  <w:style w:type="character" w:customStyle="1" w:styleId="36">
    <w:name w:val="font21"/>
    <w:basedOn w:val="25"/>
    <w:autoRedefine/>
    <w:qFormat/>
    <w:uiPriority w:val="0"/>
    <w:rPr>
      <w:rFonts w:hint="eastAsia" w:ascii="宋体" w:hAnsi="宋体" w:eastAsia="宋体" w:cs="宋体"/>
      <w:color w:val="000000"/>
      <w:sz w:val="21"/>
      <w:szCs w:val="21"/>
      <w:u w:val="none"/>
    </w:rPr>
  </w:style>
  <w:style w:type="paragraph" w:customStyle="1" w:styleId="37">
    <w:name w:val="表文"/>
    <w:basedOn w:val="1"/>
    <w:autoRedefine/>
    <w:qFormat/>
    <w:uiPriority w:val="0"/>
    <w:pPr>
      <w:jc w:val="center"/>
    </w:pPr>
    <w:rPr>
      <w:rFonts w:ascii="仿宋" w:hAnsi="仿宋" w:eastAsia="仿宋"/>
      <w:szCs w:val="21"/>
    </w:rPr>
  </w:style>
  <w:style w:type="paragraph" w:customStyle="1" w:styleId="38">
    <w:name w:val="正文东铝"/>
    <w:basedOn w:val="1"/>
    <w:autoRedefine/>
    <w:qFormat/>
    <w:uiPriority w:val="0"/>
    <w:pPr>
      <w:spacing w:line="520" w:lineRule="exact"/>
      <w:ind w:firstLine="200" w:firstLineChars="200"/>
      <w:jc w:val="left"/>
    </w:pPr>
    <w:rPr>
      <w:color w:val="000000"/>
      <w:sz w:val="24"/>
    </w:rPr>
  </w:style>
  <w:style w:type="paragraph" w:styleId="39">
    <w:name w:val="List Paragraph"/>
    <w:basedOn w:val="1"/>
    <w:autoRedefine/>
    <w:qFormat/>
    <w:uiPriority w:val="34"/>
    <w:pPr>
      <w:widowControl/>
      <w:adjustRightInd w:val="0"/>
      <w:snapToGrid w:val="0"/>
      <w:spacing w:after="200"/>
      <w:ind w:firstLine="420" w:firstLineChars="200"/>
      <w:jc w:val="left"/>
    </w:pPr>
    <w:rPr>
      <w:rFonts w:ascii="Tahoma" w:hAnsi="Tahoma"/>
      <w:kern w:val="0"/>
      <w:sz w:val="22"/>
      <w:szCs w:val="22"/>
    </w:rPr>
  </w:style>
  <w:style w:type="paragraph" w:customStyle="1" w:styleId="40">
    <w:name w:val="其他标题"/>
    <w:basedOn w:val="1"/>
    <w:autoRedefine/>
    <w:qFormat/>
    <w:uiPriority w:val="0"/>
    <w:pPr>
      <w:tabs>
        <w:tab w:val="left" w:pos="2757"/>
      </w:tabs>
      <w:spacing w:beforeLines="50" w:line="360" w:lineRule="auto"/>
      <w:jc w:val="left"/>
    </w:pPr>
    <w:rPr>
      <w:rFonts w:ascii="宋体" w:hAnsi="宋体"/>
      <w:b/>
      <w:sz w:val="28"/>
    </w:rPr>
  </w:style>
  <w:style w:type="paragraph" w:customStyle="1" w:styleId="41">
    <w:name w:val="表格文字"/>
    <w:basedOn w:val="1"/>
    <w:autoRedefine/>
    <w:qFormat/>
    <w:uiPriority w:val="0"/>
    <w:pPr>
      <w:spacing w:line="280" w:lineRule="exact"/>
    </w:pPr>
    <w:rPr>
      <w:rFonts w:ascii="宋体" w:hAnsi="宋体" w:eastAsiaTheme="minorEastAsia" w:cstheme="minorBidi"/>
      <w:sz w:val="18"/>
      <w:szCs w:val="18"/>
    </w:rPr>
  </w:style>
  <w:style w:type="paragraph" w:customStyle="1" w:styleId="42">
    <w:name w:val="正文文本 21"/>
    <w:basedOn w:val="1"/>
    <w:autoRedefine/>
    <w:qFormat/>
    <w:uiPriority w:val="0"/>
    <w:pPr>
      <w:overflowPunct w:val="0"/>
      <w:autoSpaceDE w:val="0"/>
      <w:autoSpaceDN w:val="0"/>
      <w:adjustRightInd w:val="0"/>
      <w:spacing w:line="360" w:lineRule="auto"/>
      <w:ind w:firstLine="425"/>
    </w:pPr>
    <w:rPr>
      <w:sz w:val="24"/>
      <w:szCs w:val="20"/>
    </w:rPr>
  </w:style>
  <w:style w:type="character" w:customStyle="1" w:styleId="43">
    <w:name w:val="标题 1 字符"/>
    <w:basedOn w:val="25"/>
    <w:link w:val="2"/>
    <w:autoRedefine/>
    <w:qFormat/>
    <w:uiPriority w:val="99"/>
    <w:rPr>
      <w:rFonts w:eastAsia="黑体"/>
      <w:b/>
      <w:bCs/>
      <w:color w:val="000000"/>
      <w:kern w:val="44"/>
      <w:sz w:val="30"/>
      <w:szCs w:val="30"/>
    </w:rPr>
  </w:style>
  <w:style w:type="paragraph" w:customStyle="1" w:styleId="44">
    <w:name w:val="表格"/>
    <w:basedOn w:val="1"/>
    <w:autoRedefine/>
    <w:qFormat/>
    <w:uiPriority w:val="0"/>
    <w:pPr>
      <w:adjustRightInd w:val="0"/>
      <w:snapToGrid w:val="0"/>
      <w:spacing w:beforeLines="10" w:afterLines="10" w:line="259" w:lineRule="auto"/>
      <w:jc w:val="center"/>
    </w:pPr>
    <w:rPr>
      <w:rFonts w:ascii="宋体" w:hAnsiTheme="minorHAnsi" w:eastAsiaTheme="minorEastAsia" w:cstheme="minorBidi"/>
      <w:szCs w:val="22"/>
    </w:rPr>
  </w:style>
  <w:style w:type="paragraph" w:customStyle="1" w:styleId="45">
    <w:name w:val="Other|1"/>
    <w:basedOn w:val="1"/>
    <w:autoRedefine/>
    <w:qFormat/>
    <w:uiPriority w:val="0"/>
    <w:pPr>
      <w:jc w:val="center"/>
    </w:pPr>
    <w:rPr>
      <w:rFonts w:ascii="宋体" w:hAnsi="宋体" w:cs="宋体"/>
      <w:sz w:val="20"/>
      <w:szCs w:val="20"/>
      <w:lang w:val="zh-TW" w:eastAsia="zh-TW" w:bidi="zh-TW"/>
    </w:rPr>
  </w:style>
  <w:style w:type="character" w:customStyle="1" w:styleId="46">
    <w:name w:val="font01"/>
    <w:basedOn w:val="25"/>
    <w:autoRedefine/>
    <w:qFormat/>
    <w:uiPriority w:val="0"/>
    <w:rPr>
      <w:rFonts w:hint="eastAsia" w:ascii="宋体" w:hAnsi="宋体" w:eastAsia="宋体" w:cs="宋体"/>
      <w:color w:val="000000"/>
      <w:sz w:val="22"/>
      <w:szCs w:val="22"/>
      <w:u w:val="none"/>
    </w:rPr>
  </w:style>
  <w:style w:type="paragraph" w:customStyle="1" w:styleId="47">
    <w:name w:val="Default"/>
    <w:autoRedefine/>
    <w:qFormat/>
    <w:uiPriority w:val="0"/>
    <w:pPr>
      <w:widowControl w:val="0"/>
      <w:autoSpaceDE w:val="0"/>
      <w:autoSpaceDN w:val="0"/>
      <w:adjustRightInd w:val="0"/>
    </w:pPr>
    <w:rPr>
      <w:rFonts w:ascii="宋体" w:hAnsi="宋体" w:eastAsia="宋体" w:cs="Times New Roman"/>
      <w:color w:val="000000"/>
      <w:sz w:val="24"/>
      <w:szCs w:val="24"/>
      <w:lang w:val="en-US" w:eastAsia="zh-CN" w:bidi="ar-SA"/>
    </w:rPr>
  </w:style>
  <w:style w:type="paragraph" w:customStyle="1" w:styleId="48">
    <w:name w:val="Table Paragraph"/>
    <w:basedOn w:val="1"/>
    <w:autoRedefine/>
    <w:qFormat/>
    <w:uiPriority w:val="1"/>
    <w:pPr>
      <w:spacing w:before="22"/>
      <w:jc w:val="center"/>
    </w:pPr>
    <w:rPr>
      <w:rFonts w:ascii="宋体" w:hAnsi="宋体" w:cs="宋体"/>
      <w:lang w:val="zh-CN" w:bidi="zh-CN"/>
    </w:rPr>
  </w:style>
  <w:style w:type="paragraph" w:customStyle="1" w:styleId="49">
    <w:name w:val="Table Text"/>
    <w:basedOn w:val="1"/>
    <w:semiHidden/>
    <w:qFormat/>
    <w:uiPriority w:val="0"/>
    <w:rPr>
      <w:rFonts w:ascii="宋体" w:hAnsi="宋体" w:cs="宋体"/>
      <w:sz w:val="20"/>
      <w:szCs w:val="20"/>
      <w:lang w:eastAsia="en-US"/>
    </w:rPr>
  </w:style>
  <w:style w:type="table" w:customStyle="1" w:styleId="50">
    <w:name w:val="Table Normal"/>
    <w:semiHidden/>
    <w:unhideWhenUsed/>
    <w:qFormat/>
    <w:uiPriority w:val="0"/>
    <w:tblPr>
      <w:tblCellMar>
        <w:top w:w="0" w:type="dxa"/>
        <w:left w:w="0" w:type="dxa"/>
        <w:bottom w:w="0" w:type="dxa"/>
        <w:right w:w="0" w:type="dxa"/>
      </w:tblCellMar>
    </w:tblPr>
  </w:style>
  <w:style w:type="character" w:customStyle="1" w:styleId="51">
    <w:name w:val="font31"/>
    <w:basedOn w:val="25"/>
    <w:qFormat/>
    <w:uiPriority w:val="0"/>
    <w:rPr>
      <w:rFonts w:hint="eastAsia" w:ascii="宋体" w:hAnsi="宋体" w:eastAsia="宋体" w:cs="宋体"/>
      <w:color w:val="000000"/>
      <w:sz w:val="21"/>
      <w:szCs w:val="21"/>
      <w:u w:val="none"/>
    </w:rPr>
  </w:style>
  <w:style w:type="character" w:customStyle="1" w:styleId="52">
    <w:name w:val="font81"/>
    <w:basedOn w:val="25"/>
    <w:qFormat/>
    <w:uiPriority w:val="0"/>
    <w:rPr>
      <w:rFonts w:hint="eastAsia" w:ascii="宋体" w:hAnsi="宋体" w:eastAsia="宋体" w:cs="宋体"/>
      <w:color w:val="000000"/>
      <w:sz w:val="20"/>
      <w:szCs w:val="20"/>
      <w:u w:val="none"/>
    </w:rPr>
  </w:style>
  <w:style w:type="character" w:customStyle="1" w:styleId="53">
    <w:name w:val="font61"/>
    <w:basedOn w:val="25"/>
    <w:qFormat/>
    <w:uiPriority w:val="0"/>
    <w:rPr>
      <w:rFonts w:hint="eastAsia" w:ascii="宋体" w:hAnsi="宋体" w:eastAsia="宋体" w:cs="宋体"/>
      <w:b/>
      <w:bCs/>
      <w:color w:val="000000"/>
      <w:sz w:val="20"/>
      <w:szCs w:val="20"/>
      <w:u w:val="none"/>
    </w:rPr>
  </w:style>
  <w:style w:type="character" w:customStyle="1" w:styleId="54">
    <w:name w:val="font71"/>
    <w:basedOn w:val="25"/>
    <w:qFormat/>
    <w:uiPriority w:val="0"/>
    <w:rPr>
      <w:rFonts w:hint="default" w:ascii="Times New Roman" w:hAnsi="Times New Roman" w:cs="Times New Roman"/>
      <w:b/>
      <w:bCs/>
      <w:color w:val="000000"/>
      <w:sz w:val="20"/>
      <w:szCs w:val="20"/>
      <w:u w:val="none"/>
      <w:vertAlign w:val="superscript"/>
    </w:rPr>
  </w:style>
  <w:style w:type="character" w:customStyle="1" w:styleId="55">
    <w:name w:val="批注文字 字符"/>
    <w:basedOn w:val="25"/>
    <w:link w:val="7"/>
    <w:qFormat/>
    <w:uiPriority w:val="0"/>
    <w:rPr>
      <w:kern w:val="2"/>
      <w:sz w:val="21"/>
      <w:szCs w:val="24"/>
    </w:rPr>
  </w:style>
  <w:style w:type="character" w:customStyle="1" w:styleId="56">
    <w:name w:val="批注主题 字符"/>
    <w:basedOn w:val="55"/>
    <w:link w:val="21"/>
    <w:qFormat/>
    <w:uiPriority w:val="0"/>
    <w:rPr>
      <w:b/>
      <w:bCs/>
      <w:kern w:val="2"/>
      <w:sz w:val="21"/>
      <w:szCs w:val="24"/>
    </w:rPr>
  </w:style>
  <w:style w:type="character" w:customStyle="1" w:styleId="57">
    <w:name w:val="font51"/>
    <w:basedOn w:val="25"/>
    <w:qFormat/>
    <w:uiPriority w:val="0"/>
    <w:rPr>
      <w:rFonts w:hint="eastAsia" w:ascii="宋体" w:hAnsi="宋体" w:eastAsia="宋体" w:cs="宋体"/>
      <w:b/>
      <w:bCs/>
      <w:color w:val="000000"/>
      <w:sz w:val="21"/>
      <w:szCs w:val="21"/>
      <w:u w:val="none"/>
    </w:rPr>
  </w:style>
  <w:style w:type="paragraph" w:customStyle="1" w:styleId="58">
    <w:name w:val="表格文本"/>
    <w:basedOn w:val="1"/>
    <w:next w:val="1"/>
    <w:qFormat/>
    <w:uiPriority w:val="0"/>
    <w:pPr>
      <w:spacing w:line="288" w:lineRule="auto"/>
      <w:ind w:firstLine="0" w:firstLineChars="0"/>
      <w:jc w:val="center"/>
    </w:pPr>
    <w:rPr>
      <w:rFonts w:ascii="Times New Roman" w:hAnsi="Times New Roman" w:eastAsia="宋体"/>
      <w:sz w:val="21"/>
    </w:rPr>
  </w:style>
  <w:style w:type="paragraph" w:customStyle="1" w:styleId="59">
    <w:name w:val="表注图注"/>
    <w:basedOn w:val="1"/>
    <w:qFormat/>
    <w:uiPriority w:val="0"/>
    <w:pPr>
      <w:ind w:firstLine="0" w:firstLineChars="0"/>
      <w:jc w:val="center"/>
    </w:pPr>
    <w:rPr>
      <w:b/>
      <w:bCs/>
      <w:sz w:val="21"/>
      <w:szCs w:val="21"/>
    </w:rPr>
  </w:style>
  <w:style w:type="paragraph" w:customStyle="1" w:styleId="60">
    <w:name w:val="ENN正文0"/>
    <w:basedOn w:val="1"/>
    <w:autoRedefine/>
    <w:qFormat/>
    <w:uiPriority w:val="0"/>
    <w:pPr>
      <w:autoSpaceDE w:val="0"/>
      <w:autoSpaceDN w:val="0"/>
      <w:spacing w:line="360" w:lineRule="auto"/>
      <w:ind w:firstLine="200" w:firstLineChars="200"/>
    </w:pPr>
    <w:rPr>
      <w:rFonts w:eastAsia="仿宋_GB2312"/>
      <w:kern w:val="0"/>
      <w:sz w:val="24"/>
      <w:szCs w:val="26"/>
      <w:lang w:val="zh-CN"/>
    </w:rPr>
  </w:style>
  <w:style w:type="paragraph" w:customStyle="1" w:styleId="61">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2">
    <w:name w:val="a表内格式zzzzzzz"/>
    <w:basedOn w:val="1"/>
    <w:next w:val="1"/>
    <w:qFormat/>
    <w:uiPriority w:val="0"/>
    <w:pPr>
      <w:spacing w:line="300" w:lineRule="exact"/>
      <w:jc w:val="center"/>
    </w:pPr>
    <w:rPr>
      <w:kern w:val="0"/>
      <w:szCs w:val="20"/>
    </w:rPr>
  </w:style>
  <w:style w:type="paragraph" w:customStyle="1" w:styleId="63">
    <w:name w:val="表格内容"/>
    <w:basedOn w:val="17"/>
    <w:next w:val="64"/>
    <w:qFormat/>
    <w:uiPriority w:val="0"/>
    <w:pPr>
      <w:autoSpaceDE w:val="0"/>
      <w:autoSpaceDN w:val="0"/>
      <w:adjustRightInd w:val="0"/>
      <w:jc w:val="center"/>
      <w:textAlignment w:val="center"/>
    </w:pPr>
    <w:rPr>
      <w:kern w:val="0"/>
      <w:szCs w:val="21"/>
    </w:rPr>
  </w:style>
  <w:style w:type="paragraph" w:customStyle="1" w:styleId="64">
    <w:name w:val="A-z正文"/>
    <w:basedOn w:val="1"/>
    <w:qFormat/>
    <w:uiPriority w:val="0"/>
    <w:pPr>
      <w:ind w:firstLine="200" w:firstLineChars="2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Administrator/AppData/Roaming/Tencent/Users/106562794/QQ/WinTemp/RichOle/3%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5bHA_)5@93(CJOQJQ(ZBZ59.png" TargetMode="External"/><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jpe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3.bin"/><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emf"/><Relationship Id="rId14" Type="http://schemas.openxmlformats.org/officeDocument/2006/relationships/oleObject" Target="embeddings/oleObject2.bin"/><Relationship Id="rId13" Type="http://schemas.openxmlformats.org/officeDocument/2006/relationships/image" Target="media/image7.emf"/><Relationship Id="rId12" Type="http://schemas.openxmlformats.org/officeDocument/2006/relationships/oleObject" Target="embeddings/oleObject1.bin"/><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customShpInfo spid="_x0000_s1026" textRotate="1"/>
  </customShpExts>
  <extobjs>
    <extobj name="ECB019B1-382A-4266-B25C-5B523AA43C14-1">
      <extobjdata type="ECB019B1-382A-4266-B25C-5B523AA43C14" data="ewoJIkZpbGVJZCIgOiAiMzUwNDU1OTQ1NjA5IiwKCSJHcm91cElkIiA6ICIzMzYxMzI3MzkiLAoJIkltYWdlIiA6ICJpVkJPUncwS0dnb0FBQUFOU1VoRVVnQUFBMGNBQUFFUkNBWUFBQUN3OHR4QUFBQUFBWE5TUjBJQXJzNGM2UUFBSUFCSlJFRlVlSnpzM1hsOEZQWDlQL0RYZTJhVGJFSUNoRXZVV0tPR2drdU9uVTI5cW1pMTNrcTFvclZGV3crODhTZW9yVlZyYTYwSDBnSWVwZDZpRmtWcnJiYlVBeFcxQ2xZOHNyTTVES0RSUm9rZ0VrRWhrRTJ5TysvZkg5bk5kNU5za2czazJ1VDFmRHg4c0puNXpHZmVpMHgyM3pPZnovc0RFQ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SFJBQ0w5SFFBUkVSSEY1L1A1ZnFXcUo2bnE3RUFnRU9pUEdMeGU3MXdSbVNraXQvbjkvdHY2STRhZTRQUDVqbGZWekVUYU9vN3paV2xwNmNyZWpvbUlCaDVYZndkQVJFUkU4YW5xUkJFNVFsVkh4bTczK1h4UHFlcjQ3dlRsT001WnBhV2xYM1EzQnNNdzBnQU1BNURhM1dNSG1JVWlzbDhpRFUzVGZCbkE4YjBjRHhFTlFFeU9pSWlJa295cUhpd2llM2ZuR05NMDB4TnA1dlY2c3dLQndEZGROZlI0UEptVmxaVjEzWW1odC9oOHZpc2R4eGtkdTAxRU50cTIvZWZZYmFyNnNXRVlQK3FzTDFXdDZJMFlpU2c1TURraUlpSktNb1poZU9ycjY0Mk85cnZkN21OVTlXNFJ5UUZRRCtBV3Y5OWYzVlczUHAvdk1WVTlxTGk0ZUdwSlNjbWFqaHBPbmp4NVZGcGEycHVXWmIxckdNYWxKU1VsVFR2NVZucktUTU13V2owVlV0VVBBZnk1VGJ2R3p0NFhBUGg4dnA2T2pZaVNDSk1qSWlLaUFjVHI5WTQwVGRNRkFLcWFGdGs4b3JpNGVBd0FsSlNVYkM0cEtka1I3OWpDd3NKeExwZHJBWUN6UkFRQVhtNXFhcnFzdkx6ODB5NU9LejZmNytISWNVM2hjSGdpZ0E2VGlKU1VsUDBCZkVkRThoM0h5WnM4ZWZKcEgzNzQ0ZWJ1dmRPZXBhb2ZxZXB4QUNBaS8rblBXSWdvZVRFNUlpSWlHa0JFWktXcVRvN2RaaGpHUDFVVkFPRHorU2I0L2Y2cXRvZDV2ZDRaSXZKSEFOa0F2bFRWSzIzYmZpcVJVL3A4dnZzQm5BdWdDY0NaZ1VEZ1g1MGRFQWdFM2k0b0tEak01WEs5S0NKSHBLYW12bHRZV0hoeVdWbloya1RmWnk5b0NnUUMxUURnOC9sQzBiK3ZOdmEzTEt1cm9ZQm1qMGRHUkVtRHlSRVJFZEhBc2hKQURRQ282bVFSeVZIVjkwVmtNd0NJeVBiWXhwWmxlVVRrZmdDSHFhcWpxdmNhaG5HZDMrLy90cXNUNWVYbHBXVmxaUzBDTUIyUnhNanY5eitYU0pEbDVlWGwrZm41MzA5SlNYbFpSUFkzVGZPL2xtV2RiTnYyTzkxOHYzMUdSTGFvNnFPZHRWSFZxeUpQM1lob0NHSnlSRVJFTklEWXRuMUo5TFZsV1E4Qm1LR3ExOWkyM1dxb1dHNXVyanM3Ty9zM0FLNEJrS3FxcGVGdytPS3lzckozRXpuUHBFbVRSbWRrWkR3SFlJcXFOcWpxVHdPQndEKzdFMnRGUmNXNjR1TGl3MVgxRlJHeEFMeG1XZFpQYmR0ZTJwMSsrb0xqT0tjYmh1SFl0bDNXV2J2Q3dzSy9wNlNrZEpsWUV0SGd4T1NvbHhRVkZSMHJJdDhCc0R6Nm1KKzZscGVYbDFaVlZkWFEzM0VRRVExa2xtVWREZUJlRWNsVDFlMk80L3dtRUFqY0NTQ1V5UEVGQlFYN3VseXVaUUFtQVBoV1ZVOE5CQUk3TlUrbnBLU2sxdXYxSG1VWXhrc0FEaGFSWjcxZTd3bUJRT0RWbmVtdnAxbVdkUk9BcXdGQVZXRlpWblRYQ3R1MlQ0ajhYYlJLbUJ6SGdXVlpFSkVaZnIvL2IzMGNNaEgxb3lHVkhQWGxBbkNtYVY0QjRDUlZQUU1BazZNdVdKYTFONEMvaXNoV0FEOENFSGV3T0JIUlVGZFlXRGhSUkdJVGovVWljckpsV1NkM2RheXFQaDhJQk9hcDZuWTByMXUwUVZWUENBUUNwYnNTVXlBUStDWXZMKys0NGNPSHY2eXFkWTJOalcvdVNuODlMRTFFaHFucVFnRFJtMi9uQVVnSGdKU1VGQVBBTUZWOUU4QUhrZjE3aXNoUEFhVDBlYlJFMUsrR1ZISUVMZ0RYaW1WWkw0cklkM3U2MzJBdzZLbXNyR3pzempIYnRtMzdjdmp3NGFNQUhHNVoxbFcyYmMvdjZiaUlpSktWaUxpOFh1K0pJbkpVT0J4K3RNMitDV2grQXBTSVVnQ29xS2pZYUZuV2lZN2o3T2hxZElQak9COGFodkdDNHpnZmRkYXVxcXBxYTE1ZTNuR3BxYWxPZHo4RCtvS3EvamE2ZnBQUDV6dTViY0dHYU9JSUFFVkZSWWVacHZuVGZnaVRpUHJab0VtTyttSUJPSy9YdXlBeVZDNFJ4WkVZcnJZc0s2RmZzQ0l5eisvM3IwcXcvNTd3SFFEN1JlNGc5b1IwRVRGMjdOalJhdTJONHVMaWxQcjYrdEVkSFJUamw2cjZvb2hjVjF4Yy9NLzYrdnBPNHpKTnM2Rzh2SHpMTGtWTVJEUndtUUJHQUlDSS9GdEUzS3E2c2F5czdCcVB4NU1WYmVSMnUwc0I3TnZVMUZRWURvZi9Cd0JwYVduTFJPUlF4M0VPYld4c0xITzczUmNDV0NBaUxaWGFiTnV1VENTSVVDaTBMQ1VseFJhUjlWMjFyYXFxMnRyTjkwaEVOS0FNbXVRSWZiQUFuSWdjS3lLVDQrN3MyTUdKVnIxUjFVUktydlk0VmMzcGFEVjBqOGVUNm5hN2p3cUh3NXRMUzB2ZjY2d2Z5N0lxQUxUNyt3bUZRZ2U1M2U0VmljUVMrYnNhcmFwVmJyZTdxN2hmQTNCMEl2MFNFU1dENHVMaWxIQTRmS3lJbkNZaVB3SXdKckxMcGFyTEFEd0d3S21zckt3RGdNTEN3b01BN0F2Z2svTHk4dkpJVzhQbjh4VUNhS3FycXl1cHFxcHE4UGw4S1FDZ3F0dTZHMU5xYXVyVkFHWTVqbk1yZ0J0MjdSMzJIeEdwaWM0M1V0VU1BRisyMlgrclpWbS9qN3p1Y0lGZElocmNCbE55MU9zTHdHM2F0T21BNGNPSEo3VCtRVnBhMnQ5RjVIZ0FQdzhHZ3dsVi82bXNyS3pmcFFCN3h5Z0FMeG1HOFNhQUgreGlYNStvNnZJZWlBa0FvS3FyZTZvdklxS0JvS0doWVh4cWF1cnowWjlWZGJ1SURBTXcxYmJ0WlczYm02WjVhZVRsNDlGdFhxLzNZQUJaQUZaRkM5eW9hcWFJUUVTNm5Sd05JbytnOVp5anR0NUJaTTZScWtibkhCSFJFRE9va2lQMDhnSndOVFUxQ1NjdlBwOHZEQUNxR296ZTRTTjhFQzFSVzF4Y1BLYWtwS1EydXFPd3NIQWZsOHQxZ2VNNC93MEVBaS9FYkIvbWNya1doRUtoUlltV3B5VWlTbFlWRlJWZldKWlZCZUR2anVNOGFoakdOUUJtT0k0VGJOdldzcXhEQVB3Q1FEQVlETjRYM1c0WXhvOEJRRlZmakc0VGtlR1JiYTJTbzd5OHZMVFUxTlN1aWc1RTk2ZDRQSjVPaXhvMU5qWTJEYlNLbytGdytISFRORDh3RE9OZkpTVWxUUUNRbjUvL0o5TTB4L2g4dmc5VTlaVndPTHhYS0JUNkp2cDVQV25TcE5IcDZlbi9NQXlqMHhFVFJEVDRETGJrcUVzOXNRQ2MxK3VkSlNMN2QzR3Fnc2lmRjBWS3JuYm1YdHUyZDZsUzBLNnlMT3NLRVRtdzdYWlZqWTV0Mjkvbjh6M2Vkbi9Fd3U3TWxmSjRQS21PNDFSYWx0WFEwTkN3ZjJWbFpaMXBtbE1BWEc4WXhqMEFXcElqMHpTUFY5VnpUZE84ME9mekxSR1JYNVdVbEd6b3puc2o2aTNGeGNWand1SHdxWVpoYlBiNy9jLzJkencwS0RpMmJiY1VWNGdwTzkxS1RrNU91b2pjQjBBQS9MbXlzdkpMb0RuWkFYQXVBSVRENGFkakRoa09vTjJUbzZ5c3JMK0l5SXhFQWpNTTR4cTMyMzFOWjIzUzB0SWVCbkJCSXYzMUVWY29GS29OaFVJckFZejJlRHdBbWt0MW02YVppdWI1d2RXaFVDZ0VJRE0yK1d0b2FGZ0pOSDltRGNRQ0UwVFVPNFpVY3RSVEM4Q0p5RlFSK1dFaTV4U1JZeEtJYXhraUZZVDYwZUVBcHJYZEdFMFNSV1FjZ0xQaUhhaXF6d05JT0RseXU5MC9BVEJXVlJkRjc5S3BxbGRFb0tyKzJMYTJiZi9EYXY1MjhCQ0FzeHpIT2RycjlVN3FhSTRVVVhGeDhYY2N4Mm1YNkhla3NiSHg5UTgvL0hEenpwekxjWnhjd3pBZWpNeHZaSEpFZmNVY08zYnNVd0FLVmJXNm9hSGhEOUVkbVptWk13Q01VZFgvbEpXVnJZMDVaaVFBcUdyYmdna2JBS3hGSjFSMW5JaGtBL2dhUUcxbmJTUDk5UmNqSnJrUkFDZ3NMSnprY3JuS096a0dJakxON1hhMysveUxjaHpuU0FBOVBsU2ZpQWFtSVpFYzlmUUNjRTFOVFdlNVhLNzBub3JQTk0ydmVxcXZuYlZseTVhek16SXl6bTI3M1RUTmNTa3BLWjhBV0JrTUJrK0lkMnhsWldXNzRSNmRVZFhMUkNSa0dNWnQwVzJHWVhnQklCd08yMjNiUnlvcUhlYnorYTRXa1RMYnRwa1lVWWRVOVhBUldaeG8rN1MwdEVQUWplU2VxSitabG1VOUlDSS9VdFZHeDNIT2pONWtLaTR1SHVFNHp1OEJRRlZ2YTNOYzNPVEl0dTNmQXZodFp5ZjArWHgzb3JrZ3czMkJRR0RBRm1RUWtmM2RibmZzazdFUEFYd0RvTzBpcmdKZ0tpTHJITVY0SGtDN0txa2kwdStmMFVUVWQ0WkVjb1FlWGdDdW9xSmlZeC9FM0tlcXE2dmpKamdlanljekpTVUZxaHJ1aWJsVFhxODNWMFFPMFdhbHNaV0RSQVF1bDJ1RlpWbHhKNHRGNTVERkpMZXpiTnQrZUZkam91UmhXVlpSWkdIbFZsVDF5ZExTMGcvYmJKdGxHTVlySGZXbHFwY0FtTlYydTgvbk8xaFZmNWxJUEpHNzZSQ1J2U3pMZWlhUlkxVDE4MEFnY0ZVaWJZbGlGUlFVWkx0Y3JyK0p5REdxcWlMeWk5Z3FvbzdqM0NNaVkxVjFlU0FRaUYwa0ZxbzZLdkowdnNOUkViMmxzTEJ3bkdFWUI4VE9KKzBOcXJvRlFPeFF3aS9LeXNwcUFMUVVWb2pNSlZvc0l1bXErcVNJL0V4VjN3ZVFCMkI4UTBQRDFPZ1FSU0lhbW9aS2NnU2daeGVBc3l6ckhnQVp1eHFUaVB6RDcvZi9lMWY3U1NhUkV0d3RSR1FzZ0VJQVgwYUdKeVZFUkFaZGtrcWRFNUVDRWZsTjIrMnFHa0R6WGVKWTZ6c3IyMjlaVm0yOHVZV3FtaU1pSFE2eDZjRHdiaHlUOEw5eG9salJ4QWhBU0VUT2l4M1Y0UFY2THhPUjZhcTZQUlFLWFJ6bjhORUFvS3A5K3VROUx5OHZ6ZVZ5TFZmVmZKL1BkNFBmNzIvN1JLc25yWThXL1luSHNxeGZBSmduSXRtcU9pc2NEai9yY3JsK0ppSWZBYmdDd010dXQ3c2lzaEQ1WWdCeGI5UVIwZUEycEpLam5pUWkweEZabkc5WHFHb1ZnQUdUSEhtOTNsTkVKTGJFYVJvQWlFaStaVm10U3BJN2pqT3p0TFQwaTY3Nk5FMVRBRUJWblVnMXdWWUZLaXpMbWlNaWhRQVcyTGI5cDExK0V6VG9xZXBscXZxU1lSaW5BcmlqSi91MmJmdTUyQVUyTytOMnV5MEFiNm5xNm9hR2hvVG1PVzNkdWpXOFN3SFNrR1VZeGhXTzR5d0ZjSmx0MnkzTElsaVdkYnFJM0IzNThiTHk4dkpQWTQrYk9IRmlGb0E5VkxXeHJLeHNwK2JYN2F6SUdrdDNpTWdEQUc2MUxPdTdobUZjR0swYTExTkU1S2pHeHNhNHlZelA1NXNLNEVZMEYxLzRKQlFLVFMwckszdTNzTEF3SjlyRzcvZXZzaXpyRUJGWktpS1ArWHkrWHpxT003ZTJ0dmJaN2xTcUphTGtONlNTbzk1WUFHN0hqaDFqRE1Ob1Y3WTBacDJqcWNGZ3NOMUVUcmZiZlFXQVc3di9MbnJkQkJFNVJWVWJBSVNBNW5VMkFMZ1JTV3BFSkEyQXkrVnlYWnRJaHpIcmEzUTBMTy9NeUovUGQ3Q2ZxSzFOZ1VDZzJ1ZnpkVGc1WEVRV1c1YlZXV1hLanNvWEp6eUUxTEtzK3NqVEo0Y2wrNm1YN0I3NU03cUErU1FBVG5TbjErdTlVRVR1QldDcTZ1ME5EUTJ2RkJZV2ppc3JLL3NLYUs1cWw1R1I4Y2ZJWjVvZmtkL3JsbVhkSlNMSEpSSkFwQ0FERE1PNHhPZnpuWjdnTWUvWnR2MExBUEQ3L1kvNGZMNzFxdnFNaUp6ak9NNjRuSnljYVQyWmRKU1VsSHdlKzNOay90VU1FYmtRd0tUSVo5cWNjRGg4YTFsWldidDVSVUR6L05iaTR1Sml4M0htQXJqSU1Jekh4NDRkV3pkbXpKai9Gd2dFT3ExeVMwU0R4NUJLanRBTEM4QUZnOEh0OGVicmRMWE9rZGZyYlRTTUFiMEE5N20yYlQ4VmIwZWtwSGZjeW5YeFJKT2pPRldTVUZoWWVKQ0k3Qk5wOTM1SFpXdGpPWTdqS3kwdC9TalI4OVBRcEtxdkF1anMzOG5CQUE3dGFHZHhjZkYranVQOHFvdlRqSTM4dVlkbFdmZDExbEJFMXZuOS9vRjRRNFFHR011eWxnRElsZWJNKzJCVmRVS2gwQ2VSM1E0QUZCY1hwNmpxWHdCY0NBQ3F1c0MyN2V0OFB0OUZBTzYzTE1zQlVBOGdQWHF6ejNHY0JUR24yUlBBeEVUaWlSbCtPanJ5WHlKYTNYejArLzB2ZTczZTR3RXNFNUVUeG8wYjkyaE5UYzJaSFJ6YkU1b2lJenoyQS9CSUtCUzZwZTBUdFhoS1NrcStCWENKMSt0OVdFUitKeUxmcTYrdkh6Q2pPNGlvOXcySjVLaVhGb0RyZUNFa2FzVXdqRXlnL2ZvYUFHQ2E1b1V4UHphSnlOdngrbERWMU1na1pBZHhxZ2tSUlluSU1sVTlwTEd4OGFQT1NuUVhGUlh0YVpybVhzRmdzQ0xlL2xBb3RMdHBtdkhtYnNRN1p6YUFUdHVxYWlrRzV0TmlHbmlhUk9TUTZBK3FPcWR0SWFDU2twSW1uOCszQTBEWWNaeHJvL05sSGNkNXp6Q01zSWlZQUlhaCtVblJSd0QrR0FnRS9oNDl2cU1LcFQwbDN2RFJRQ0R3dHMvbk8xRlZGNGZENFp0NzY5d0FVRkpTc2lNL1AvOGtBS2tWRlJYcnVudDhJQkI0SDhCVWo4ZVR1V2JOR2o0VkpocENoa0p5MUJzTHdMbFVOVXRFa0oyZHZWdEdSa2E3WVhXcW1oWjVXcEx0OFhqR3Q5MHZJZ25OYVJnTUloUGNvYXF0dnFoYWxyVzNpUHdDd0E0QUt3QWM0empPYllGQTRMOXQrN0FzYXo2QVl3QThrTWc4SnhwNjh2THkwckt5c3I1Mm5PWVJSNm1wcVMyVkRVWGtCTC9mdjhLeXJJY1FVN2xLVlpHV2xnYWZ6L2VKMys4dml1MXYrL2J0NzJkbVp1N1RVL0dKQ0JlUnBFUmQ1empPUWhGUkFKOEZBb0ZOOFJyNS9mN1pCUVVGRDVlWGw3ZXM0eE1JQkFKby9tdzNQQjZQcTdLeU1neWdYYUxTVVlYUzN1YjMrMWQ0UEo3djlzV2lxbDFWbG8xVXN1djBSaWVIeXhJTlBZTXRPZXFUQmVDS2k0dkhxcXBFanExMnU5MGRCMlFZVDNlMmZ3Q2JZVm5XRCtMdFVOVUQ0MVg1Nm9RSEFFU2tWWlV1RWJrZXpmTSs3Z21Idy9jWWhsRXVJby9tNU9RVXhZNUZ0eXpyQkFCWHF1cG5xbnBkdDk4SkRRbWhVRWhFWkJnQXY2cStBUUFpTWhIQXlZN2ptSkdmM1FCU1ZUVTZlUjBpY2dhYTc3QzNVbFZWMVFDZ3VrK0NKNHBoMi9aNkFPc1RhUnViR0xYaDlFVUNzak1HYWx4RVJNQWdTNDc2YWdHNFVDZzB5VFJOcU9wR0VVbG9iWk8yVk5VckloM09kK2h2SW5JMDJsU1YyNFcrUEFDZ3FpMGY0ajZmcjFCVnp4V1JZQ2dVbWxkV1ZsWmpXZGFOSWpKbjNMaHhmM2U1WEtkWFYxY0hMY3M2WEVTZUFoQU1oVUpubHBXVmNRRlk2c29LMjdaL0NRQ1daZjFVUkU2TzNhbXFqZEg5a1RaZUVjbU4xMUZSVWRHeGhtRk03NEdZd3JadHoraUJmb2lJaUtnWERhcmtxSzhXZ0ROTjg4VEl5eGY4ZnYvbE94T3IxK3Y5dm9nY0MrQ3RlUHN0eTVxMmJkdTJWNnVxcXRvVk1lZ0xqdU9jMjlqWStJOTQrOXh1OTBQNHZ3cHpuWm84ZWZJb0FCNVYzV2piOWlhZ2VaZ2lnTVVpa3FxcU4wYitIOEcyN2JrK24rOUFBRC9PenM1K2ZzU0lFUStJeUtNQVVsUjFXbGxaMmJzOTh1YUlFbVNhcGdmQU9UM1FWUmdBa3lNaUlxSUJibEFsUitpREJlQ0tpNHRUSE1lWkZwbEQ4MXJiL1ltS3pLdHBON2NHQUx4ZTczUVJlU0lySzJ0MWNYSHgxSktTa2svaXRlc05xdnFTNHppMWp1TzgxZEZZYTUvUDl4ZkhjWmFacHJtaHEvNVNVMU5QQmVBU2taZWkyOUxTMHY0QW9GQlZQOXEyYmR2YzJOTnYzcng1K3FoUm81NFJrWk5NMC95aHFtNFhrYW0yYlMvYjVUZEhROFZsbG1WZEVIbmQ3bmVjaUF5ekxLc3U1bWMzdWhnK3A2b0xHaG9hYm15N1BXYWRvM2NhR2hxT2pYZHNXbHJhbDVGekVCRVIwUUEzYUpLanZsb0F6bkdjSzBSa0gxWGRXRmRYRi9mSnlxNHlUZk1WVlYwbElnZXI2aXJMc241azIvWTd2WEd1dGtwTFN6OUU4M0RFRHZuOS9oVm9McURRSlJHSlBtSDZHd0JZbGpVRHdEVUE2bFgxek1pOGppZ2pPenY3eDZycWljNXBpbnlwL0VsQlFjRkhpWlJoSlFKUURxRFZuS00yKzVzQXhKYmRQaU9CUHB2aTNTeElaSjJqUk1yVEV4RVIwY0F3YUpLanZsZ0F6dXYxSGlBaU53S0FpTnpjNW90OVQ3NlgycHljbktQR2poMzdwSWljSWlLdmViM2Uwd09Cd0l1OWNUNFJlVFc2THRNdTJqZjJCNS9QTndYQXNRQnEvWDcvY3AvUGQ2YXFQaUFpb3FvWFI2b3FvYmk0K0R1cStsTlZ2U1NTZURhcTZ1MGk4cmFxTGhDUjgxd3Uxem1XWmIyaXFrK1pwdmxDU1VsSmg0dC8wdEJVWFYzZG1KMmRmUWFBajIzYkxnV2FGOEFjTldyVWFOTTBML2I1ZlBNQW5LK3ExMFFtdkFNQWZEN2Z2eENuSUVNRVMvWVRFUkVOSVlNbU9ZcWpSeGVBODNxOXVTTHlDb0FzVlYxdTIvWTl2Umw4VFUxTmZVMU56VFNmei9ja2dETkU1RG5Mc2c2TWZ1bnJTU0x5dlo3dU0rSW1vSG1ORGdBaHgzRU9NZ3pEVU5WWmhtRzg1UFY2NTRySVVZN2pGRXV6SmxWZEZBcUZibzMrdi9KNFBLK2twYVdkRCtBYUVUbGVSSTUzSE1leExHdTFxdDRXQ0FTVzlGTHNsR1M4WHUvd21QTDdMZVh6UTZGUXlEVE5mZEg4NURpam9hSEJpZDBmREFZL0Jwcm54N1ZkRjBsVlIwV2VEQTNyb0NSL2RFSE1sSGo3STIyWVlGR3ZLU29xT2xaRXZnTmdlU0FRWUhYRkJPWGw1YVgxMWcxT0lrcHVnelk1Nm9VRjRMWllsdlZmQUx1cjZobUlNeCtwRjRUOWZ2OTB5N0pNQUYvMVJtSUVBSTJOamVQcjZ1cSszZFYrc3JPelM2S1Y2U0xtQXRpam9hRmhJUUFFQW9HckxjdDYwYmJ0NVFEZzgvbStDK0I3cXZxaHFqN2UxTlQwU050MUtTSWxYKzhEOEVCUlVkSFJobUdjTFNJbnFtcG1PQngrQ1RRa2lZamI0L0ZrUnRjVGkyeDdxTE9TL0JIdmRGUmFYMVhmQk5DcWZMMklqSXY4ZWJuYjdlNncrSXFJSE9oMnV6dWJnOWNUVDJhSjJqRk44d29BSjBVK2w1Z2NkY0d5ckwwQi9GVkV0Z0w0RWZybXM1eUlrZ2p2YUhaRFFVRkJkbXBxcXRrUFE3cGNhUDV5MWRPL3hFMDAveHNJOVhDL0xRb0tDckxMeTh1M2RMUXZKU1ZsdE4vdnIrcG10OGFrU1pPeTE2eFo4M1VQaEVoSnhPZnpuUTFnY2R2dHFucUdpT1FBT0xqTnJqdzBQekdLYlZzdEl1MHFINnBxcFczYmY0amRabG5XbXlKeXVLcitXMFErYjN0TWdpNENZUGo5L2tGN000cjZqOC9uZXg2UjVNaTI3WjFhV3FLM1daYjFvb2g4dDZmN0RRYURudTZ1bVpTWGw1YzJmUGp3RHdEa3Erb3ZiZHVlMzlOeEVWRnlZM0pFUkVram1oeXA2cXNBV29iSk9vNXpmMmxwcWQybTdaa0FIbFRWYjBXa0dzQmhBRjRHY0xTcVhtN2JkbXhSaG5hS2k0dEhxR290QUZkalkrTjNkdVlKZENTTzYxWFYxVGJ4SXVxSTErdGRFQmtxMTZYSWVubmpBYXhTMVM4U1BHYWUzKzlmdFNzeGRvZGxXUlVpTWxsVjQ4NzMzUW5wSW1KczNydzV2YnE2T2hqZFdGeGNuRkpmWHorNnN3TUJ3TzEyRjZucWl5S3lSVVFPcXErdjd6UXUwelFiT3JySlIwU0REKzlrRWxFeWVxQ2p1K1NGaFlVNXBtbmVCZUEwQUxiak9GTU53N2hKUkE0TGg4TlhSRjdmNi9QNWpndUh3NWVYbHBiRy9VTHBPTTdwSXVKUzFhcWRUWXdBd08vMzM3YXp4OUxRSkNMSGlzamtiaDUyY0tMVDIxVDFxZTVIdGV0VU5TY1FDTVJkeU52ajhhUzYzZTZqd3VIdzV0TFMwdmM2NjhleXJBb0E3ZjUrUXFIUVFXNjNPOUZLcWdBd1dsV3JPaHBxR3hQM2EraWhSZEdKYU9CamNrUkVTU01ZRFA3VDdYWlBDSWZEN2ViM2VEeWU4V2xwYWI4U2tVdFVOZDF4bkR2cTZ1cXVxNnFxYW9pVzB6Wk4wL0g3L2ROOVB0K25BSzQzRE9NRXk3SVdHWVp4ZDBsSnlacVl2akpGNUdZQVVOV0ZmZlgraUFCZzA2Wk5Cd3dmUHR4TXBHMWFXdHJmUmVSNEFEOFBCb1AvVE9TWXlzcksrcTViOWJsUkFGNHlES1BkM0wrZDhJbXFMdStCbUFBQXFycTZwL29pb29HUHlSRVJKWTNJV2tLdDVxZ1ZGUlVkWmhqR3BRQ21pVWdhQUZ0Vi8xOGdFSGk3ZzI3VTcvZi9wcWlvNkUzRE1PNFRrVXRWOVZMTHN0N2Z0R25URVRVMU5RMXBhV24zbzduNFNuVmpZK1BEdmZ5MmlGcUpYVnV2SzlGbEdGUTEyTkZhVzBQUUI5RUY0WXVMaThmRXpoTXVMQ3pjeCtWeVhlQTR6bjhEZ2NBTE1kdUh1Vnl1QmFGUWFGRlpXVm03T1lsRU5IUXdPU0tpcEdZWVJnNkFuNG5JUjQ3anpBa0VBb3NCT0YwZFYxcGEra3B4Y1hHK3FsNE80RW9BUzJ0cWF1cDlQdCtkQUthcnFnUGdISDdocFA3aTlYcG5pY2orWFRRcmlQeDVrV1ZaWFEzOXVyZTNxcDRteXJLc0swVGt3TGJiVlRVNnRtMS9uOC8zZUFlSEwrek9YQ21QeDVQcU9FNmxaVmtORFEwTisxZFdWdGFacGprRnpVK043d0hRa2h5WnBubThxcDVybXVhRlBwOXZpWWo4cXFTa3BMTUtsRVEwU0RFNUlxS2tadHYyVXo2ZjcyTy8zMjhqZ2FRb1ZrbEp5UTRBZjh6TnpiMjd1cm82QkFEaGNQZ1p3ekF1RlpGTC9INy9XNzBSTTFFaVJHU3FpUHd3d2JiSGROWEdjWnhsQVBvMU9RSndPSUIySmZkalN2S1BBM0JXdkFOVjlYa0FDU2RIYnJmN0p3REdxdXFpNkUwT1ZmV0tDRlRWSDl2V3R1MS9XTTNqYng4Q2NKYmpPRWQ3dmQ1SkhjMlJJcUxCaThrUkVTVTl2OTlmMHRsKzI3WXZBSEJCUi90aksxNlZscGF1OUhxOStiWnRmOXlESVJKMVcxTlQwMWt1bHl1OXAvb3pUZk9ybnVwcloyM1pzdVhzakl5TWM5dHVOMDF6WEVwS3lpY0FWZ2FEd1JQaUhWdFpXUm1NdDcwanFucVppSVFNdzJncGltSVloaGNBd3VHdzNiYTliZHVWQUE3eitYeFhpMGlaYmR0TWpJaUdJQ1pIUkVSdEJBSUJKa2JVNzlvdWlqMFl4TjZJaU9YeGVESlRVbEtncXVHZUdNcnE5WHB6UmVRUWJWWWFMY3FpcWhraUFwZkx0Y0t5ckxockI2bzJiNDRlQTJDV2JkdWNlMGcwUkRBNUlpSWlHcUFzeTdvSFFNYXU5aU1pLy9ENy9mL3VnWkNTUnFRRWR3c1JHUXVnRU1DWHF2cGhvdjJJeUtCTFVvbW9ZMHlPaUlpSUJpZ1JtUTVneEs3Mm82cFZBQVpNY3VUMWVrOFJrZk5pTnFVQmdJamtXNWJWcWlTNTR6Z3pPMXFQTEpacG1nSUFxdW9FQW9GcXRGbWJ5TEtzT1NKU0NHQ0JiZHQvMnVVM1FVU0RFcE1qSWlLaUFXN0hqaDFqRE1Ob2FMczlacDJqcWNGZzhEOXQ5N3ZkN2lzQTNOb1hNWGJUQkJFNVJWVWJBSVFBUUZXM0EzQWprdFJFU3ZPN1hDN1h0WWwwcUtxWklnSVI2V2hZM3BtUlA1L2Z0ZENKYURCamNrUkVSRFRBQllQQjdmSG02M1MxenBIWDYyMDBES012UXR4WjU5cTIvVlM4SFpHUzNuRXIxOFVUVFk1VWRXdmJmWVdGaFFlSnlENlJkdS9IekNmcWtPTTR2dExTMG84U1BUOFJEUTVNam9pSWlBWXU2ZThBa29WaEdKa0FJQ0xiMnU0elRmUENtQitiUkNUdUl0R3FtaW9peDBUV09kdmVPNUVTMFVERzVJaUlpR2hnY3FscWxvZ2dPenQ3dDR5TWpIYkQ2bFExTGZLMEpOdmo4WXh2dTE5RXN2b20xUDZucWptUnY0dk5zZHN0eTlwYlJINEJZQWVBRlFDT2NSem50a0FnOE4rMmZWaVdOUi9BTVFBZVNHU2VFeEVOUGt5T2lJaUlCcURpNHVLeHFpb0FJQ0xWYnJlN3c3YUdZVHpkMmY0QmJJWmxXVCtJdDBOVkQ0d3VEcHNnRHdDSVNLdEtkQ0p5UFlBVUFQZUV3K0Y3RE1Nb0Y1RkhjM0p5aW1wcWF1cWo3U3pMT2dIQWxhcjZtYXBlMSsxM1FrU0RBcE1qSWlLaUFTZ1VDazB5VFJPcXVsRkVudG1aUGxUVkt5S0g5blJzUFVWRWprYWJxbks3MEpjSEFGUzFQTHJONS9NVnF1cTVJaElNaFVMenlzckthaXpMdWxGRTVvd2JOKzd2THBmcjlPcnE2cUJsV1llTHlGTUFncUU0TDdsREFBQWdBRWxFUVZSUTZNeXlzakl1QUVzMFJERTVJaUlpR29CTTB6d3g4dklGdjk5LytjNzA0ZlY2dnk4aXh3SjRLOTUreTdLbWJkdTI3ZFdxcXFwMlJRejZndU00NXpZMk52NGozajYzMi8wUS9xL0NYS2NtVDU0OENvQkhWVGZhdHIwSkFEd2VUeXFBeFNLU3FxbzNscFdWMVFDQWJkdHpmVDdmZ1FCK25KMmQvZnlJRVNNZUVKRkhBYVNvNnJTeXNySjNlK1RORVZGU1luS1U1SEp6YzkxQXg2dU9FeEZSOGlrdUxrNXhIR2RhWkE3TmExMGZFVjlrWGsyN3VUVUE0UFY2cDR2SUUxbFpXYXVMaTR1bmxwU1VmTExUQVhlVHFyN2tPRTZ0NHpodnhhdXlCd0Erbis4dmp1TXNNMDF6UTFmOXBhYW1uZ3JBSlNJdlJiZWxwYVg5QVVDaHFuNjBiZHUydWJHbjM3eDU4L1JSbzBZOUl5SW5tYWI1UTFYZExpSlRiZHRldHN0dmpvaVNHcE9qSkRkaXhJaWZHWWJocnE2dXZyZS9ZeUVpb3A3aE9NNFZJcktQcW02c3E2dUwrMlJsVjVtbStZcXFyaEtSZzFWMWxXVlpQN0p0KzUzZU9GZGJwYVdsSHdMNHNMTTJmcjkvQlpvTEtIUkpSS0pQbVA0R0FKWmx6UUJ3RFlCNlZUMnpxcW9xdHBpRmtaMmQvV05WOVVUbk5JbUlHOEJQQ2dvS1Bpb3ZMLyswZSsrR2lBWVRsZ2hOY3BabHZhaXF3d09Cd0dIOUhRc1JFZTA2cjlkN2dHRVlyd0hJQW5DNTMrLy9TMitkS3ljbkozM3MyTEZQaXNncEFPb2R4ems5RUFpODJKUG5zQ3lyUWtRbXErb0hJaEx1Z1M0TEFhUnYzcnc1dmJxNk91anorYWFnZWRoZ3JkL3YzOTNuODAxVDFTVWlZcWpxTDJ6Ylhnd0F4Y1hGMzFIVm42cnFKWkhFc3hIQUFoRjVXMVVYaU1pRVNBbnZWMVQxS2RNMFh5Z3BLYW50Z1hpSktJbnd5VkVTS3lnb0tBRGdFWkdNZ29LQ2d2THk4dkl1RHlJaW9nSEw2L1htaXNnckFMSlVkYmx0Mi9mMDV2bHFhbXJxYTJwcXB2bDh2aWNCbkNFaXoxbVdkYUJ0MjZVOWZTNFIrVjVQOXhseEV3Q282aHdBSWNkeERqSU13MURWV1laaHZPVDFldWVLeUZHTzR4UkxzeVpWWFJRS2hXNk5QaVh5ZUR5dnBLV2xuUS9nR2hFNVhrU09keHpIc1N4cnRhcmVGZ2dFbHZSUzdFUTB3REE1U21LR1lSd2lJbU5WMVRSTjgyQUFUSTZJaUpKWUlCRDQzTEtzL3dMWVhWWFBBS0I5Y05xdzMrK2ZibG1XQ2VDcjNraU1BS0N4c1hGOFhWM2R0N3ZhVDNaMmRrbTBNbDNFWEFCN05EUTBMQVNBUUNCd3RXVlpMOXEydlJ3QWZEN2Zkd0Y4VDFVL1ZOWEhtNXFhSHFtb3FOZ1kyMmRsWldVamdQc0FQRkJVVkhTMFlSaG5pOGlKcXBvWkRvZGZBaEVSRFd5NXVibHVyOWY3aUdWWmptVlpqdGZyZmNUajhXVDJkMXhFUkxSckNnb0tzb3VMaThmMHc2bGQ2SjNoOWlaNitXWnNRVUZCZG1mN2ZENWYzazUwYTB5YU5HbjBMb1JGUkVtSWM0NlNsR1ZaWTBYa2RRRDVBS0NxSmVGdytOUm9xVklpSWlJaUl1b2VvNzhEb0owVERvZjNBdEJ5SjB4RUpodUdzVE4zeG9pSWlJaUlDRXlPa3BaaEdHY0RjS3NxVkJVQTNDTHlrMzRPaXlpcGViM2VNN3hlNzFuOUhRZFJzdU8xUkVUSmlzbFJjbktKeU0vaWJEOE5RRXBmQjBNMFdCaUc4VE1ST2JlLzR5QktkcnlXaUNoWk1UbEtRcFpsblNnaTR5TlBqQUFBcWdvUjJjMnlyRlA2TVRTaXBGVlFVREJKVmIwQUNnc0tDaWIxZHp4RXlZclhFaEVsTXlaSFNVaFZPeHVxY0g2ZkJVSTBpS1NrcEh4UFJFYUxTSlpoR0wyMUhndlJvTWRyaVlpU0daT2pKT1B4ZUw0aklsYjBxWkdJUUtTNTZHRGs2WkhYNC9GOHB6OWpKRW8ySG84bkZjQWhxcHFwcW00Uk9TUW5KeWU5ditNaVNqYThsb2dvMlRFNVNqSXBLU21IaThodW5UUVo0WGE3RCttemdJZ0dBY2R4c2dBY0xDS0dOUE9PSFR1MnczVlRpQ2crWGt0RWxPeVlIQ1VYVTBRS1ZMWER4VjVWMWEycUZucDV3VDJpd1NROVBYMDNWWjBZczZrb1VpNmZpTHFCMXhJUkpUc21SMG1rdUxnNDB6Q003NG1JQWFCbE9GM3M2OGpkdWdQeTgvTzVxamRSNGs0WGtXSFIwdmdpTXN3MHpWUDdPeWlpSk1ScmlZaVNHcE9qSk9JNHpwNnFlbUJYN1ZUMVFNTXc5dW1MbUlnR2lmUGliSXRYTHArSU9zZHJpWWlTR3BPakpLS3FKNHBJWm13Sjd6aHRJQ0tacG1rZTI0ZWhFU1V0cjlmN2ZSSEpqVk1hZjIvTHNvN294OUNJa2dxdkpTSWFESmdjSlE5VFJDNEdXbGVvaTlWbSt5OEFtSDBYSGxIU09xZWpIYXA2WVY4R1FwVGtlQzBSVWRKamNwUWt2Rjd2UVNLU2wyaDdFZG5Qc3F6RGVqTW1vbVJYV0ZnNFRrU21kTFJmUkk0b0xDd2MxNWN4RVNValhrdEVORml3b2xtU0NJZkRxMFhFMjJiejkwVGtkZ0JwcW5vbGdBOWlkelkyTnE3cnN3Q0prcENJSEFaZ3Q5aDF3NERtb1VDUmJTTU53emdFd0wvNkswYWlaTUJyaVlnR0N5WkhTYUs4dkh3TGdDMngyN3hlYjdhSWhGVFZwYXFmQkFLQjBuNEtqeWdaR1laaEZJbklpSTdtOFlsSU9vQWlBTThEQ1BkbGNFUkpoTmNTRVEwYUhGWkhSRU9TeCtQSkVCRUxrYmw1OFVyam8zbXUzL2NtVFpvMHN1OGpKRW9PdkphSWFEQmhja1JFUTFKcWF1b1lWVDJrcTNhcWVraEtTc29lZlJFVFVUTGl0VVJFZ3dtSDFTVXh4M0dxQVB4T1JGeVIxMFNVSUJINW9ZaU1TYUEwL2hpWHkzVWtnUEsraTQ0b2VmQmFJcUxCaE1sUkVpc3JLNnNCOEdCL3gwR1VwQzZKdnVpb05IN001UEp6QWR6ZFo1RVJKUmRlUzBRMGFMVC9MVVpFTk1nVkZSVjkxelROdGQwNXByR3gwVk5SVWJHNnQySWlTa2E4bG9ob3NPR1RJeUlhY2h6SFNUTk44L2ZkT2NZMFRYZHZ4VU9VckhndEVkRmd3eWRIU2N6cjlZNEU0RkZWUTBRcUFvSEFOLzBkRTFHeW1qaHg0aDRaR1JsSE80NWpCb1BCbDlldVhidSt2Mk1pU2thOGxvZ29tZkhKVVhMekdJWnhMNEEweDNIT0IvRGYvZzZJS0ZtbHA2ZC9WMFRtR29iaFRrOVAvekVBZnFFajJnbThsb2dvbVRFNVNtNnBBTWFwcWp2eW1vaUlpSWlJZGhMWE9TSWlJaUlpSWdLVEl5SWlJaUlpSWdCTWpvaUlpSWlJaUFBd09TSWlJaUlpSWdMQTVJaUlpSWlJaUFnQWt5TWlJaUlpSWlJQVRJNklpSWlJaUlnQU1Ea2lJaUlpSWlJQ3dFVmdrNXFxaGdCOEM2QWg4cHFJZHBLSTFLbHFoWWlrQWFqcjczaUlraFd2SlNKS1preU9rcGlJVkRpT2M3NnFHaUpTMGQveEVDV3pMVnUyVkdSbVpwN3ZPSTdzMkxIanEvNk9oeWhaOFZvaUlpSWlJaUlpSWlJaUlpSWlJaUlpSWlJaUlpSWFGS1MvQTZDZE4zSGl4RDB5TWpLT2RoekhEQWFETDY5ZHUzWjlmOGRFbEt5OFhtOHVnTk5GeEtXcVR3VUNnZXIram9rb0dmRmFJcUpreG9JTVNTdzlQZjI3SWpMWE1BeDNlbnI2andFd09TTGFlYm1HWVZ5dHFtNEFxd0R3Q3gzUnp1RzFSRVJKaStzY0VSRVJFUkVSZ2NrUkVSRVJFUkVSQUNaSFJFUkVSRVJFQUpnY0VSRVJFUkVSQVdCeVJFUkVSRVJFQklESkVSRVJFUkVSRVFBbVIwUkVSRVJFUkFDWUhCRVJFUkVSRVFGZ2NrUkVSRVJFUkFRQWNQVjNBSjNaZlovOTkwNUxTOXVuditNWXFIWTBPWG51Rkh4a2lLVHNhSEx5Y2lkNSt6dWtBVW5WK2V5enRXWC82Kzg0Qm9JOTlzdmZLelhGdFY5L3h6RVFiVzhNNzVPUklnRVZ1T29idy92d2VvcXZvYUhoZnh2K3QvcXovbzZqdi9GYTZoaXZwY1FNaG11SjF3SHRxb0Y0SFVoL0I5Q1IzRnh2THRMMWJ3QyswOSt4REZ3S1VURUFRRVdkQWZ5L3MxK0pZbE5UVStpMG1rOCtyT3J2V1BwVGJxNDNGMjU5QklKSi9SM0xRS1NxTFZlUUFoRGg5ZFNCejFFdloxWlhCNnI3TzVEK3NtZGVZVTZLU3hieldvcVAxMUxDa3ZwYTRtY0s5WkFCZHgwTTNDZEhidVFDOGwxRFpHUjZlanBNa3lNQXFYdWNzSU1kOWZWdzFCbnBjcGw1QUlaMGNnUTNjaUdZSkpEeEdlbnBNRjFtZjBkRVNTUWNDcU0rR0lTajZtNysvWXdCODBIVzExS0FuT2kxbEo2ZURoZXZKZXFHUVhNdDhUT0Zkc0ZBdmc0R2JuSVVNVHdyQzFkZGNSa201UEdwTFhWUDlXZWZZOEhkOTJCVGJXMS9oektnWktTbjQ2b3Jac0t6LzhUK0RvV1NTT1hxdGZqenZRL2dtNjFiK3p1VUFTTWpQUjJYWDNvUnZJWDUvUjBLSlpIQmRpM3hNNFYyeGtDK0RnWjhjcFNTa29KOHovNnd2SVg5SFFvbG1lRlpXVWhMUyszdk1BWWMwMlhDcy85RUhIemc5L283RkVveUtTa3AvUjNDZ0dLNlRPdy9jUUt2SmVxMndYUXQ4VE9GZHRaQXZRNDRWbzJJaUlpSWlBaE1qb2lJaUlpSWlBQXdPU0lpSWlJaUlnTEE1SWlJaUlpSWlBZ0FreU1pSWlJaUlpSUFUSTZJaUlpSWlJZ0FNRGtpSWlJaUlpSUN3T1NJaUlpSWlJZ0lBSk1qSWlJaUlpSWlBRXlPaUlpSWlJaUlBREE1SWlJaUlpSWlBc0RraUlpSWlJaUlDQUNUSXlJaUlpSWlJZ0JNam9pSWlJaUlpQUF3T1NJaUlpSWlJZ0xBNUlpSWlJaUlpQWdBa3lNaUlpSWlJaUlBVEk2SWlJaUlpSWdBTURraUlpSWlJaUlDd09TSWlJaUlpSWdJQUpNaklpSWlJaUlpQUV5T2lJaUlpSWlJQURBNUlpSWlJaUlpQXNEa2lJaUlpSWlJQ0FDVG80UnMzYm9WNjlldlIxMWRYWS8xdVdYTGxoN3JxeU9oVUFnclZxeEFhV2xwcCswcUtpcnd3UWNmd0hHY2hQdDJIQWVoVUNpaEdJaDZXM2w1T2NyS3l2cjh2Q3RXcklCdDJ6M2FaMjF0TFZhc1dJSHE2dW9PMnpRMU5lR0REejdBNnRXcmUvVGNSRVJEa2FyaTY2Ky9Ucmo5aGcwYlVGbFoyWXNSVVg5aWNwU0FoeDkrR0ZPblRzVlRUejNWSS8xZGQ5MTFPUEhFRS9IRkYxLzBTSDlSYlJPUnVybzZ6SjQ5RzNmZGRWZW54LzN1ZDcvRHhSZGZqS2FtcG9UUFZWSlNna01QUGJUVHZrdEtTbkRVVVVmaGdRY2VTTGhmU242ZmYvNDV0bS9mM21mbnE2K3Z4M1hYWFlmenpqc1B5NVl0NjdQenZ2cnFxNWc5ZXphdXV1b3FmUGJaWnp2Vmg2cTJ1eWtSQ0FRd2UvWnN2UERDQ3gwZTkrMjMzK0xpaXkvRzdiZmZ2bFBucGVTeGJOa3luSExLS2ZqclgvL2EzNkVrcFZBb2hJOCsrcWpsNW1aRFEwTzMvdU1OdnNHdnNiRVJNMmJNd1Bubm41L1FUWERIY2ZEYjMvNFdQLy81ejd2OGZrWEp5ZFhmQVF4RisrMjNIMTU1NVJVc1hMZ1FjK2JNaWR2bWswOCt3WDMzM2RkcFAwY2NjUVJPUHZsa0FNRFNwVXZ4NktPUFlzR0NCY2pOemUzeG1OdDY5OTEzRVFxRnNQZmVlM2ZZWnRHaVJkaStmVHM4SGsrdngwTURRMmxwS1diTm1vVzh2RHdzWExnUWJyZTdYWnZUVGpzTjY5YXQ2N0t2Qng5OEVGNnZ0OHQyZDk5OU56WnMySURDd2tJY2UreXhPeFgzempqeXlDTnh3QUVINFAzMzM4ZFZWMTJGeHg5L0hPbnA2UWtmN3pnT2JyNzVabno5OWRlWU0yY09oZzBiMW92UlVyS3FxNnREVFUwTnZ2bm1tMWJiUTZFUUdoc2J1OTJmMisyR1lmemZmZEUzM25nRE45eHd3eTdIR1ZWVVZJUjc3cm1ueC9wTDFEZmZmSU12di93U0d6WnN3SVlORy9EcHA1OWl6Wm8xcUtxcVFsTlRFMzczdTkvaGlDT093QTkvK01OdTlYdlJSUmZoNG9zdjdxV29hU0JJVFUzRmhBa1RVRnBhaWpsejV1RFdXMi90dFAwVFR6d0IyN1l4ZnZ4NC9PSVh2MmpaSGd3RzQzN21VZkpoY3RRUHpqNzdiRHoxMUZQNHozLytnODJiTjJQVXFGSHQybXpac2dXdnYvNTZwLzNzc2NjZUxhOVhybHlKeno3N0RPZWVleTdtejUrUDR1TGlIbzg3MXFwVnF3QUEzLy8rOStQdVg3bHlKVmF0V29YVTFGUzgvZmJiZVB2dHR6dnM2K3FycjRiTHhYK0tnOEZ1dSswR3Q5c04yN2J4eTEvK0VuZmNjUWRTVWxKYXRRbUh3M0FjQjN2c3NVZXJMMmxSdGJXMUNBYURVTlV1ei9mU1N5L2g2YWVmQmdCVVZsWml5cFFwM1lvM0l5TURyNzc2YXJlT2lYSzVYTGp0dHR0dzVwbG5vcnE2R20rOTlSYU9PKzY0aEkvLzl0dHZVVlpXaHVycWFzeVlNUU4zMzMwM3hvMGJ0MU94ME5DelpNbVNuYnByL2JlLy9RMTVlWGt0UDRmRFlRU0RRWXdZTVFKNzdiWFhUc2ZUME5DQWp6LytHTUZnc04yK0o1OThFZ3NXTE5qcHZ1TXBLQ2pBb2tXTEFBRHZ2ZmNlTHIzMDBuWnRUTlBFM252dmpRa1RKbURreUpFdDJ6TXpNenY4N0lxcXFhbmhzS2toWk5hc1dWaTVjaVdXTFZ1R2swOCtHWWNjY2tqY2RtdldyTUU5OTl5RDFOUlV6SnMzRDluWjJRQ2FiMURmY2NjZG1EOS9QbncrWDl4amp6cnFLR3pidHExSDQ3Nzc3cnM3akpWMkhyK1I5ckw1OCtmajg4OC9iN2ZkNVhJaE56Y1hOOTEwVTd0OVU2ZE9iZmxGUG1YS0ZGeCsrZVd0OXYvclgvL0NraVZMV3YyeW56Tm5EbTY1NVJZc1hib1VNMmZPeEx4NTg1Q2ZuOSt5djdhMkZtZWZmWGJjR0RkdjNnd0FPT1dVVStMdXYvRENDekZ0MnJSV2ZhMVpzd2FUSmszQ3VISGo4T1dYWDhMbGNtSE1tREVBbW9jNS9lbFBmd0xRUEd6b3VlZWVhOWVucXJZTVY1ZzllemFUbzBGaS9QanhXTGh3SVdiTW1JRjMzbmtIMTE5L1BXNi8vWGFZcHRuU0pqcU03UEhISDhlSUVTUGE5Ukg5a09wS1JVVUZicjc1NXBhZkN3b0tNSHo0OElUaVhMVnFGUm9hR2pxOHkvZnd3dy9qL2ZmZlQ2aXYxTlJVWkdkbjQ3bm5ub3Y3YnozV0FRY2NnQmt6WmdBQXNyT3o4ZkRERCtQeXl5L0g2dFdyY2Q1NTU3VWJndnJHRzI5Zzd0eTU3ZnFKSm81cjFxekI4Y2NmSC9kY2YvN3puekZod29TRTNnTWxuOHpNVEl3ZlB6N2g5aHMzYnV6MGhzTkJCeDNVNFVpR1JGUlZWZUhNTTgrTXV5L2U4TkZkRlE2SFcxNWJsb1hERHo4YzQ4YU53NTU3N29sWFgzMFZsWldWK09jLy85bnFKbUwwNmR2dXUrL2U1WHQ5N3Jubm1Cd05JUmtaR1pnOWV6YXV2ZlphdlBQT08zRVRqdHJhV2x4NTVaVm9iR3pFcmJmZWl2MzMzNzlsbjJtYTJMcDFLNjY4OGtvODlOQkRjWC8zUm04TTlxUkViaUpTOXczNWI2UTMzWFJUbHdVTG9zVVRubnp5U2J6NDRvdWR0ajNzc01OdzFWVlh0Znk4ZXZYcURpZE5iOXUyTFc3aWRNQUJCN1FrUHBtWm1hM3U4cWtxVnF4WUFSRnA5YVhJTkUzODduZS9nK000ZVAvOTk5c05keE1SWkdWbGRmcitNak16SVNMdDlyZTk4Nzk4K1hLb2FzdndoR25UcG1IaXhJa3RkL0htenAyTG1wb2FpQWptelp1SHd3NDdyRjJmdi83MXI3RjgrWEpNblRvVmFXbHBjZU9pNUpTWGw0ZmJicnNOczJiTndodHZ2SUgzMzM4ZkJ4OThNSURtRDRldnZ2b0tBSFpwR05tYU5Xc3djK1pNTkRRMHdPdjFJaEFJSUJnTTRzNDc3MFJtWm1hSHh6VTBOT0NXVzI1QlEwTUQwdExTOE1jLy9qRnV1NnFxcW9TVG82aEUya2Z2TWthTkhEa1M5OXh6RHk2NjZDS01IRGtTbzBlUGJyWGY1WExGdlc3RDRUQnFhMnRobW1hSDEzVzhwM0tVSEJvYkcxdSs5RVNUQU1keDBORFFBS0Q1OS9scHA1MkcwMDQ3TGVFK2p6bm1tSlliWVgxdCt2VHBtRDU5ZXBmdERqMzBVQVNEUVR6MDBFT3dMQ3ZoL2xOU1VuREhIWGUwL0Z4ZVhvN0t5c3BXTjJXSTJ2cm1tMi93N3J2dnR0cjIwNS8rRkpNblQ4YkxMNzhNQVBCNnZkaHR0OTFRWDErUHE2NjZDbDk5OVJWbXpaclY3cWJVU1NlZGhDKysrQUwzMzM4L0xyLzhjanoyMkdQdGJsNjgrZWFiWGNiMDE3LytGWGZkZFJjT09PQ0FMcWRXVU84WjhzblJoZzBiRXA1TS9jMDMzN1FiOTkzV3hJa1RXLzM4MEVNUEFRQSsrK3d6ZlBqaGh6anh4QlBiSGZQRkYxOWd5WklsT1AvODgxdStISDN3d1FkeCsxKzVjaVhXclZ1SFF3ODlGTHZ2dm51cmZTS0NHMis4RVpzM2IwWnFhaW9lZlBEQmxuMmpSNC9HMy8vKzk3aDlubmJhYWZqc3M4L3d4Qk5QSkpTb1JIOXBISFhVVWUzMlBmdnNzL2ozdi8rTjNOeGNiTjY4R2RkZmZ6MGVlZVFSN0xmZmZpMXRIbmpnQVN4ZnZoejUrZm00L3ZycnV6emZVRlpRVUxDdnFtWldWRlQwZlNtMlhYRG9vWWZpcXF1dVFrNU9Ua3RpQkFCbFpXVUloVUxJeWNuWjZhZUZGUlVWdU9LS0sxQlhWNGZ6eno4Zk0yZk94UFhYWDQrWFgzNFo1NXh6RGhZc1dCQjNMdHpISDMrTTMvem1OL2prazA4d1lzUUl6SjgvdjhzdllMLys5YTl4eEJGSHhOMjNldlhxVm5jT08vUEdHMiswUEUxdGEvanc0Ymp2dnZ1UW5wNk9EUnMyNE5sbm4yM1pOMlhLbExoREJXdHJhM0hjY2NkaHdvUUplT3l4eHhLS2dRQ3YxM3VpNHpodmxwV1Y5VjNGa0oxdzVKRkh0aHVldG5qeFlpeGV2QmhBODd5aHpvWXE3NHl5c3JKZG1udlVrOVZjcWZjVUZoWk9ORTNUdEcxN3lEOFdXN2R1WGR6dklMSEZ0K2JPbllzTkd6Ymc5dHR2eDhjZmY0eDk5OTBYV1ZsWldMSmtDZXJyNjdGanh3N3MyTEdqNWJYTDVVSnRiUzFtelpxRlJZc1djUzVwa2hyeXlWSFV2SG56Y05CQkI4WGQ5L3ZmL3g2dnZmWWFycm5tR2t5ZE9qVnVtMWRlZWFYVkVKOVlvVkFJbDF4eUNiWnMyUUtQeDlPdVlNSmYvL3BYUFBQTU05aTJiUnYrOEljL2RCcm5raVZMQURUZjNZZ25IQTdqNVpkZnhrTVBQWVN0VzdkMjJ0Zk9XTGR1WFV2SjVOaGhmUUR3emp2djRQYmJiOGZ3NGNOeDExMTNZZVBHamJqc3NzdHcwVVVYWWQ2OGVmQjZ2YmpycnJ1d2VQRmk1T2JtWXY3OCtVaE5UZTN4R0FjVDB6U25HSWJ4cUdWWmxZN2ozRzJhNW12YnQyL2Z1SGJ0MnUwQWV2YjVmQTlyZTZmWWNSemNlKys5QUlERER6Kzh3K09pU1ZPOHNxcXZ2LzQ2YnJqaEJqUTBOT0RuUC84NVpzNmNDUUM0K2VhYmtaS1NndWVmZng3VHAwL0h6Smt6OFpPZi9BUXVsd3ZidG0zRGd3OCtpS2VlZWdyaGNCajUrZm00OWRaYmtaT1QwK1Y3R0RGaUJIYmJiYmQyMi8xK1A2NisrbXJzdDk5K2VPeXh4N29zeE5EVmNEOVZ4WjEzM29sLy9PTWZyWVlMVWM4eURPTUZ3ekMrOUhxOWo0VEQ0WDgwTlRWVnIxbXo1bHNBQTZvazJlR0hIOTd5bEdqOSt2WDQrT09Qc2RkZWUySGZmZmNGZ0Y1NTJ2N2xsMS9pcFpkZTZ2RitCNkttcHFaT1MrVUQ4WC8vREFhR1lSd3ZJbmRhbGhWd0hPYyt4M0ZlYld4czNKUU1ueWs5YmErOTlzSnR0OTNXYVp1Q2dnSTg5TkJEK1Bqamp3RUFuMzc2S1c2NTVaWU8yNXVtaVpTVUZGUlZWZUhhYTYvRm5YZmV5U2VZU1lqSlVVUmFXaG95TWpMaTdvc21HZVBHamV1d1RXZGY4bDB1Rnk2OTlGTGNkTk5OdU8yMjIxck5LNml0cmNYU3BVdVJucDdlYm01Ulcydlhyc1Y3NzcySDNOemNkdU5odytFd1huamhCVHp3d0FQWXNHRURSQVRISG5zc1hubmxsVTc3N0s3bzVQZDRKa3lZZ1B6OGZGeDg4Y1hJeWNsQlRrNE8vdlNuUCtIYWE2L0ZKWmRjZ3Z6OGZBUUNBZVRuNStPdXUrNXFsMXhSeDBURVk1cm1mYXE2SlNNajQxMnYxK3NYRWJ1aG9XRmxaV1hsbC8wZFgxY2N4OEV0dDl5Q2twSVN1TjF1bkhYV1dSMjJqVTRLdi9IR0cvSDQ0NCszREErNysrNjc4ZXl6ejZLaG9RR3paczFxVlNYSU5FM2NkTk5OOEhnOHVPdXV1ekIvL253OC9mVFRtREpsQ3BZdVhZcTZ1anE0M1c1Y2Nza2xPT2VjYzNiNXd5bzZFYjZvcUtoYkZlcmFxcXVydytPUFA0NG5ubmdDTzNic3dMQmh3K0R6K2JCaXhZcGRpbzg2TmQ0d2pPdEU1R3FYeTFWdVdkYmJxbHBoR01aS3Y5Ky9Ca0MvRCtLUG5RL3p6RFBQWU02Y09UanFxS053eFJWWDlObzVqemppaUYxNmtyOSsvWHI4OXJlL2pYc3pvYmM5Kyt5enJZWXNSWWV5MzNqampTMko1SlFwVTNEMDBVY0RBS3FycTF2Tm94MktSTVJybXVaOWhtRnNUa2xKZWNleUxCdEFhYko4cHZTRWtTTkh4aTJpNHpoT3EySEpwNTU2S3RhdFd3ZVB4NE05OTl3VFdWbFpHRDU4T0lZTkc0YXNyQ3k0M1c0TUd6WU1icmNiS1NrcDJMUnBFODQ2Nnl5NFhDNDBOVFV4T1VwQ1RJNFNFTDNEMUozSnIyMU5uVG9Wenp6ekRFcEtTckIwNlZMODZFYy9BZ0RjZi8vOWFHeHN4T3paczd1c1ZQWElJNDhBYUs1MkZ6czM2TzIzMzhiOCtmTmJoZ2Y2ZkQ3ODZsZS93cmh4NDFvbFIrWGw1WEdIVFh6NVpmUHZ3VFBPT0tQZG5LTmpqam1tSldtcnI2L0gwcVZMTzR4dnpKZ3hlUGpoaDF2MU1XWEtGSngrK3VsNDRva25FQWdFWUJnR3pqcnJyTGdUOGFsenFnb1J5UVp3UElCakFYenJkcnUvc2l4ckZZREZ0bTIvZ1g2NjgvZk1NOCswUE5XTU92SEVFM0hCQlJlZ3Vyb2FOOTU0SXlvcUtnQUExMTkvZmFmWDB2VHAwL0hlZSs5aDdkcTFLQzh2QjlCOGcySFlzR0ZZc0dBQi9INS9xNkY2c2FaTm13WVJ3Ui8vK0Vlc1c3ZXVKYWFVbEJSY2M4MDFPUDc0NHhQNm9Kb3paMDZIRTdaZmUrMDFWRlJVSURNekU1ZGRkbG1YZlFITmZ4ZHRoOVF1WHJ3WWl4WXR3dGF0V3lFaU9QWFVVekZ6NWt6NC9mNVd5ZEdUVHo3WmJvMjE2Tk9sdFd2WHhpMmtjdVdWVitJSFAvaEJRckVOUlpGcktSVkFjZVMvSGFxNjBiS3N0WTdqUExGOSsvYWxWVlZWUGYvb2ZRQkxTMHRyS2FyVEhWOS8vVFZxYW1wUVUxT0RHMjY0QVFjY2NFQXZSTmU1ZGV2V3RScUtIaDJTR1AzOUFhRFZVTnVSSTBlMkxJUFJrYXFxcXBhcXJJTlJkRTZiaUl3Q2NKS0lISytxV3lPZktTdlIvSm5TOVNTWkpQZjAwMCszRExtT1dyWnNHZWJObTRkcnI3MFd4eDU3TENaUG5vejc3cnNQZFhWMStQM3ZmNDlwMDZhMSt3d0tCQUw0MjkvK2hpdXV1QUs3Nzc0N0ZpMWExR0ZGVmhyNG1CeDFvYmEyRnBzMmJZSnBtcTNtelNTaTdUb1VGMXh3QVY1ODhVWDRmRDdzMkxFRFgzenhCZjcxcjM5aHI3MzJ3cW1ubm9vZE8zWUFRTnlpQ0o5Ly9qbVdMMStPTVdQRzRLU1RUbXExcjc2K0hwOTk5aG5HangrUDJiTm40NWhqamdHQUx1ZEhSU1dhOUQzMzNITmRqaXVQeGg0T2gvSGFhNi9oc2NjZXc1bzFhNUNkblkzSmt5ZGo1Y3FWdU82NjY3Qnc0VUljZDl4eE9PeXd3NUNmbjg4N0t3bUtxVXhqQU1nR2tDMGlFd0djWTFuV0Z3QWVDWVZDVHp1TzgwVkRROFAycXFxcWhyNklhL3YyN2RpNGNTT0E1cnR1alkyTkxjTlNNakl5VUZ0Ymk3UzBOTnh3d3cxeDU5M0ZHamR1SEpZc1dZSWRPM2EwWEQ4aUFoRkJhbXBxdXcrbDZLVGFWYXRXNGMwMzM4UzMzMzRMb1BrTGtNZmp3ZnZ2djQrbXBpYjg0UTkvd055NWM3SC8vdnZENC9GZ3dvUUoyR3V2dlpDVGs0TlJvMFlsOUc4d0ZBcGg0Y0tGQUpxdjU3WUZGcnBqL2ZyMTJMcDFLNHFLaXZDclgvMHE0ZmxMUVBPVHNrU0dCVko4SXRLMnlsTUdnSDFFWkIvVE5JL1B5c3JhYkZuV1AxVjFrWWg4dEduVHBycWFtcHI2ZmdxM1Q2a3F0bS9manJxNk9temR1aFZidG16QjVzMmJXLzc4NnF1djhOVlhYMkhqeG8zNDZxdXZXczJOeXMvUDc1YzVjTE5temNLc1diTUFOQzgrZnRGRkZ3Rm9mcUlVK3lRckdBemlvb3N1d3VqUm8zSDY2YWQzMnVmcTFhdFJXRmpZNjh0aTlKZm9OUkJ6SFpoby9aa3l3K3YxMW9qSW82RlE2R2tBTmVGd2VIdGxaV1gzRjljYXdONTU1eDI4OWRaYnVQenl5MXR1MnE1ZnZ4N2ZmdnR0cStHcm4zenlDYTYrK21xc1c3Y093V0N3M2VpZCsrKy9IKys5OXg3ZWZQTk4vUHpuUDhkNTU1M0h4Q2lKTVRucVF2UlJ2WWpnUC8vNVQ3Y1dtWHp0dGRmaURsTm91NjdLdW5Ycld0M2xIVEZpUkxzcVdsVlZWUUNhaC9pOS9mYmJPUExJSTF2MkhYMzAwZmpOYjM2REUwODhzZE1GeVBiWlp4OTgvL3ZmaDl2dGJ2a2dTVlF3R01Ramp6eUMxTlJVN0xmZmZuRXI4SVhEWVpTWGwrUDExMS9Ic21YTDhQWFhYeU05UFIzbm5uc3V6anZ2UEdSbVpxS2lvZ0pQUFBFRVhuLzlkU3hhdEFpTEZpMkMyKzJHWlZtNDg4NDdlNjJrZDRxcGUzdTkzcVM3bFM0aWsySmV0MnlQL1dJWGN3ZHdUd0EzdUZ5dXF3QlVwS2FtbGx1VzlRR0F0M3A3OHUwNTU1eURjODQ1QjBCek5jTmYvL3JYTGZ2R2pSdUh2L3psTDJocWFzS2VlKzdaY2hNZ0VabVptYTMrVFd6YnR0cS9KKzRBQUNBQVNVUkJWQTJmZnZvcHFxcXFVRkZSZ2ZMeWN2enZmLzlyMlorV2xvWWpqamdDSjV4d0FuN3dneC84Ly9idU95cXFNLzBEK1BmTzBNU2hXRWpVZ0lKQlJWMFZVY0dndUlrbS9veGRpc3F1eHRoWUZ6ZUpodFhJV29QdVdoTWxhaXlJSzdhRUpCcVZoZGdobHFneDBxS0NZQkFyYUl3VTZWUHU3dytjZTBCbUdDQlU4LzJjNHpsbTdwMlpGek12ZDU3M3ZzL3p3TmpZR0UrZlBzWHg0OGNSRXhPRDJOaFl4TWZISXo0K3ZzSjdXVnBhWXRXcVZmamlpeS93K1BGam5lTXBMQ3lVS2t4R1JrWkt4VW1xdzg3T0RpdFhyc1RNbVRQUnMyZFB2UDMyMjVXZVAyREFBSnc5ZXhZVEowNnNORmVyM21oRW1CaHBPbFdsUVc5anBtcytQYmVhUGczQVpBQTNiV3hzRWxxMWFuVlpGTVVmRWhNVEcvUjJRbnA2T2k1Y3VBQmZYOTlhZiswOWUvWWdPRGpZWUhsZ3VWeU9WcTFhb1dQSGpyQ3hzWkgrTklZK1hURXhNVG9mMTJnMDBHZzBtRHg1TWdBWS9EM1VvVU1INlZ5bFVsbWhhbXR0TVpHalhxOU5naUE0bHZtNzlMaXVhNHBNSnJQRnMydUtJQWlKY3JrODhkbjJ1enEvcHRTWG5qMTc0c3laTTdoKy9ib1U4Tnk3ZHc4QTBMNTllNGlpaUMrLy9CSWJOMjVFY1hFeFJvOGVqY0RBd0Fxdjg5bG5uMkhQbmowSURRM0ZqaDA3RUJrWmlYbno1dWt0NkVPTkc0T2pTcWpWYW1sYmprcWxRbUJnSUg3NTVSZk1talZMNTkyZDU3VnIxODdnclh0ZGRPVTFEUjQ4R0JzMmJNQ0NCUXN3Yjk0OHJGeTVVcnBEQkVCblNWY0xDd3VFaDRkTE9SR0ZoWVg0My8vK2g2S2lJZ3daTXFSY0h5UkR3c1BEOGVUSkUvajYrdUxCZ3djNmc2T2RPM2RLcFNkdGJHenc5Ny8vSGQ3ZTNsSnUwWkVqUjVDUmtZR1ZLMWNpT3pzYkowK2VSSFIwTkdKalk5R3hZOGM2N1hWa2JpTDNrc2xrUGVyc0RlcU96b1FXWForL01sL3N6QUc0aXFMWVR4Q0V2enpiTHBTWVg2eStXaUlhL3R6V0JaVktwYmVJU0dVQ0F3T2xGZDZJaUFnc1c3YXN3am4yOXZibzA2Y1AzTjNkMGI5Ly93b0xCQllXRnZEeThvS1hseGRLU2txUWtKQ0FhOWV1NGVyVnEwaE5UVVZHUmdiVWFqWDY5T2tETnpjM0JBVUZTVnROSzZOTjBLMHViYUo5eTVZdGRRWkcvZnYzUjNoNHVOUWNPajA5SFpjdVhVSmFXaHBjWEZ3cUxWVmVId1FCUWpNam8ya3ltV0J2K095bVFUdWZkQVJKeGdDNkF1Z3FrOGs4QWZ6YXUzZnZ0S0lTellWQ0RlcDFNbDI2ZEFrVEprekF6WnMzWVdGaEFWOWZYN3o3N3J0U0t3WkRxcktUd01QREF4Y3ZYb1NscFNXc3JhMWhaV1VscmFhdlc3Y09kbloyQ0EwTlJjdVdMYXQwRGF4dm9paVdhNTZla3BLQysvZnZ3OFhGQmNuSnlWS3dVMTJUSmszQzNMbHphMnVZNVpnWncxTW1rN25XeVl2cnBqTnh1Z3JYbFA2Q0lMZ0pnbENrdmFZVWxHZ1NpcHQ0Q1FmdEhmdWtwQ1FwT0xwejV3N2tjamxzYkd6ZzUrZUgyTmhZR0JzYjQ2T1BQc0w0OGVNUkdCaUlyS3dzTEZteVJPcWpaV3hzakduVHBtSDQ4T0ZZdm53NUxsNjhpTURBUUJ3K2ZCZzJOallOOXZOUnpUQTRxc1N1WGJ1UW5wNE9TMHRMQkFVRllkR2lSZGl4WXdmdTNMbURqei8rMkdDbHRSNDllcUJIajVwOUg5ZFZ5bnZnd0lGWXMyWU41c3laZzZDZ0lEZzVPY0hPemc1RlJVVjZHNHRwSjY0MjJYdnk1TW5ZdG0wYlRwMDZKVlUrTXNUWTJCZ0ZCUVZRS0JTWU5tMmEza290Nzd6ekRoNDllb1JCZ3diQjNkMWQycWFVa3BLQ1R6LzlGSmN2WDRhRmhRV0dEUnVHRGgwNndOdmJHOTdlM2lndUxwWWF3dFlaVVpDTG9xai90bG9qOWV6TFdiVTh5NmZRL2wyTzBvdWhsVXdtTTRHNllYTE5GUW9GQmc4ZWpKOSsrZ201dWJrWU1HQkFwUlczenAwN2g1S1Nrbkp6YlBqdzRZaUlpSUNwcVNtY25KeVFtcG9LZTN0N0tZaTRjK2VPenI1aHVzaGtNbW5MakkrUEQrN2Z2eTl0a1R0dzRJRE8rZlR2Zi84YlI0OGVoWWVIUjZVVmpqUWFEU1pNbUlETXpFeXNXYk9td3ZZTG1Vd0dVUlJSV0toN2w1Wk1KaXMzYi92MjdRdFhWMWZFeHNiaXh4OS8xSnR2OVR4VFU5TzYzSzVxM0VUblU3WE9MenVYQkVHUWlhTFlUQkFFYTBBMGhWaDMwVUZSVVJFdVg3Nk1jK2ZPU2JzWGtwT1RBUUN2dnZxcXRJUGgvdjM3djd0M2tYYnJxcll4K2ViTm15dWM4L0RoUTZ4YnR3N0d4c1lWZW5GcEtaVks1T1RrUUsxV04waFJCcUMwdVhObVppYk16YzFSVUZDQStmUG53OGpJQ051M2I5ZWJaNVNYbDRlWW1CZ29GQXE5ZVhyZHUzZXZ1MEZyWUNRSzlUZVhhdk9hQXFESmw1dDFjaXJkbkpHU2tpSTlkdmZ1WGRqWjJVR2hVS0JEaHc1NC9QZ3hWcTllamM2ZE8rUFlzV000ZnZ3NFhGeGNLclJUQVVyVEZEWnYzb3lEQnc5Q3FWUXlNR3FpR0J6cEVSTVRJMVdWOC9mM2g0ZUhCMEpDUXVEdjc0L2p4NDhqTXpNVEd6WnNxUGZDQXU3dTdwZ3laWXEwSlczcDBxV1lNR0dDZEJ1NHFuYnYzbzNkdTNkWDZWdy9QeitNR2pVS1ZsWlcwaGRSWFV4TlRjc2xOU1lsSldIUG5qM1MxcVBodzRkajd0eTVhTm15SlI0L2Zpd2wvNXFhbXRaNUk5Z0NwZXFyNWlaeTNiWFdHN2YvRXdSaHdmTVA2dHYyOG13ZmVZRW9pdGNBSkFLNG90Rm96aVFrSkZ5emQzSitIUUltMWZGNGRXclRwZzNXcmwyTHpaczNZK2ZPblJnNGNDREdqeCt2ODl5NHVEaWNQbjBhbHBhVzVYcHB5ZVh5Y3BVZWZYeDhmbmRWTnpNek0vajYrcFpMMXRhMU5mWEtsU3M0ZXZRb1RFMU5NVy9lUEwxVks0SFNQbUNabVpsNCtlV1g4ZnJycitzTVVCNCtmR2d3OTBxWGVmUG1WZm5jYmR1Mm9XL2Z2dFYrRDBORUVXS2hTclhOM0ZoZXMxdG5EVWdRaEdoZGordWFUOC9ta2xJVXhac0FFZ0JjVnF2VlB5UW1KbDYwZCt6Wkg4YVlVQmRqVEU5UGg2K3ZiN2w4VmFCMGUrVzhlZk9rYW81QTZkMVVmUXRqenhzOWVyVE91MHphSUwzc3RySDgvSHprNU9SSXZmMjBpdzVQbmp6QjZ0V3JrWjJkalp5Y0hPbWNuSndjNlhWNjkrNHQ5ZmVyYjk5ODh3MFVDZ1Y2OSs2TnMyZlBZdWJNbWRpOGVUUGVlKzg5aElXRjRlT1BQNjd3blBUMGRNVEV4T0NsbDE3U2VieXVGYW54bGJsTTFOMEVyVzU0Q1lKUW9UU3V2am53N0ZnQmdFUlJGQk1GUVlndmYwMFJwOVQ1aU91UXR2bTJkaWRBWGw0ZW5qeDVJdlhBQ3dnSWdDaUtNRGMzeDYxYnQ2VEY0Y1RFUkowTjdvSFMzUXBIang2dG54K0E2Z1NESXgwaUlpS3dZc1VLcUZRcURCczJERDQrUGdDQXpwMDdZOGVPSGZEMzkwZGlZaUttVDUrT1RaczJHU3hvRUJ3Y2pMMTc5MWJwdlhmdjNtMHdNZnZkZDkvRjd0MjdjZlRvVVN4Y3VCQnVibTVWS2haeDZkSWxLWG0yVjY5ZVZTNmxiVzl2RDF0YjJ5cnRjWC84K0RGT256Nk5xS2dvcVZKUS8vNzk4WTkvL0FOZHUzYUZScVBCZi8vN1gyemR1aFhMbHkrdlZnN1g3NkZVQzdmajQrTjFiMFp2eEp5ZG5Uczh2K1huZVdXT1o0cWl1RThVeFlPaUtONFdSVEc3c1RXN0hEZHVITUxDd3JCcjF5Nk1HaldxUWhsc1VSU3hjZU5HQUtWNVRJYTJrSm1abVZYSTRkT2FQSGt5TWpNekRSNDNwS1NrUkxvZ3Z2dnV1M2psbFZmMG5wdVhsNGYxNjljREFHYk9uS24zem8wMk44cVE0dUxpY2hXelBEdzhxcHprVzJlbDhtVUNTdFR5MUpSclRXOCt1Ymk0U0g4M3NNQ1FEU0JTclZidmxjbGt5Ym01dVZscGFXazU5VEhHMXExYm82U2tCRjI2ZE1IUW9VT1JuNStQblR0M3d0SFJzVnhnQk9nTzVQWFJkOWRNbTN1alVDZ1FHaHFLa0pBUUtKVktuZWRtWjJkTDdSd0VRWUNGaFFXc3JhM2g2T2dJYTJ0cldGdGJvMzM3OWxVZVUyMUtUVTFGVEV3TXhvd1pnNmRQbndJQVJvd1lnWnljSE96ZHV4ZEJRVUhZdG0xYmc0eXRNaVZxM0s3UHVlVHM3TnlyR3RlVUJ3QytFRVh4b0VhanVmM3JyNzltUFhqd29PcEpvMDFFeDQ0ZGNlWEtGWlNVbEVnNXJKMDZkUUlBNlJxVmxaV0Z1WFBub3FDZ0FMMTY5ZEs1YzZpZ29BRFhybDM3WGUwZHFIRmdjRlJHYm00dTFxOWZMNVdyZG5Oenc5S2xTOHVkWTI5dmo1Q1FFTXlZTVFPM2J0M0M5T25UcFR3YmZiU0pvRDE2OU5CNzV5VXBLUW1QSGoweW1BZ0xBTTJiTjRlRGd3TlNVMU9SbVpscHNEZEZjWEV4VnF4WWdhS2lJbGhaV1NFbkp3ZXRXN2V1VVBSQkt6azVHUmtaR2VXS1BnQlYyNUp5NXN3WnJGNjlHa1pHUmhnNmRDamVlZWNkS2RpN2NlTUcxcTVkaTdpNE9MUnAwK1ozVmZyNm95cHowZElBS0FDUXE5Rm9MZ21DRUJJWEYzY01qYnlKWDd0MjdUQjI3RmdjT0hBQW4zLytPUUlDQXNvZC8rS0xMNUNRa0FBSEI0ZEtleUdWcGU4dWpqYUlNSFRja0NOSGprZ3I1MGVPSElHNXVUbkdqaDFiSVhEVGFEUll0bXdaZnYzMVYzVHIxazFuaVcwdGEydHJmUHJwcDVXK2IyWm1wdlR2bzUyMzd1N3VldSs0UlVkSG8yM2J0dEkyRWRLdjdEYWhaNHBFVWN3RjhJc29pcUU1T1RuZjFGY3c5RHlGUW9IRGh3OUwxUWkvK2VhYk9uMC9iUVZTYldEVHBVc1hLZERSL3BITDVRZ09Eb2F0cmEzVW84N1MwckpSVmVQU0JqNCtQajdZdVhPbjlQajc3NzhQVVJReGVmSms2VnBjVnRtbXk3cTJkd3VDOEVKV1V5MlRUNlI5U0MyS1lpRktyeW5ubmwxVFRqYlUrT3FUZzRNRExsKytqTnUzYjBzdFViVEJFVkE2UjJiUG5vMjdkKzhDS0YxazBkV1hjdkhpeGJoMjdackJTb2pVK0RFNGVpWWhJUUdMRnkrV2tsWkhqeDZOaFFzWDZpd1M4TW9ycjJEcjFxMllNV01HTWpNekVSZ1lpTC84NVM4RzMyUDY5T253OFBEUWVXelJva1hWNms2dS9XVnRhRXZGelpzM3NXelpNaVFsSmFGWHIxNzQ5Tk5QOGNFSEgrRFVxVk00Y2VKRXVhSU9hV2xwMkxKbEMwNmZQZzJGUWdGblorZHFCekNlbnA1bzNydzUzTnpjcEpYcmpJd003Tml4QTRjUEg1Yk8rZUNERDZCUUtKQ1ptUWtiRzVzWDh1SlQyNTZ0YUdjSmduQUp3RThhalNaT3FWVCswTlFhOXMyYU5RdW5UcDNDL3YzNzRlTGlJZ1hoVjY1Y1FYQndNT1J5T1pZc1dWSm4xYUdxeTl2YkcrM2J0OGZ1M2J0eDRjSUZyRisvSGx1M2JzV1lNV1BnNitzTFcxdGJhRFFhckZ5NUV0SFIwYkN3c01DcVZhdCsxeGZINzcvL0hzdVhMMGRXVmhiR2p4K1BxVk9ud3NmSEJ4czNib1M3dTN1NU10N256NS9IbGkxYnBOTEQybjVvcE4renVWUUM0R2NBUDRpaUdDc0l3bzl4Y1hGSmFBUk5ZT3V6VEx1MmoxL2J0bTN4NXB0dlNvMVN5M3I0OENHQ2c0TmhZbUlDZTN2ZGRUaEVVY1RUcDArbGJYWjJkbmIxMXVqN3dvVUxpSTZPaG91TFM0V2RGM0s1SEI5KytDR0EwcnpCZ3djUDZueU50TFEwdUxtNVZYamN5c3FxWEpHSEYwV1poYlluQUM0S2duQlpvOUVrTnNWcnl1K2x2ZHQ1NjlZdGFUNTA3dHdaUU9rZG8vZmVldzgzYnR5QWg0Y0hVbE5URVJZV2hqLy8rYy9sY3Nxam82TVJGUldGdG0zYmxtdFFUazBUZzZObm5KeWMwS3BWSzZoVUtnUUVCRWhOV3ZYcDBLRUR0bXpaZ29DQUFDeGJ0cXhjTWw5ZHk4N094aSsvL0FJQWVrdW5GaFVWSVNRa0JIdjM3b1ZLcGNLWU1XUHcwVWNmd2RUVUZNdVdMY1BreVpPeGVQRmlXRmxab1czYnR0aTJiUnVPSGowS1VSU2hVQ2d3WXNRSXZWc3JETkYybkU1S1NzSytmZnR3L1BoeHFOVnE5T3ZYRHdFQkFlalVxVk81OHBpZW5wNFY3aUJRZVJxTjVvWWdDTnMxR2syMFRDYTdGeGNYbHdXZ2pxdFkxSTdIang5ajFhcFZXTGR1SFlEU0ttMUxseTdGM0xsenNXalJJbXpZc0FFeW1Rd2ZmdmdoVkNvVjVzK2ZqNTQ5ZTFicHRZdUtpakJnd0FDZHg0cUxpeUdLWXFYSHE1cnI1dXJxQ2xkWFYvenl5eThJQ3d2RHNXUEg4T1dYWHlJOFBCd2VIaDVRcTlVNGYvNDhtalZyaHZYcjExZTY5YTR5RHg4K3hOcTFheEVkSFEwakl5T3BPaElBeko4L0gwdVdMTUdzV2JNUUdocUtPM2Z1NFBQUFAwZGlZaUtBMGkrM2d3WU5xbERJZ3NvVFJmR1JJQWo3TlJyTkVWRVVVMVVxMWFNWHJYZExkYVNscFFGQWhTMTdlWGw1eU03T1JsWldsclNhbnBXVmhjOCsrMHdLZ0xRNVNkbloyY2pOelMyM1dCY1VGRlNoSjE5ZDBmWldNdFNVdVh2MzdoVjY5ZVhuNStQOCtmTlFLQlJ3ZDNldjhKem16WnZYM2tBYkVZMUdjMVVRaFA4Q09KV2ZuMzgvSlNVbEM0RGEwUE5lUlAzNzk4ZnExYXZSdjM5L0hEdDJEQXFGUWlxS0V4UVVoS1NrSlBUcjF3OXIxcXpCdFd2WDRPZm5oMy8rODUvWXVuVXJIQndjRUJzYml5Vkxsc0RJeUFqTGx5K3ZOQ2VWbWdZR1I4K1ltcHBpM2JwMU1EYzNyM0tYY0VkSFJ4dzRjQUJHUmtaMUdoeHQyTEFCS3BVS1ZsWldVS3ZWT0g3OE9KUktKVHc4UENyc09jL1B6OGZYWDMrTnZYdjNTc20zbnA2ZTVRb2xPRGc0WVBueTVaZy9mejQrK09BRHFOVnFxTlZxZE9yVUNUNCtQaGcrZkhpMTlzeWFtNXRMNC9qdHQ5OFFHUm1KcUtnb0tjSFIxZFVWMDZkUGw1TERiOTY4aVpVclZ5SStQaDZXbHBiY0JsUUptVXgyWHExV3V5UWtKTVExOUZocTR0aXhZMWkxYWhWeWMzT1JuNTh2ZmRFWU5HZ1EzbnZ2UFd6Y3VCRno1c3lCV3EyR1VxbkUxS2xUTVdGQzFmUGNqWXlNTUdQR0RKM0g5dS9majl6YzNFcVBWNmZuRWxCYUtTd29LQWl6WjgvR3ZuMzdFQjRlampObnprakh4NHdaVTZNS2xSa1pHUWdMQzhQaHc0ZWxSUHlQUC80WXc0WU5rODRaTVdJRWtwT1RzWC8vZm5oN2UwdGoxMjYxR3pCZ1FLUGE1dFFZYVRTYWNTVWxKU2V2WDc5ZWVUZnJQNGppNG1LcGJIR3JWcTB3Y2VKRVpHVmxJVHM3VytjV3M2eXNySEpOWGsxTVRHQmxaUVViR3h0MDZ0UUpMVnEwZ0tXbEpWcTJiRm5sYXFpMXdjUERBNWFXbGxJU3ZUNWp4NDdGMkxGanl6MlducDZPOCtmUDQ2V1hYc0xLbFN2cmNwaU5naUFJSjVSS1pjK2Z0VW5CQkFjSEJ6ZzRPQUFvdlh0a2JXMk43ZHUzSXpFeEVSOSsrQ0hhdEdtRHVYUG53c1RFQkwxNzkwWkFRQURXcmwyTG1UTm53cy9QRHhzMmJFQnhjVEdXTGwxcThETklUUU9Eb3pKcWtraGFsNzE1dE83ZHU0Zm82UEpGbHRxMGFZTTVjK1pJLzUyY25Jekl5RWhFUkVUZzZkT25rTXZsNk5hdEc2NWZ2NjV6YThNYmI3eUJGU3RXWU1tU0pWQ3IxZWpjdVRNKytlUVRhYldrT3NvbXZCY1VGQ0EwTkZTNlcrWGo0eU50YzBoUFQ4ZTJiZHR3NHNRSmlLS0lOOTU0QXdzV0xLaHlNUHBIRkJzYmU3T2h4MUJkang0OUFsRGFKRldidkQxcTFLZ0tkek1HRFJxRS9mdjM0N2ZmZmdOUU92OG1UYXBlTVQwakl5Tk1uVHBWNTdHb3FDZ1VGQlFZUEY1ZG9pZ2lOVFVWaVltSjBoZEl1VndPdFZxTkw3LzhFakV4TWZqclgvK0tzV1BIVnJxQ3FGYXJjZW5TSlVSRVJPRFVxVk5RcTlXd3NMQkF1M2J0a0o2ZXJuTkxhMEJBQU5ScU5jTER3d0dVVm9BTURBemtTbVVWeGNmSEgycm9NVFFtUC96d0ExUXFGYnAyN1lvMmJkb2dOemNYQ29VQ3RyYTJhTkdpQmF5dHJkR2lSUXZJNVhLRWhJU2dYYnQyV0xObWpaU0xwR3NSN2VlZmY4YWlSWXRnYVdscHNMaFFiUmt4WW9TMFk0RXE5NkkwYjYwTmp4NDl3cFVyVjVDYW1vclUxRlNrcEtSSURjQzFPV3d0V3JRbzE5UWNBQ1pPbklpY25CeHMzNzRkcTFldkJsQ2FiMlJveHhFMUhReU9ha2xWdHFEdDI3Y1BKMC9xem0vVWJvM1J4Y3ZMQzNaMmRpZ29LSUNKaVFtY25KeWtsYktTa2hKTW16Wk5hc29xQ0FMZWZ2dHR6Sm8xQzhuSnlSVW10U2lLdUhyMUtzNmNPWU9oUTRkaSsvYnRXTEJnQVZKU1V1RHA2WW1oUTRkaTNMaHg2TldyVjQxV29iVk5BdHUyYll2bXpadERGRVZjdm53WkJ3OGVsSUtpcmwyN3d0L2ZYK2NXQm1yYVJGSEVxVk9uQUpUZXhiU3hzY0dTSlV2Sy9iKytmZnMyd3NMQ3BETEViZHUyUlg1K1B1N2N1WU14WThaZ3lwUXA4UEx5cXZjeStZYWtwYVhoMkxGamlJcUt3b01IRHdDVWxteWROV3NXUm80Y2lVT0hEbUhQbmozSXpNekVKNTk4Z3UzYnQ4UEh4d2NUSjA2czBCdm01czJiOFBmM2x3SkRjM056K1ByNjRwMTMzc0htelp1bGZlOWF4Y1hGK1BISEgzSG16QmtzWExnUXI3NzZLdGF0VzRlb3FDajg4TU1QR0R0MkxFYVBIbDJ1SkRtUklkcGNHbmQzZHdpQ2dLaW9LSjNuNWVUa0lDUWtCQ1VsSlFZRG50VFVWTnk3ZDAvcXkzVHIxcTBLWmNuMTBSWUp1SHYzYnBVRGZudDcrM3JMYmFJWHk0OC8vbGl1NkphVmxSWGMzZDJsSHBVOWV2U29VSGludUxnWWtaR1JPSFNvL0RyTDExOS9EUnNiRzJrdWxaV2JtNHVNakl3cWplblhYMzhGVUZwaS84YU5HMVY2am5aUmpXb1BnNk1hdUhQbkRwbzFhd1lMQ3d1WW1wcWlvS0JBK2tKWTJWMlF5NWN2MStqOVhudnR0UXFOSkxWTVRFd3dhTkFnWkdSa1NIZHF0STNKcmw2OUNxQTBMeU1tSmdiZmYvODl6cDA3SnpVTmRITnpROSsrZmZIMTExOWoyN1p0K09xcnJ4QVpHWW5JeUVoWVcxdkR6YzBOM2JwMXc0QUJBNlJiemxYaDZPaUl0TFEwbkRwMUNrZU9ISkcrU0hicTFBbCtmbjdsZXRmUWk2VzR1RmhhZVh2enpUZXhjT0ZDV0ZwYVFxbFU0dXpac3poeTVJalVtOGpFeEFTVEprM0M5T25Ua1plWGg1VXJWeUltSmdhYk4yOUdhR2dvM25qakRRd1pNZ1J1Ym01NnZ5aXBWQ3E5L2JweWNuSU1IdGVucUtoSVdrMk1qNC9IcFV1WHBKOExLTTJiOHZMeXdzU0pFNlV2WnBNbVRjTDQ4ZU54Nk5BaGhJV0ZJVE16RXp0MzdzVGV2WHN4Y3VSSVRKbzBTUXBlSEIwZDRlRGdBSVZDQVI4Zkg0d2FOVXE2Q0d2dlJ2MzIyMjg0ZE9nUXpwdzVVNjRNLzhLRkMrSGw1UVUzTnplc1c3Y09aOCtleGE1ZHU3QnIxeTdZMmRuQjFkVVZUazVPR0R4NE1MODBObEY1ZVhuUzUrSG16ZEtieDJXM1VHL2N1Qkg3OXUycjFtcyt2NENuYmJzQXdHQkxCU3NyS3lnVUNqeCsvQmduVDU3VVdiUUJLSjAzRVJFUkFJQStmZm9BQU9iTW1WUHRQbnpWNlRjVUhoNE9SMGZIU3M4cEtpclMrNXI1K2FYZERoNDllb1RBd0VDOXIrSHA2WWwrL2ZwVmVWelUrRGs3TzhQYjIxc0toUFF0TG9taWlNVEVSSnc4ZVJKUlVWRlM0YTdodzRkajlPalJDQTRPUmxKU0V0NS8vMzIwYjk4ZUkwZU94SkFoUTZUaUplZk9uY1BpeFl1ck5iYXJWNjlXcWRBWEFBd2VQQmhyMTlabnE2d1hINE9qR2xpeFlnV3VYTG1pODVpdWFqZGF5NWN2aDZ1cnE4NWpxMWV2cm5GRm5HblRwbUhLbENrVmtzdTFkNVAyNzkrUC9mdjNBeWpkaHVUcTZnb1BEdzkwNmRJRlFHbnAySUNBQUV5Wk1nWGg0ZUg0N3J2dmtKR1JnV1BIanVIczJiTlY2c2NDQUQvOTlCTWlJeU54NGNJRmFmV2pXYk5tR0RObURNYU5HMWVqWEF4cVdzek16UENmLy93SFNVbEo4UGIyeHZmZmY0OFRKMDdnM0xselV1OFJNek16akIwN0ZsT25UcFVXRTh6TXpQREpKNS9ncDU5K3dxWk5tL0R6enovanUrKyt3M2ZmZlFlWlRJYmV2WHRqMDZaTkZiYm1xVlFxQkFjSFZ6cW15bzdyNnhQajcrK1BoSVNFY28rWm1KakF6YzBOUTRjT3hWdHZ2YVd6bXA2SmlRbkdqeDhQVDA5UEhENThHS0dob1hqNDhDRU9IanlJOVBSMGhJU0VTT2V1WDc5ZVo5Q25uYmRsTDZZS2hRSkRodzR0VjF6QzF0WVdHelpzUUhKeU1zTER3M0g2OUduY3ZYc1hkKy9lUmVmT25URnk1RWk5UHpjMWJqTm16RUJhV2hxTWpZMmxvTGhzYVdHNVhGN3R4dG5QQjBlYk5tMUNVVkVSbkoyZERRWVhRR2srM2I1OSsvRFJSeCtoWGJ0Mk9nc1ZQSGp3QVBuNStWQW9GTklpV0xkdTNTcmNPYTFOVmNtUFZTcVZPSDc4ZUtYbjVPWGxWWHFPcTZzcmc2TVhqSzJ0YmFVQmNWNWVIcFlzV1lMNCtQaHlpMmtEQmd5QW41OGYvdlNuUHdFb0xRZ1NGUldGa0pBUXFWRE81NTkvanRhdFcyUEhqaDFvMGFJRmV2WHFWV2MvUjNVV3I2bHFHQnpWUUpjdVhaQ1FrQ0N0OEFxQ2dKZGZmaGtUSjA3VTJUSFp5c29LYmRxMGdZMk5qZDQ3UyszYXRZT3RyVzJOcWt3WkdSbnB6SDNTNW40WUd4dGo0TUNCZU91dHR6Qmd3QUM5alRWYnQyNk4yYk5uWS9iczJVaEtTa0pzYkN6YXQyOWZvWXBSWmVPSWlJaEFxMWF0TUdyVUtMaTd1MlBnd0lITWgvaUQ2ZDY5TzdwMzd3NEFlUExraVZTaXZtUEhqaGczYmh4R2pSb0ZDd3NMbmMvdDI3Y3ZkdTNhaGNURVJIejExVmVJaVlsQllXRWhKa3lZb0hOdVZOWUUxcERLbXNEKzdXOS93L3Z2djQ4dVhicWdaOCtlY0hGeHdXdXZ2VmJsUWlWR1JrYnc4dkxDNk5HajhlMjMzeUlzTEF3TEZpd29kNDZ1ZVZGVVZDUmRoSzJzckRCa3lCQzgrZWFiNk5Pbmo5NzhSaWNuSnl4ZHVoVC8rdGUvRUI4Zmp5dFhydUR0dDk5bXhib21UTnZIVHExV3c4cktDc09HRGNQcnI3OHVIZmYzOXpkWW1lMTViNzMxbHJSckFJRDAyZmZ6ODZ2UzgyZlBuZzFqWTJPY09IRUNEeDQ4ME5tVHo4ek1ETDE3OTVaYU5RQm9GRVVPTEN3czlDNW9FdW1qVUNnZ2s4bVFrNU9EbGkxYll0aXdZZkR5OHFwUXpsNHVsMlBVcUZFWU1XSUV6cDA3aDBPSER1SGl4WXR3Y25LQ25aMGQ3T3pzOU83K0lhb1dleWZuMSsyN09tZjFHemhFakkxTEVPdEthbXFxR0JzYksrYm01dGJvK1dxMVdsU3IxYlU4cXRxUms1TWpob1NFaUZsWldmWDJudmZ2MzYrMzl6TGsydlZrY2VDUXQwVjdwMTZGOWwxNkRqUDhxWHV4bGM2cFhoazlYUWVLRnk1ZHJyZi9Ed2NPSEJCVFVsSnE5TnpDd2tJeExpNnVsa2RVTmNYRnhiWDJXdFg1SFpHWW1DaCsrKzIzdGZyK3RlSENwY3RpdjRGRFJQdXV6bG4yVHM2dkcvN0V2YmpzSFh2MjE4NmxtRFBuNnVUZlc2VlMxZW0xSlRzN1c5eTBhVk9kdlQ3cDk2TE1wWWE2cHRTbnUzZnZpbkZ4Y2RXZWk0V0ZoZlg2M2FzcGFzeno0QTkvNTZncTJ3a3EwNWhMNTFwYVd1b3RZMXhYbUJSSXovUDA5S3p4YzgzTXpPRHM3RnlMbzZtNjJyenpVcDNmRTlyOTcvVEhWdGVOc2Eyc3JEQjc5dXc2ZlEraXBzN1cxclpHVFpuTnpNejBidHVteHEveGZyTW5JaUlpSWlLcVJ3eU9pSWlJaUlpSXdPQ0lpSWlJaUlnSUFJTWpJaUlpSWlJaUFBeU9pSWlJaUlpSUFEQTRJaUlpSWlJaUFzRGdpSWlJaUlpSUNBQ0RJeUlpSWlJaUlnQU1qb2lJaUlpSWlBQXdPQ0lpSWlJaUlnTEE0SWlJaUlpSWlBZ0FneU1pSWlJaUlpSUFESTZJaUlpSWlJZ0FNRGdpSWlJaUlpSUN3T0NJaUlpSWlJZ0lBSU1qSWlJaUlpSWlBQXlPaUlpSWlJaUlBREE0SWlJaUlpSWlBc0RnaUlpSWlJaUlDQUNESXlJaUlpSWlJZ0FNam9pSWlJaUlpQUF3T0NJaUlpSWlJZ0xBNElpSWlJaUlpQWdBZ3lNaUlpSWlJaUlBREk2SWlJaUlpSWdBQUVZTlBRQkRsRW9scmw1UFFuRkpTVU1QaFpxWTlOdDNVRnpNejgzejFDbzFyaWZkYU9oaFVCTnpQZWtHbEVwbFF3K2pVVkdyMUVpNmtRcFRVOU9HSGdvMUlTL2FYT0kxaFdxaU1jK0RSaDhjNVQ1OWl2VWJ0OERJcU5FUGxSb1psVnFGM055bkRUMk1ScWV3cUFnYnQyeUhzYkZ4UXcrRm1oQ2xVb25jcDV4UFpSVVdGV0hyanAwd01UWnA2S0ZRRS9LaXpTVmVVNmdtR3ZNOGFMUVJSNG1veVRDQjhGQURJQ3NucDZHSFEwMllJQWk1S3FWNHI2SEgwZEJLUkUyR2lTQmthRVRSTERzM3Q2R0hRMDJWS0Q0c0VjV01oaDVHUTlJSTRpTVpTdWRTRGhkZ3FLYWErRnppTllWcVJTT2NCMEpERDZBU01sdW5IdDJOSUcvVjBBT2hwazNRS0xOdXBWejdHWUNtb2NmU3dHVHRIYnM3eVl5TVgycm9nVkRUcFJZMGorOG1KVjdISDNzK2NTN1I3L1lDekNYT0EvcmRYb0I1UUVSRVJFUkVSRVJFUkVSRVJFUkVSRVJFUkVSRVJFUkVSRVJFUkVSRVJFUkVSRVJFUkVSRVJFUkVSRVJFOVFGSytRQUFBTDVKUkVGV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OZmYvV1orUTA2WG5hbDhBQUFBQVNVVk9SSzVDWUlJPS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85</Pages>
  <Words>13125</Words>
  <Characters>13708</Characters>
  <Lines>526</Lines>
  <Paragraphs>148</Paragraphs>
  <TotalTime>19</TotalTime>
  <ScaleCrop>false</ScaleCrop>
  <LinksUpToDate>false</LinksUpToDate>
  <CharactersWithSpaces>13834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2023-02-22T05:08:00Z</dcterms:created>
  <dc:creator>Administrator</dc:creator>
  <cp:lastModifiedBy>碧水蓝天</cp:lastModifiedBy>
  <cp:lastPrinted>2025-10-23T09:31:39Z</cp:lastPrinted>
  <dcterms:modified xsi:type="dcterms:W3CDTF">2025-10-23T09:46:40Z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2AB71BF38B5B47E99DC82C18539D25CE_13</vt:lpwstr>
  </property>
  <property fmtid="{D5CDD505-2E9C-101B-9397-08002B2CF9AE}" pid="4" name="KSOTemplateDocerSaveRecord">
    <vt:lpwstr>eyJoZGlkIjoiMTZjYzBmYjFhNTNhOWU5YWExOGQxZWIyY2JkMzU0ZGQiLCJ1c2VySWQiOiI1OTQ0Nzk4OTIifQ==</vt:lpwstr>
  </property>
  <property fmtid="{D5CDD505-2E9C-101B-9397-08002B2CF9AE}" pid="5" name="_IPGFID">
    <vt:lpwstr>[DocID]=9CD1F02A-9F42-4C76-A2E7-6B19E35009CD</vt:lpwstr>
  </property>
</Properties>
</file>