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193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4"/>
          <w:szCs w:val="24"/>
        </w:rPr>
      </w:pPr>
    </w:p>
    <w:p w14:paraId="620FF43D">
      <w:pPr>
        <w:rPr>
          <w:rFonts w:hint="eastAsia"/>
        </w:rPr>
        <w:sectPr>
          <w:pgSz w:w="11906" w:h="16838"/>
          <w:pgMar w:top="1134" w:right="850" w:bottom="1440" w:left="850" w:header="851" w:footer="992" w:gutter="0"/>
          <w:pgBorders>
            <w:top w:val="none" w:sz="0" w:space="0"/>
            <w:left w:val="none" w:sz="0" w:space="0"/>
            <w:bottom w:val="none" w:sz="0" w:space="0"/>
            <w:right w:val="none" w:sz="0" w:space="0"/>
          </w:pgBorders>
          <w:cols w:space="425" w:num="1"/>
          <w:docGrid w:type="lines" w:linePitch="312" w:charSpace="0"/>
        </w:sectPr>
      </w:pPr>
    </w:p>
    <w:p w14:paraId="4B632287">
      <w:pPr>
        <w:pStyle w:val="2"/>
        <w:bidi w:val="0"/>
        <w:rPr>
          <w:rFonts w:hint="default"/>
          <w:lang w:val="en-US" w:eastAsia="zh-CN"/>
        </w:rPr>
      </w:pPr>
      <w:r>
        <w:rPr>
          <w:rFonts w:hint="eastAsia"/>
          <w:lang w:val="en-US" w:eastAsia="zh-CN"/>
        </w:rPr>
        <w:t>一、建设项目基本情况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2542"/>
        <w:gridCol w:w="1783"/>
        <w:gridCol w:w="3336"/>
      </w:tblGrid>
      <w:tr w14:paraId="23A1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15BF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建设项目</w:t>
            </w:r>
          </w:p>
          <w:p w14:paraId="3E5A5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名称</w:t>
            </w:r>
          </w:p>
        </w:tc>
        <w:tc>
          <w:tcPr>
            <w:tcW w:w="7339" w:type="dxa"/>
            <w:gridSpan w:val="3"/>
            <w:vAlign w:val="center"/>
          </w:tcPr>
          <w:p w14:paraId="416C9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宠遇动物医院项目</w:t>
            </w:r>
          </w:p>
        </w:tc>
      </w:tr>
      <w:tr w14:paraId="6D7E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9D83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项目代码</w:t>
            </w:r>
          </w:p>
        </w:tc>
        <w:tc>
          <w:tcPr>
            <w:tcW w:w="7339" w:type="dxa"/>
            <w:gridSpan w:val="3"/>
            <w:vAlign w:val="center"/>
          </w:tcPr>
          <w:p w14:paraId="60B33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r>
      <w:tr w14:paraId="5902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863B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建设单位</w:t>
            </w:r>
          </w:p>
          <w:p w14:paraId="30700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联系人</w:t>
            </w:r>
          </w:p>
        </w:tc>
        <w:tc>
          <w:tcPr>
            <w:tcW w:w="2595" w:type="dxa"/>
            <w:vAlign w:val="center"/>
          </w:tcPr>
          <w:p w14:paraId="65D62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eastAsia="宋体"/>
                <w:vertAlign w:val="baseline"/>
                <w:lang w:val="en-US" w:eastAsia="zh-CN"/>
              </w:rPr>
              <w:t>王俊淞</w:t>
            </w:r>
            <w:bookmarkStart w:id="0" w:name="_GoBack"/>
            <w:bookmarkEnd w:id="0"/>
          </w:p>
        </w:tc>
        <w:tc>
          <w:tcPr>
            <w:tcW w:w="1560" w:type="dxa"/>
            <w:vAlign w:val="center"/>
          </w:tcPr>
          <w:p w14:paraId="414DA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联系方式</w:t>
            </w:r>
          </w:p>
        </w:tc>
        <w:tc>
          <w:tcPr>
            <w:tcW w:w="3184" w:type="dxa"/>
            <w:vAlign w:val="center"/>
          </w:tcPr>
          <w:p w14:paraId="3EEF3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rPr>
            </w:pPr>
            <w:r>
              <w:rPr>
                <w:rFonts w:hint="eastAsia"/>
                <w:vertAlign w:val="baseline"/>
              </w:rPr>
              <w:t>13691284064</w:t>
            </w:r>
          </w:p>
        </w:tc>
      </w:tr>
      <w:tr w14:paraId="371A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1C9E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建设地点</w:t>
            </w:r>
          </w:p>
        </w:tc>
        <w:tc>
          <w:tcPr>
            <w:tcW w:w="7339" w:type="dxa"/>
            <w:gridSpan w:val="3"/>
            <w:vAlign w:val="center"/>
          </w:tcPr>
          <w:p w14:paraId="031F7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rPr>
            </w:pPr>
            <w:r>
              <w:rPr>
                <w:rFonts w:hint="eastAsia"/>
                <w:vertAlign w:val="baseline"/>
              </w:rPr>
              <w:t>北京市丰台区怡海路2号5幢一层2-2室</w:t>
            </w:r>
          </w:p>
        </w:tc>
      </w:tr>
      <w:tr w14:paraId="21E7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344A5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地理坐标</w:t>
            </w:r>
          </w:p>
        </w:tc>
        <w:tc>
          <w:tcPr>
            <w:tcW w:w="7339" w:type="dxa"/>
            <w:gridSpan w:val="3"/>
            <w:vAlign w:val="center"/>
          </w:tcPr>
          <w:p w14:paraId="69E9F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vertAlign w:val="baseline"/>
              </w:rPr>
            </w:pPr>
            <w:r>
              <w:rPr>
                <w:rFonts w:hint="eastAsia"/>
                <w:highlight w:val="none"/>
                <w:vertAlign w:val="baseline"/>
              </w:rPr>
              <w:t>东经</w:t>
            </w:r>
            <w:r>
              <w:rPr>
                <w:rFonts w:hint="eastAsia"/>
                <w:highlight w:val="none"/>
                <w:u w:val="single"/>
                <w:vertAlign w:val="baseline"/>
              </w:rPr>
              <w:t xml:space="preserve"> 116 </w:t>
            </w:r>
            <w:r>
              <w:rPr>
                <w:rFonts w:hint="eastAsia"/>
                <w:highlight w:val="none"/>
                <w:vertAlign w:val="baseline"/>
              </w:rPr>
              <w:t>度</w:t>
            </w:r>
            <w:r>
              <w:rPr>
                <w:rFonts w:hint="eastAsia"/>
                <w:highlight w:val="none"/>
                <w:u w:val="single"/>
                <w:vertAlign w:val="baseline"/>
              </w:rPr>
              <w:t xml:space="preserve"> </w:t>
            </w:r>
            <w:r>
              <w:rPr>
                <w:rFonts w:hint="eastAsia"/>
                <w:highlight w:val="none"/>
                <w:u w:val="single"/>
                <w:vertAlign w:val="baseline"/>
                <w:lang w:val="en-US" w:eastAsia="zh-CN"/>
              </w:rPr>
              <w:t>17</w:t>
            </w:r>
            <w:r>
              <w:rPr>
                <w:rFonts w:hint="eastAsia"/>
                <w:highlight w:val="none"/>
                <w:u w:val="single"/>
                <w:vertAlign w:val="baseline"/>
              </w:rPr>
              <w:t xml:space="preserve"> </w:t>
            </w:r>
            <w:r>
              <w:rPr>
                <w:rFonts w:hint="eastAsia"/>
                <w:highlight w:val="none"/>
                <w:vertAlign w:val="baseline"/>
              </w:rPr>
              <w:t>分</w:t>
            </w:r>
            <w:r>
              <w:rPr>
                <w:rFonts w:hint="eastAsia"/>
                <w:highlight w:val="none"/>
                <w:u w:val="single"/>
                <w:vertAlign w:val="baseline"/>
              </w:rPr>
              <w:t xml:space="preserve"> </w:t>
            </w:r>
            <w:r>
              <w:rPr>
                <w:rFonts w:hint="eastAsia"/>
                <w:highlight w:val="none"/>
                <w:u w:val="single"/>
                <w:vertAlign w:val="baseline"/>
                <w:lang w:val="en-US" w:eastAsia="zh-CN"/>
              </w:rPr>
              <w:t>41.412</w:t>
            </w:r>
            <w:r>
              <w:rPr>
                <w:rFonts w:hint="eastAsia"/>
                <w:highlight w:val="none"/>
                <w:u w:val="single"/>
                <w:vertAlign w:val="baseline"/>
              </w:rPr>
              <w:t xml:space="preserve"> </w:t>
            </w:r>
            <w:r>
              <w:rPr>
                <w:rFonts w:hint="eastAsia"/>
                <w:highlight w:val="none"/>
                <w:vertAlign w:val="baseline"/>
              </w:rPr>
              <w:t>秒，北纬</w:t>
            </w:r>
            <w:r>
              <w:rPr>
                <w:rFonts w:hint="eastAsia"/>
                <w:highlight w:val="none"/>
                <w:u w:val="single"/>
                <w:vertAlign w:val="baseline"/>
              </w:rPr>
              <w:t xml:space="preserve"> 39 </w:t>
            </w:r>
            <w:r>
              <w:rPr>
                <w:rFonts w:hint="eastAsia"/>
                <w:highlight w:val="none"/>
                <w:vertAlign w:val="baseline"/>
              </w:rPr>
              <w:t>度</w:t>
            </w:r>
            <w:r>
              <w:rPr>
                <w:rFonts w:hint="eastAsia"/>
                <w:highlight w:val="none"/>
                <w:u w:val="single"/>
                <w:vertAlign w:val="baseline"/>
              </w:rPr>
              <w:t xml:space="preserve"> </w:t>
            </w:r>
            <w:r>
              <w:rPr>
                <w:rFonts w:hint="eastAsia"/>
                <w:highlight w:val="none"/>
                <w:u w:val="single"/>
                <w:vertAlign w:val="baseline"/>
                <w:lang w:val="en-US" w:eastAsia="zh-CN"/>
              </w:rPr>
              <w:t>49</w:t>
            </w:r>
            <w:r>
              <w:rPr>
                <w:rFonts w:hint="eastAsia"/>
                <w:highlight w:val="none"/>
                <w:u w:val="single"/>
                <w:vertAlign w:val="baseline"/>
              </w:rPr>
              <w:t xml:space="preserve"> </w:t>
            </w:r>
            <w:r>
              <w:rPr>
                <w:rFonts w:hint="eastAsia"/>
                <w:highlight w:val="none"/>
                <w:vertAlign w:val="baseline"/>
              </w:rPr>
              <w:t>分</w:t>
            </w:r>
            <w:r>
              <w:rPr>
                <w:rFonts w:hint="eastAsia"/>
                <w:highlight w:val="none"/>
                <w:u w:val="single"/>
                <w:vertAlign w:val="baseline"/>
              </w:rPr>
              <w:t xml:space="preserve"> </w:t>
            </w:r>
            <w:r>
              <w:rPr>
                <w:rFonts w:hint="eastAsia"/>
                <w:highlight w:val="none"/>
                <w:u w:val="single"/>
                <w:vertAlign w:val="baseline"/>
                <w:lang w:val="en-US" w:eastAsia="zh-CN"/>
              </w:rPr>
              <w:t>55.896</w:t>
            </w:r>
            <w:r>
              <w:rPr>
                <w:rFonts w:hint="eastAsia"/>
                <w:highlight w:val="none"/>
                <w:u w:val="single"/>
                <w:vertAlign w:val="baseline"/>
              </w:rPr>
              <w:t xml:space="preserve"> </w:t>
            </w:r>
            <w:r>
              <w:rPr>
                <w:rFonts w:hint="eastAsia"/>
                <w:highlight w:val="none"/>
                <w:vertAlign w:val="baseline"/>
              </w:rPr>
              <w:t>秒</w:t>
            </w:r>
          </w:p>
        </w:tc>
      </w:tr>
      <w:tr w14:paraId="626F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57B0D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国民经济</w:t>
            </w:r>
          </w:p>
          <w:p w14:paraId="4235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行业类别</w:t>
            </w:r>
          </w:p>
        </w:tc>
        <w:tc>
          <w:tcPr>
            <w:tcW w:w="2595" w:type="dxa"/>
            <w:vAlign w:val="center"/>
          </w:tcPr>
          <w:p w14:paraId="152C6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O8222</w:t>
            </w:r>
          </w:p>
          <w:p w14:paraId="255FC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宠物医院服务</w:t>
            </w:r>
          </w:p>
        </w:tc>
        <w:tc>
          <w:tcPr>
            <w:tcW w:w="1560" w:type="dxa"/>
            <w:vAlign w:val="center"/>
          </w:tcPr>
          <w:p w14:paraId="3FE3B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建设项目行业类别</w:t>
            </w:r>
          </w:p>
        </w:tc>
        <w:tc>
          <w:tcPr>
            <w:tcW w:w="3184" w:type="dxa"/>
            <w:vAlign w:val="center"/>
          </w:tcPr>
          <w:p w14:paraId="7CC263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vertAlign w:val="baseline"/>
                <w:lang w:val="en-US" w:eastAsia="zh-CN"/>
              </w:rPr>
            </w:pPr>
            <w:r>
              <w:rPr>
                <w:rFonts w:hint="eastAsia"/>
                <w:vertAlign w:val="baseline"/>
                <w:lang w:val="en-US" w:eastAsia="zh-CN"/>
              </w:rPr>
              <w:t>五十</w:t>
            </w:r>
            <w:r>
              <w:rPr>
                <w:rFonts w:hint="eastAsia"/>
                <w:vertAlign w:val="baseline"/>
              </w:rPr>
              <w:t>、</w:t>
            </w:r>
            <w:r>
              <w:rPr>
                <w:rFonts w:hint="eastAsia"/>
                <w:vertAlign w:val="baseline"/>
                <w:lang w:val="en-US" w:eastAsia="zh-CN"/>
              </w:rPr>
              <w:t>社会事业与服务业</w:t>
            </w:r>
            <w:r>
              <w:rPr>
                <w:rFonts w:hint="eastAsia"/>
                <w:vertAlign w:val="baseline"/>
              </w:rPr>
              <w:t>：</w:t>
            </w:r>
            <w:r>
              <w:rPr>
                <w:rFonts w:hint="eastAsia"/>
                <w:vertAlign w:val="baseline"/>
                <w:lang w:val="en-US" w:eastAsia="zh-CN"/>
              </w:rPr>
              <w:t>123动物医院：设有动物颅腔、胸腔或腹腔手术设施的</w:t>
            </w:r>
          </w:p>
        </w:tc>
      </w:tr>
      <w:tr w14:paraId="0533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6FBA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建设性质</w:t>
            </w:r>
          </w:p>
        </w:tc>
        <w:tc>
          <w:tcPr>
            <w:tcW w:w="2595" w:type="dxa"/>
            <w:vAlign w:val="center"/>
          </w:tcPr>
          <w:p w14:paraId="72F34B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FE"/>
            </w:r>
            <w:r>
              <w:rPr>
                <w:rFonts w:hint="eastAsia"/>
                <w:vertAlign w:val="baseline"/>
              </w:rPr>
              <w:t>新建（迁建）</w:t>
            </w:r>
          </w:p>
          <w:p w14:paraId="53A7D0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改建</w:t>
            </w:r>
          </w:p>
          <w:p w14:paraId="55C654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扩建</w:t>
            </w:r>
          </w:p>
          <w:p w14:paraId="0809AD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vertAlign w:val="baseline"/>
              </w:rPr>
            </w:pPr>
            <w:r>
              <w:rPr>
                <w:rFonts w:hint="eastAsia"/>
                <w:vertAlign w:val="baseline"/>
              </w:rPr>
              <w:sym w:font="Wingdings" w:char="00A8"/>
            </w:r>
            <w:r>
              <w:rPr>
                <w:rFonts w:hint="eastAsia"/>
                <w:vertAlign w:val="baseline"/>
              </w:rPr>
              <w:t>技术改造</w:t>
            </w:r>
          </w:p>
        </w:tc>
        <w:tc>
          <w:tcPr>
            <w:tcW w:w="1560" w:type="dxa"/>
            <w:vAlign w:val="center"/>
          </w:tcPr>
          <w:p w14:paraId="4E1AF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建设项目申报情形</w:t>
            </w:r>
          </w:p>
        </w:tc>
        <w:tc>
          <w:tcPr>
            <w:tcW w:w="3184" w:type="dxa"/>
            <w:vAlign w:val="center"/>
          </w:tcPr>
          <w:p w14:paraId="20ABED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FE"/>
            </w:r>
            <w:r>
              <w:rPr>
                <w:rFonts w:hint="eastAsia"/>
                <w:vertAlign w:val="baseline"/>
              </w:rPr>
              <w:t>首次申报项目</w:t>
            </w:r>
          </w:p>
          <w:p w14:paraId="52F460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不予批准后再次申报项目</w:t>
            </w:r>
          </w:p>
          <w:p w14:paraId="660892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rPr>
            </w:pPr>
            <w:r>
              <w:rPr>
                <w:rFonts w:hint="eastAsia"/>
                <w:vertAlign w:val="baseline"/>
              </w:rPr>
              <w:sym w:font="Wingdings" w:char="00A8"/>
            </w:r>
            <w:r>
              <w:rPr>
                <w:rFonts w:hint="eastAsia"/>
                <w:vertAlign w:val="baseline"/>
              </w:rPr>
              <w:t>超五年重新审核项目</w:t>
            </w:r>
          </w:p>
          <w:p w14:paraId="2020D6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vertAlign w:val="baseline"/>
              </w:rPr>
            </w:pPr>
            <w:r>
              <w:rPr>
                <w:rFonts w:hint="eastAsia"/>
                <w:vertAlign w:val="baseline"/>
              </w:rPr>
              <w:sym w:font="Wingdings" w:char="00A8"/>
            </w:r>
            <w:r>
              <w:rPr>
                <w:rFonts w:hint="eastAsia"/>
                <w:vertAlign w:val="baseline"/>
              </w:rPr>
              <w:t>重大变动重新报批项目</w:t>
            </w:r>
          </w:p>
        </w:tc>
      </w:tr>
      <w:tr w14:paraId="2757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9312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项目审批（核准/备案）部门（选填）</w:t>
            </w:r>
          </w:p>
        </w:tc>
        <w:tc>
          <w:tcPr>
            <w:tcW w:w="2595" w:type="dxa"/>
            <w:vAlign w:val="center"/>
          </w:tcPr>
          <w:p w14:paraId="751BE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c>
          <w:tcPr>
            <w:tcW w:w="1560" w:type="dxa"/>
            <w:vAlign w:val="center"/>
          </w:tcPr>
          <w:p w14:paraId="627CA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项目审批（核准/备案）文号（选填）</w:t>
            </w:r>
          </w:p>
        </w:tc>
        <w:tc>
          <w:tcPr>
            <w:tcW w:w="3184" w:type="dxa"/>
            <w:vAlign w:val="center"/>
          </w:tcPr>
          <w:p w14:paraId="48BC0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无</w:t>
            </w:r>
          </w:p>
        </w:tc>
      </w:tr>
      <w:tr w14:paraId="1A27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17E8E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总投资</w:t>
            </w:r>
          </w:p>
          <w:p w14:paraId="4A971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（万元）</w:t>
            </w:r>
          </w:p>
        </w:tc>
        <w:tc>
          <w:tcPr>
            <w:tcW w:w="2595" w:type="dxa"/>
            <w:vAlign w:val="center"/>
          </w:tcPr>
          <w:p w14:paraId="7E357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120</w:t>
            </w:r>
          </w:p>
        </w:tc>
        <w:tc>
          <w:tcPr>
            <w:tcW w:w="1560" w:type="dxa"/>
            <w:vAlign w:val="center"/>
          </w:tcPr>
          <w:p w14:paraId="7E486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环保投资（万元）</w:t>
            </w:r>
          </w:p>
        </w:tc>
        <w:tc>
          <w:tcPr>
            <w:tcW w:w="3184" w:type="dxa"/>
            <w:vAlign w:val="center"/>
          </w:tcPr>
          <w:p w14:paraId="78F06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8</w:t>
            </w:r>
          </w:p>
        </w:tc>
      </w:tr>
      <w:tr w14:paraId="1F4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49C62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环保投资</w:t>
            </w:r>
          </w:p>
          <w:p w14:paraId="090D1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占比（%）</w:t>
            </w:r>
          </w:p>
        </w:tc>
        <w:tc>
          <w:tcPr>
            <w:tcW w:w="2595" w:type="dxa"/>
            <w:vAlign w:val="center"/>
          </w:tcPr>
          <w:p w14:paraId="5C6C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6.67</w:t>
            </w:r>
          </w:p>
        </w:tc>
        <w:tc>
          <w:tcPr>
            <w:tcW w:w="1560" w:type="dxa"/>
            <w:vAlign w:val="center"/>
          </w:tcPr>
          <w:p w14:paraId="001B5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vertAlign w:val="baseline"/>
                <w:lang w:val="en-US" w:eastAsia="zh-CN"/>
              </w:rPr>
            </w:pPr>
            <w:r>
              <w:rPr>
                <w:rFonts w:hint="eastAsia"/>
                <w:vertAlign w:val="baseline"/>
                <w:lang w:val="en-US" w:eastAsia="zh-CN"/>
              </w:rPr>
              <w:t>施工工期</w:t>
            </w:r>
          </w:p>
        </w:tc>
        <w:tc>
          <w:tcPr>
            <w:tcW w:w="3184" w:type="dxa"/>
            <w:vAlign w:val="center"/>
          </w:tcPr>
          <w:p w14:paraId="01F4A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2个月</w:t>
            </w:r>
          </w:p>
        </w:tc>
      </w:tr>
      <w:tr w14:paraId="687C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7EAD6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是否开工</w:t>
            </w:r>
          </w:p>
          <w:p w14:paraId="75114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建设</w:t>
            </w:r>
          </w:p>
        </w:tc>
        <w:tc>
          <w:tcPr>
            <w:tcW w:w="2595" w:type="dxa"/>
            <w:vAlign w:val="center"/>
          </w:tcPr>
          <w:p w14:paraId="400CAC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vertAlign w:val="baseline"/>
                <w:lang w:val="en-US" w:eastAsia="zh-CN"/>
              </w:rPr>
            </w:pPr>
            <w:r>
              <w:rPr>
                <w:rFonts w:hint="eastAsia"/>
                <w:vertAlign w:val="baseline"/>
              </w:rPr>
              <w:sym w:font="Wingdings" w:char="00FE"/>
            </w:r>
            <w:r>
              <w:rPr>
                <w:rFonts w:hint="eastAsia"/>
                <w:vertAlign w:val="baseline"/>
                <w:lang w:val="en-US" w:eastAsia="zh-CN"/>
              </w:rPr>
              <w:t>否：</w:t>
            </w:r>
          </w:p>
          <w:p w14:paraId="0F8E57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vertAlign w:val="baseline"/>
                <w:lang w:val="en-US" w:eastAsia="zh-CN"/>
              </w:rPr>
            </w:pPr>
            <w:r>
              <w:rPr>
                <w:rFonts w:hint="eastAsia"/>
                <w:vertAlign w:val="baseline"/>
              </w:rPr>
              <w:sym w:font="Wingdings" w:char="00A8"/>
            </w:r>
            <w:r>
              <w:rPr>
                <w:rFonts w:hint="eastAsia"/>
                <w:vertAlign w:val="baseline"/>
                <w:lang w:val="en-US" w:eastAsia="zh-CN"/>
              </w:rPr>
              <w:t>是：</w:t>
            </w:r>
          </w:p>
        </w:tc>
        <w:tc>
          <w:tcPr>
            <w:tcW w:w="1560" w:type="dxa"/>
            <w:vAlign w:val="center"/>
          </w:tcPr>
          <w:p w14:paraId="7605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用地（用海）面积（m</w:t>
            </w:r>
            <w:r>
              <w:rPr>
                <w:rFonts w:hint="eastAsia"/>
                <w:vertAlign w:val="superscript"/>
                <w:lang w:val="en-US" w:eastAsia="zh-CN"/>
              </w:rPr>
              <w:t>2</w:t>
            </w:r>
            <w:r>
              <w:rPr>
                <w:rFonts w:hint="eastAsia"/>
                <w:vertAlign w:val="baseline"/>
                <w:lang w:val="en-US" w:eastAsia="zh-CN"/>
              </w:rPr>
              <w:t>）</w:t>
            </w:r>
          </w:p>
        </w:tc>
        <w:tc>
          <w:tcPr>
            <w:tcW w:w="3184" w:type="dxa"/>
            <w:vAlign w:val="center"/>
          </w:tcPr>
          <w:p w14:paraId="049FB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247.00</w:t>
            </w:r>
          </w:p>
        </w:tc>
      </w:tr>
      <w:tr w14:paraId="039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68F06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专项评价</w:t>
            </w:r>
          </w:p>
          <w:p w14:paraId="71653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设置情况</w:t>
            </w:r>
          </w:p>
        </w:tc>
        <w:tc>
          <w:tcPr>
            <w:tcW w:w="7339" w:type="dxa"/>
            <w:gridSpan w:val="3"/>
            <w:vAlign w:val="center"/>
          </w:tcPr>
          <w:p w14:paraId="254EE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vertAlign w:val="baseline"/>
                <w:lang w:eastAsia="zh-CN"/>
              </w:rPr>
            </w:pPr>
            <w:r>
              <w:rPr>
                <w:rFonts w:hint="eastAsia"/>
                <w:highlight w:val="none"/>
                <w:vertAlign w:val="baseline"/>
                <w:lang w:val="en-US" w:eastAsia="zh-CN"/>
              </w:rPr>
              <w:t>无</w:t>
            </w:r>
          </w:p>
        </w:tc>
      </w:tr>
      <w:tr w14:paraId="164B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E52C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规划情况</w:t>
            </w:r>
          </w:p>
        </w:tc>
        <w:tc>
          <w:tcPr>
            <w:tcW w:w="7339" w:type="dxa"/>
            <w:gridSpan w:val="3"/>
            <w:vAlign w:val="center"/>
          </w:tcPr>
          <w:p w14:paraId="0F0634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1、《</w:t>
            </w:r>
            <w:r>
              <w:rPr>
                <w:rFonts w:hint="eastAsia"/>
                <w:vertAlign w:val="baseline"/>
                <w:lang w:val="en-US" w:eastAsia="zh-CN"/>
              </w:rPr>
              <w:t>丰台分区</w:t>
            </w:r>
            <w:r>
              <w:rPr>
                <w:rFonts w:hint="eastAsia"/>
                <w:vertAlign w:val="baseline"/>
              </w:rPr>
              <w:t>规划（国土空间规划）（2017年-2035年）》；</w:t>
            </w:r>
          </w:p>
          <w:p w14:paraId="2261F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审批机关：北京市人民政府</w:t>
            </w:r>
          </w:p>
          <w:p w14:paraId="0B05B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审批文件名称：北京市人民政府关于对《丰台分区规划（国土空间规划）（2017年—2035年）》的批复（2019.11.20）</w:t>
            </w:r>
          </w:p>
          <w:p w14:paraId="4DFE1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2、《落实“三区三线”〈丰台分区规划（国土空间规划）（2017年-2035年）〉修改成果》（2023年3月25日）；</w:t>
            </w:r>
          </w:p>
          <w:p w14:paraId="2D42D2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审批机关：北京市人民政府</w:t>
            </w:r>
          </w:p>
          <w:p w14:paraId="3AE4F1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审批文件名称：《北京市人民政府关于对朝阳等13个区分区规划及亦庄新城规划修改方案的批复》（2023.3.25）</w:t>
            </w:r>
          </w:p>
        </w:tc>
      </w:tr>
      <w:tr w14:paraId="6676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55A34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规划环境影响评价情况</w:t>
            </w:r>
          </w:p>
        </w:tc>
        <w:tc>
          <w:tcPr>
            <w:tcW w:w="7339" w:type="dxa"/>
            <w:gridSpan w:val="3"/>
            <w:vAlign w:val="center"/>
          </w:tcPr>
          <w:p w14:paraId="70711E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vertAlign w:val="baseline"/>
                <w:lang w:val="en-US" w:eastAsia="zh-CN"/>
              </w:rPr>
              <w:t>无</w:t>
            </w:r>
          </w:p>
        </w:tc>
      </w:tr>
      <w:tr w14:paraId="5AD3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23E6B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规划及规划环境影响评价符合性分析</w:t>
            </w:r>
          </w:p>
        </w:tc>
        <w:tc>
          <w:tcPr>
            <w:tcW w:w="7339" w:type="dxa"/>
            <w:gridSpan w:val="3"/>
            <w:vAlign w:val="center"/>
          </w:tcPr>
          <w:p w14:paraId="54BBD8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1、与《丰台分区规划（国土空间规划）（2017年—2035年）》符合性分析</w:t>
            </w:r>
          </w:p>
          <w:p w14:paraId="6AD972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北京市人民政府关于对《丰台分区规划（国土空间规划）（2017年—2035年）》的批复（2019.11.20），第9条“首都高品质生活服务供给的重要保障区”，立足首都城市安全运行与高品质生活服务，全力做好“四个服务”保障工作，切实增强市民的满意度和幸福感。处理好服务保障全市与推动区域发展的关系，聚焦民众福祉，形成特色服务消费增长点，推动各类生活性服务业便利化、精细化发展。”</w:t>
            </w:r>
          </w:p>
          <w:p w14:paraId="79CFF7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本项目为动物医院，属于社区事业与服务业，符合丰台分区规划要求。</w:t>
            </w:r>
          </w:p>
          <w:p w14:paraId="16DB9C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2、与《落实“三区三线”〈丰台分区规划（国土空间规划）（2017年-2035年）〉修改成果》符合性分析</w:t>
            </w:r>
          </w:p>
          <w:p w14:paraId="3F908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落实的“三区三线”划定成果，第二章第四节第26条，“以生态服务功能重要性、生态环境敏感性评价为基础，划定全区生态保护红线，主要分布在河西千灵山、永定河等地区，面积不低于17.2平方公里”，修改为“以生态服务功能重要性、生态环境敏感性评价为基础，划定全区生态保护红线，主要分布在河西千灵山、永定河等地区，面积不低于22.8平方公里”。新修订了附图03两线三区规划图，本项目位于集中建设区，本项目与丰台分区规划（国土空间规划）位置关系见下图。</w:t>
            </w:r>
          </w:p>
          <w:p w14:paraId="3EB87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F153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C906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08EF2B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7A582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AEBAB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D1FD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11DE0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3E755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2753360</wp:posOffset>
                      </wp:positionH>
                      <wp:positionV relativeFrom="paragraph">
                        <wp:posOffset>1607820</wp:posOffset>
                      </wp:positionV>
                      <wp:extent cx="90170" cy="90170"/>
                      <wp:effectExtent l="6350" t="6350" r="17780" b="17780"/>
                      <wp:wrapNone/>
                      <wp:docPr id="2" name="椭圆 2"/>
                      <wp:cNvGraphicFramePr/>
                      <a:graphic xmlns:a="http://schemas.openxmlformats.org/drawingml/2006/main">
                        <a:graphicData uri="http://schemas.microsoft.com/office/word/2010/wordprocessingShape">
                          <wps:wsp>
                            <wps:cNvSpPr/>
                            <wps:spPr>
                              <a:xfrm>
                                <a:off x="4218305" y="262890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6.8pt;margin-top:126.6pt;height:7.1pt;width:7.1pt;z-index:251660288;v-text-anchor:middle;mso-width-relative:page;mso-height-relative:page;" fillcolor="#000000 [3213]" filled="t" stroked="t" coordsize="21600,21600" o:gfxdata="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2Xpav2wAAAAsBAAAPAAAAAAAAAAEAIAAAACIAAABkcnMv&#10;ZG93bnJldi54bWxQSwECFAAUAAAACACHTuJAGzBumXICAAAABQAADgAAAAAAAAABACAAAAAqAQAA&#10;ZHJzL2Uyb0RvYy54bWxQSwUGAAAAAAYABgBZAQAADgY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2105660</wp:posOffset>
                      </wp:positionH>
                      <wp:positionV relativeFrom="paragraph">
                        <wp:posOffset>829945</wp:posOffset>
                      </wp:positionV>
                      <wp:extent cx="828675" cy="332105"/>
                      <wp:effectExtent l="6350" t="6350" r="22225" b="499745"/>
                      <wp:wrapNone/>
                      <wp:docPr id="3" name="圆角矩形标注 3"/>
                      <wp:cNvGraphicFramePr/>
                      <a:graphic xmlns:a="http://schemas.openxmlformats.org/drawingml/2006/main">
                        <a:graphicData uri="http://schemas.microsoft.com/office/word/2010/wordprocessingShape">
                          <wps:wsp>
                            <wps:cNvSpPr/>
                            <wps:spPr>
                              <a:xfrm>
                                <a:off x="4304030" y="2154555"/>
                                <a:ext cx="828675" cy="332105"/>
                              </a:xfrm>
                              <a:prstGeom prst="wedgeRoundRectCallout">
                                <a:avLst>
                                  <a:gd name="adj1" fmla="val 33218"/>
                                  <a:gd name="adj2" fmla="val 188623"/>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17F91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5.8pt;margin-top:65.35pt;height:26.15pt;width:65.25pt;z-index:251661312;v-text-anchor:middle;mso-width-relative:page;mso-height-relative:page;" filled="f" stroked="t" coordsize="21600,21600" o:gfxdata="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9Lxi/Y&#10;AAAACwEAAA8AAAAAAAAAAQAgAAAAIgAAAGRycy9kb3ducmV2LnhtbFBLAQIUABQAAAAIAIdO4kBb&#10;Ag8AywIAAHQFAAAOAAAAAAAAAAEAIAAAACcBAABkcnMvZTJvRG9jLnhtbFBLBQYAAAAABgAGAFkB&#10;AABkBgAAAAA=&#10;" adj="17975,51543,14400">
                      <v:fill on="f" focussize="0,0"/>
                      <v:stroke weight="1pt" color="#000000 [3213]" miterlimit="8" joinstyle="miter"/>
                      <v:imagedata o:title=""/>
                      <o:lock v:ext="edit" aspectratio="f"/>
                      <v:textbox>
                        <w:txbxContent>
                          <w:p w14:paraId="2917F91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drawing>
                <wp:inline distT="0" distB="0" distL="114300" distR="114300">
                  <wp:extent cx="4679950" cy="3226435"/>
                  <wp:effectExtent l="0" t="0" r="635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679950" cy="3226435"/>
                          </a:xfrm>
                          <a:prstGeom prst="rect">
                            <a:avLst/>
                          </a:prstGeom>
                          <a:noFill/>
                          <a:ln>
                            <a:noFill/>
                          </a:ln>
                        </pic:spPr>
                      </pic:pic>
                    </a:graphicData>
                  </a:graphic>
                </wp:inline>
              </w:drawing>
            </w:r>
          </w:p>
          <w:p w14:paraId="4AB939D3">
            <w:pPr>
              <w:pStyle w:val="11"/>
              <w:bidi w:val="0"/>
              <w:rPr>
                <w:rFonts w:hint="default"/>
                <w:lang w:val="en-US" w:eastAsia="zh-CN"/>
              </w:rPr>
            </w:pPr>
            <w:r>
              <w:rPr>
                <w:rFonts w:hint="eastAsia"/>
                <w:lang w:val="en-US" w:eastAsia="zh-CN"/>
              </w:rPr>
              <w:t>图1-1 本项目与丰台分区规划（国土空间规划分区图）位置关系</w:t>
            </w:r>
          </w:p>
          <w:p w14:paraId="4F4AD9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2085340</wp:posOffset>
                      </wp:positionH>
                      <wp:positionV relativeFrom="paragraph">
                        <wp:posOffset>833755</wp:posOffset>
                      </wp:positionV>
                      <wp:extent cx="828675" cy="332105"/>
                      <wp:effectExtent l="6350" t="6350" r="22225" b="499745"/>
                      <wp:wrapNone/>
                      <wp:docPr id="23" name="圆角矩形标注 23"/>
                      <wp:cNvGraphicFramePr/>
                      <a:graphic xmlns:a="http://schemas.openxmlformats.org/drawingml/2006/main">
                        <a:graphicData uri="http://schemas.microsoft.com/office/word/2010/wordprocessingShape">
                          <wps:wsp>
                            <wps:cNvSpPr/>
                            <wps:spPr>
                              <a:xfrm>
                                <a:off x="0" y="0"/>
                                <a:ext cx="828675" cy="332105"/>
                              </a:xfrm>
                              <a:prstGeom prst="wedgeRoundRectCallout">
                                <a:avLst>
                                  <a:gd name="adj1" fmla="val 33218"/>
                                  <a:gd name="adj2" fmla="val 188623"/>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915971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4.2pt;margin-top:65.65pt;height:26.15pt;width:65.25pt;z-index:251669504;v-text-anchor:middle;mso-width-relative:page;mso-height-relative:page;" filled="f" stroked="t" coordsize="21600,21600" o:gfxdata="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e1m0m2QAAAAsBAAAPAAAA&#10;AAAAAAEAIAAAACIAAABkcnMvZG93bnJldi54bWxQSwECFAAUAAAACACHTuJA+Gu8Nb8CAABqBQAA&#10;DgAAAAAAAAABACAAAAAoAQAAZHJzL2Uyb0RvYy54bWxQSwUGAAAAAAYABgBZAQAAWQYAAAAA&#10;" adj="17975,51543,14400">
                      <v:fill on="f" focussize="0,0"/>
                      <v:stroke weight="1pt" color="#000000 [3213]" miterlimit="8" joinstyle="miter"/>
                      <v:imagedata o:title=""/>
                      <o:lock v:ext="edit" aspectratio="f"/>
                      <v:textbox>
                        <w:txbxContent>
                          <w:p w14:paraId="1915971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2733040</wp:posOffset>
                      </wp:positionH>
                      <wp:positionV relativeFrom="paragraph">
                        <wp:posOffset>1611630</wp:posOffset>
                      </wp:positionV>
                      <wp:extent cx="90170" cy="90170"/>
                      <wp:effectExtent l="6350" t="6350" r="17780" b="17780"/>
                      <wp:wrapNone/>
                      <wp:docPr id="15" name="椭圆 15"/>
                      <wp:cNvGraphicFramePr/>
                      <a:graphic xmlns:a="http://schemas.openxmlformats.org/drawingml/2006/main">
                        <a:graphicData uri="http://schemas.microsoft.com/office/word/2010/wordprocessingShape">
                          <wps:wsp>
                            <wps:cNvSpPr/>
                            <wps:spPr>
                              <a:xfrm>
                                <a:off x="0" y="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2pt;margin-top:126.9pt;height:7.1pt;width:7.1pt;z-index:251668480;v-text-anchor:middle;mso-width-relative:page;mso-height-relative:page;" fillcolor="#000000 [3213]" filled="t" stroked="t" coordsize="21600,21600" o:gfxdata="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cBVdXaAAAACwEAAA8AAAAAAAAAAQAgAAAAIgAAAGRycy9kb3ducmV2LnhtbFBL&#10;AQIUABQAAAAIAIdO4kCfP9CoZgIAAPYEAAAOAAAAAAAAAAEAIAAAACkBAABkcnMvZTJvRG9jLnht&#10;bFBLBQYAAAAABgAGAFkBAAABBgAAAAA=&#10;">
                      <v:fill on="t" focussize="0,0"/>
                      <v:stroke weight="1pt" color="#000000 [3213]" miterlimit="8" joinstyle="miter"/>
                      <v:imagedata o:title=""/>
                      <o:lock v:ext="edit" aspectratio="f"/>
                    </v:shape>
                  </w:pict>
                </mc:Fallback>
              </mc:AlternateContent>
            </w:r>
            <w:r>
              <w:drawing>
                <wp:inline distT="0" distB="0" distL="114300" distR="114300">
                  <wp:extent cx="4679950" cy="3225165"/>
                  <wp:effectExtent l="0" t="0" r="6350" b="133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4679950" cy="3225165"/>
                          </a:xfrm>
                          <a:prstGeom prst="rect">
                            <a:avLst/>
                          </a:prstGeom>
                          <a:noFill/>
                          <a:ln>
                            <a:noFill/>
                          </a:ln>
                        </pic:spPr>
                      </pic:pic>
                    </a:graphicData>
                  </a:graphic>
                </wp:inline>
              </w:drawing>
            </w:r>
          </w:p>
          <w:p w14:paraId="7FCE83C9">
            <w:pPr>
              <w:pStyle w:val="11"/>
              <w:bidi w:val="0"/>
              <w:rPr>
                <w:rFonts w:hint="eastAsia"/>
                <w:lang w:val="en-US" w:eastAsia="zh-CN"/>
              </w:rPr>
            </w:pPr>
            <w:r>
              <w:rPr>
                <w:rFonts w:hint="eastAsia"/>
                <w:lang w:val="en-US" w:eastAsia="zh-CN"/>
              </w:rPr>
              <w:t>图1-2 本项目与丰台分区规划（两线三区规划图）位置关系</w:t>
            </w:r>
          </w:p>
          <w:p w14:paraId="7809E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根据丰台分区规划，本项目位于城镇建设用地和集中建设区，符合丰台分区规划（国土空间规划）（2017年-2035年）〉修改成果要求。</w:t>
            </w:r>
          </w:p>
        </w:tc>
      </w:tr>
      <w:tr w14:paraId="378A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9" w:type="dxa"/>
            <w:vAlign w:val="center"/>
          </w:tcPr>
          <w:p w14:paraId="400A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vertAlign w:val="baseline"/>
                <w:lang w:val="en-US" w:eastAsia="zh-CN"/>
              </w:rPr>
            </w:pPr>
            <w:r>
              <w:rPr>
                <w:rFonts w:hint="eastAsia"/>
                <w:vertAlign w:val="baseline"/>
                <w:lang w:val="en-US" w:eastAsia="zh-CN"/>
              </w:rPr>
              <w:t>其他符合性分析</w:t>
            </w:r>
          </w:p>
        </w:tc>
        <w:tc>
          <w:tcPr>
            <w:tcW w:w="7339" w:type="dxa"/>
            <w:gridSpan w:val="3"/>
            <w:vAlign w:val="center"/>
          </w:tcPr>
          <w:p w14:paraId="318A7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1、产业政策符合性分析</w:t>
            </w:r>
          </w:p>
          <w:p w14:paraId="50A38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w:t>
            </w:r>
            <w:r>
              <w:rPr>
                <w:rFonts w:hint="eastAsia"/>
                <w:vertAlign w:val="baseline"/>
                <w:lang w:val="en-US" w:eastAsia="zh-CN"/>
              </w:rPr>
              <w:t>为动物医院</w:t>
            </w:r>
            <w:r>
              <w:rPr>
                <w:rFonts w:hint="eastAsia"/>
                <w:vertAlign w:val="baseline"/>
              </w:rPr>
              <w:t>，属于</w:t>
            </w:r>
            <w:r>
              <w:rPr>
                <w:rFonts w:hint="eastAsia"/>
                <w:vertAlign w:val="baseline"/>
                <w:lang w:val="en-US" w:eastAsia="zh-CN"/>
              </w:rPr>
              <w:t>社区事业与服务业</w:t>
            </w:r>
            <w:r>
              <w:rPr>
                <w:rFonts w:hint="eastAsia"/>
                <w:vertAlign w:val="baseline"/>
              </w:rPr>
              <w:t>，根据国民经济行业分类（GB/T4754-2017），本项目行业类别代码为“</w:t>
            </w:r>
            <w:r>
              <w:rPr>
                <w:rFonts w:hint="eastAsia"/>
                <w:vertAlign w:val="baseline"/>
                <w:lang w:val="en-US" w:eastAsia="zh-CN"/>
              </w:rPr>
              <w:t>O8222宠物医院服务</w:t>
            </w:r>
            <w:r>
              <w:rPr>
                <w:rFonts w:hint="eastAsia"/>
                <w:vertAlign w:val="baseline"/>
              </w:rPr>
              <w:t>”。</w:t>
            </w:r>
          </w:p>
          <w:p w14:paraId="638989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）与国家产业政策符合性分析</w:t>
            </w:r>
          </w:p>
          <w:p w14:paraId="558B0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本项目为动物医院，属于社区事业与服务业，</w:t>
            </w:r>
            <w:r>
              <w:rPr>
                <w:rFonts w:hint="eastAsia"/>
                <w:vertAlign w:val="baseline"/>
                <w:lang w:val="en-US" w:eastAsia="zh-CN"/>
              </w:rPr>
              <w:t>对照《产业结构调整指导目录（2024年本）》，本项目为“允许类”项目。</w:t>
            </w:r>
          </w:p>
          <w:p w14:paraId="2D4935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（2）与北京市相关产业政策性符合性分析</w:t>
            </w:r>
          </w:p>
          <w:p w14:paraId="6899D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本项目为动物医院，属于社区事业与服务业，</w:t>
            </w:r>
            <w:r>
              <w:rPr>
                <w:rFonts w:hint="eastAsia"/>
                <w:vertAlign w:val="baseline"/>
                <w:lang w:val="en-US" w:eastAsia="zh-CN"/>
              </w:rPr>
              <w:t>对照《北京市新增产业的禁止和限制目录（2022年版）》，本项目不属于北京市禁止和限制项目。</w:t>
            </w:r>
          </w:p>
          <w:p w14:paraId="7DCFC1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根据国家发展改革委、商务部关于印发《市场准入负面清单（2022版）》的通知（发改体改规[2022]397号），动物诊疗类项目属于许可准入类。本项目场所内不存在动物交易、寄养活动，不属于与市场准入相关的禁止性规定范畴之内。</w:t>
            </w:r>
          </w:p>
          <w:p w14:paraId="587927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综上所述，本项目的建设符合国家、北京市的相关产业政策。</w:t>
            </w:r>
          </w:p>
          <w:p w14:paraId="3772F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2、“三线一单”符合性分析</w:t>
            </w:r>
          </w:p>
          <w:p w14:paraId="0B5DA3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2020年12月24日中共北京市委生态文明建设委员会办公室发布了《关于北京市生态环境分区管控（“三线一单”）的实施意见》的通知，为贯彻落实《中共中央、国务院关于全面加强生态环境保护坚决打好污染防治攻坚战的意见》，推动生态环境高水平保护和经济高质量发展协同并进，持续优化营商环境，就本市“三线一单”（生态保护红线、环境质量底线、资源利用上线和生态环境准入清单）生态环境分区管控工作，提出了实施意见。现就本项目“三线一单”符合性进行分析。</w:t>
            </w:r>
          </w:p>
          <w:p w14:paraId="351245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）生态保护红线符合性分析</w:t>
            </w:r>
          </w:p>
          <w:p w14:paraId="52F82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北京市人民政府关于发布北京生态保护红线的通知》（京政发[2018]18号），北京市生态保护红线主要分布在西部、北部山区，包括以下区域：水源涵养、水土保持和生物多样性维护的生态功能重要区、水土流失生态敏感区；市级以上禁止开发区域和有必要严格保护的其他各类保护地，包括：自然保护区（核心区和缓冲区）、风景名胜区（一级区）、市级饮用水源地（一级保护区）、森林公园（核心景区）、国家级重点生态公益林（水源涵养重点地区）、重要湿地（永定河、潮白河、北运河、大清河、蓟运河等五条重要河流）、其他生物多样性重点区域。</w:t>
            </w:r>
          </w:p>
          <w:p w14:paraId="78E39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本项目位于北京市丰台区怡海路2号5幢一层2-2室，所在周边无重点生态功能区、生态敏感区、生态脆弱区、生物多样性保护优先区，本项目</w:t>
            </w:r>
            <w:r>
              <w:rPr>
                <w:rFonts w:hint="eastAsia"/>
                <w:vertAlign w:val="baseline"/>
                <w:lang w:val="en-US" w:eastAsia="zh-CN"/>
              </w:rPr>
              <w:t>的</w:t>
            </w:r>
            <w:r>
              <w:rPr>
                <w:rFonts w:hint="eastAsia"/>
                <w:vertAlign w:val="baseline"/>
              </w:rPr>
              <w:t>建设</w:t>
            </w:r>
            <w:r>
              <w:rPr>
                <w:rFonts w:hint="eastAsia"/>
                <w:vertAlign w:val="baseline"/>
                <w:lang w:val="en-US" w:eastAsia="zh-CN"/>
              </w:rPr>
              <w:t>不会突破</w:t>
            </w:r>
            <w:r>
              <w:rPr>
                <w:rFonts w:hint="eastAsia"/>
                <w:vertAlign w:val="baseline"/>
              </w:rPr>
              <w:t>生态保护红线。</w:t>
            </w:r>
            <w:r>
              <w:rPr>
                <w:rFonts w:hint="eastAsia"/>
                <w:vertAlign w:val="baseline"/>
                <w:lang w:val="en-US" w:eastAsia="zh-CN"/>
              </w:rPr>
              <w:t>本项目与北京市生态保护红线位置关系见下图。</w:t>
            </w:r>
          </w:p>
          <w:p w14:paraId="6BB6FF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vertAlign w:val="baseline"/>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2034540</wp:posOffset>
                      </wp:positionH>
                      <wp:positionV relativeFrom="paragraph">
                        <wp:posOffset>3144520</wp:posOffset>
                      </wp:positionV>
                      <wp:extent cx="90170" cy="90170"/>
                      <wp:effectExtent l="6350" t="6350" r="17780" b="17780"/>
                      <wp:wrapNone/>
                      <wp:docPr id="7" name="椭圆 7"/>
                      <wp:cNvGraphicFramePr/>
                      <a:graphic xmlns:a="http://schemas.openxmlformats.org/drawingml/2006/main">
                        <a:graphicData uri="http://schemas.microsoft.com/office/word/2010/wordprocessingShape">
                          <wps:wsp>
                            <wps:cNvSpPr/>
                            <wps:spPr>
                              <a:xfrm>
                                <a:off x="4389755" y="4242435"/>
                                <a:ext cx="90170" cy="9017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2pt;margin-top:247.6pt;height:7.1pt;width:7.1pt;z-index:251662336;v-text-anchor:middle;mso-width-relative:page;mso-height-relative:page;" fillcolor="#FF0000" filled="t" stroked="t" coordsize="21600,21600" o:gfxdata="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J1tt2AAAAAsBAAAPAAAAAAAAAAEAIAAAACIAAABkcnMv&#10;ZG93bnJldi54bWxQSwECFAAUAAAACACHTuJAlXYXI3UCAAAABQAADgAAAAAAAAABACAAAAAnAQAA&#10;ZHJzL2Uyb0RvYy54bWxQSwUGAAAAAAYABgBZAQAADgYAAAAA&#10;">
                      <v:fill on="t" focussize="0,0"/>
                      <v:stroke weight="1pt" color="#FF0000 [2404]" miterlimit="8" joinstyle="miter"/>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1766570</wp:posOffset>
                      </wp:positionH>
                      <wp:positionV relativeFrom="paragraph">
                        <wp:posOffset>2565400</wp:posOffset>
                      </wp:positionV>
                      <wp:extent cx="808990" cy="313690"/>
                      <wp:effectExtent l="6350" t="6350" r="22860" b="365760"/>
                      <wp:wrapNone/>
                      <wp:docPr id="9" name="圆角矩形标注 9"/>
                      <wp:cNvGraphicFramePr/>
                      <a:graphic xmlns:a="http://schemas.openxmlformats.org/drawingml/2006/main">
                        <a:graphicData uri="http://schemas.microsoft.com/office/word/2010/wordprocessingShape">
                          <wps:wsp>
                            <wps:cNvSpPr/>
                            <wps:spPr>
                              <a:xfrm>
                                <a:off x="3475990" y="4338320"/>
                                <a:ext cx="808990" cy="313690"/>
                              </a:xfrm>
                              <a:prstGeom prst="wedgeRoundRectCallout">
                                <a:avLst>
                                  <a:gd name="adj1" fmla="val -11381"/>
                                  <a:gd name="adj2" fmla="val 155517"/>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4CCF1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9.1pt;margin-top:202pt;height:24.7pt;width:63.7pt;z-index:251663360;v-text-anchor:middle;mso-width-relative:page;mso-height-relative:page;" filled="f" stroked="t" coordsize="21600,21600" o:gfxdata="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6vW0NcA&#10;AAALAQAADwAAAAAAAAABACAAAAAiAAAAZHJzL2Rvd25yZXYueG1sUEsBAhQAFAAAAAgAh07iQEV3&#10;7S/LAgAAdQUAAA4AAAAAAAAAAQAgAAAAJgEAAGRycy9lMm9Eb2MueG1sUEsFBgAAAAAGAAYAWQEA&#10;AGMGAAAAAA==&#10;" adj="8342,44392,14400">
                      <v:fill on="f" focussize="0,0"/>
                      <v:stroke weight="1pt" color="#FF0000 [2404]" miterlimit="8" joinstyle="miter"/>
                      <v:imagedata o:title=""/>
                      <o:lock v:ext="edit" aspectratio="f"/>
                      <v:textbox>
                        <w:txbxContent>
                          <w:p w14:paraId="6D4CCF1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21"/>
                                <w:szCs w:val="21"/>
                                <w:lang w:val="en-US" w:eastAsia="zh-CN"/>
                              </w:rPr>
                            </w:pPr>
                            <w:r>
                              <w:rPr>
                                <w:rFonts w:hint="eastAsia"/>
                                <w:b/>
                                <w:bCs/>
                                <w:color w:val="FF0000"/>
                                <w:sz w:val="21"/>
                                <w:szCs w:val="21"/>
                                <w:lang w:val="en-US" w:eastAsia="zh-CN"/>
                              </w:rPr>
                              <w:t>项目位置</w:t>
                            </w:r>
                          </w:p>
                        </w:txbxContent>
                      </v:textbox>
                    </v:shape>
                  </w:pict>
                </mc:Fallback>
              </mc:AlternateContent>
            </w:r>
            <w:r>
              <w:rPr>
                <w:rFonts w:hint="eastAsia" w:cs="Times New Roman"/>
                <w:kern w:val="0"/>
                <w:sz w:val="24"/>
                <w:highlight w:val="none"/>
                <w:lang w:val="en-US" w:eastAsia="zh-CN"/>
              </w:rPr>
              <w:drawing>
                <wp:inline distT="0" distB="0" distL="114300" distR="114300">
                  <wp:extent cx="4319905" cy="4484370"/>
                  <wp:effectExtent l="0" t="0" r="4445" b="11430"/>
                  <wp:docPr id="8" name="图片 8" descr="201807121344211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071213442119750"/>
                          <pic:cNvPicPr>
                            <a:picLocks noChangeAspect="1"/>
                          </pic:cNvPicPr>
                        </pic:nvPicPr>
                        <pic:blipFill>
                          <a:blip r:embed="rId9"/>
                          <a:stretch>
                            <a:fillRect/>
                          </a:stretch>
                        </pic:blipFill>
                        <pic:spPr>
                          <a:xfrm>
                            <a:off x="0" y="0"/>
                            <a:ext cx="4319905" cy="4484370"/>
                          </a:xfrm>
                          <a:prstGeom prst="rect">
                            <a:avLst/>
                          </a:prstGeom>
                        </pic:spPr>
                      </pic:pic>
                    </a:graphicData>
                  </a:graphic>
                </wp:inline>
              </w:drawing>
            </w:r>
          </w:p>
          <w:p w14:paraId="171398F3">
            <w:pPr>
              <w:pStyle w:val="11"/>
              <w:bidi w:val="0"/>
              <w:rPr>
                <w:rFonts w:hint="default"/>
                <w:lang w:val="en-US" w:eastAsia="zh-CN"/>
              </w:rPr>
            </w:pPr>
            <w:r>
              <w:rPr>
                <w:rFonts w:hint="eastAsia"/>
                <w:lang w:val="en-US" w:eastAsia="zh-CN"/>
              </w:rPr>
              <w:t>图1-3 本项目与北京市生态保护红线位置关系图</w:t>
            </w:r>
          </w:p>
          <w:p w14:paraId="682049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）环境质量底线符合性分析</w:t>
            </w:r>
          </w:p>
          <w:p w14:paraId="78CC62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w:t>
            </w:r>
            <w:r>
              <w:rPr>
                <w:rFonts w:hint="eastAsia"/>
                <w:vertAlign w:val="baseline"/>
                <w:lang w:val="en-US" w:eastAsia="zh-CN"/>
              </w:rPr>
              <w:t>所排废水为动物诊疗废水及生活废水。其中诊疗废水经消毒处理后与生活废水排入所在建筑化粪池预处理，然后经市政污水管网汇入</w:t>
            </w:r>
            <w:r>
              <w:rPr>
                <w:rFonts w:hint="eastAsia"/>
                <w:highlight w:val="yellow"/>
                <w:vertAlign w:val="baseline"/>
                <w:lang w:val="en-US" w:eastAsia="zh-CN"/>
              </w:rPr>
              <w:t>小红门再生水厂</w:t>
            </w:r>
            <w:r>
              <w:rPr>
                <w:rFonts w:hint="eastAsia"/>
                <w:vertAlign w:val="baseline"/>
                <w:lang w:val="en-US" w:eastAsia="zh-CN"/>
              </w:rPr>
              <w:t>，废水不直接排入地表水体，不会突破水环境质量底线。动物医院经营过程中产生的异味在采取有效的污染防治措施后，能达标排放，不会突破大气环境质量底线。项目运营期产生的生活垃圾分类收集，妥善处置；包装物等一般工业固体废物交由废品回收站再利用；诊疗及手术等环节产生的医疗废物在医疗废物暂存间暂存，定期委托有处置资质的单位回收处置，不会污染土壤和地下水环境，不会突破土壤环境底线。项目噪声经治理后，能够达标排放。</w:t>
            </w:r>
          </w:p>
          <w:p w14:paraId="2DC2A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项目区域环境质量可以保持现有水平，符合环境质量底线要求。</w:t>
            </w:r>
          </w:p>
          <w:p w14:paraId="46596F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3</w:t>
            </w:r>
            <w:r>
              <w:rPr>
                <w:rFonts w:hint="eastAsia"/>
                <w:vertAlign w:val="baseline"/>
                <w:lang w:eastAsia="zh-CN"/>
              </w:rPr>
              <w:t>）</w:t>
            </w:r>
            <w:r>
              <w:rPr>
                <w:rFonts w:hint="eastAsia"/>
                <w:vertAlign w:val="baseline"/>
                <w:lang w:val="en-US" w:eastAsia="zh-CN"/>
              </w:rPr>
              <w:t>资源利用上线符合性分析</w:t>
            </w:r>
          </w:p>
          <w:p w14:paraId="3501E3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w:t>
            </w:r>
            <w:r>
              <w:rPr>
                <w:rFonts w:hint="eastAsia"/>
                <w:vertAlign w:val="baseline"/>
                <w:lang w:val="en-US" w:eastAsia="zh-CN"/>
              </w:rPr>
              <w:t>为动物医院，属于社区事业与服务业，从事动物疫病诊疗及相关手术。本项目不属于高能耗行业，不会超出区域资源利用上线。</w:t>
            </w:r>
          </w:p>
          <w:p w14:paraId="7C737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4</w:t>
            </w:r>
            <w:r>
              <w:rPr>
                <w:rFonts w:hint="eastAsia"/>
                <w:vertAlign w:val="baseline"/>
                <w:lang w:eastAsia="zh-CN"/>
              </w:rPr>
              <w:t>）生态准入清单符合性分析</w:t>
            </w:r>
          </w:p>
          <w:p w14:paraId="70AE39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中共北京市委生态文明建设委员会办公室关于印发〈关于北京市生态环境分区管控（“三线一单”）的实施意见〉的通知》，生态环境管控分为优先保护单元、重点管控单元和一般管控单元三类区域。重点管控单元指涉及水、大气、土壤、水资源、土地资源、能源等资源环境要素重点管控的区域，主要包括具有工业排放性质的国家级、市级产业园区，以及污染物排放量较大的街道（乡镇）。对重点管控单元，以环境污染</w:t>
            </w:r>
            <w:r>
              <w:rPr>
                <w:rFonts w:hint="eastAsia"/>
                <w:vertAlign w:val="baseline"/>
                <w:lang w:eastAsia="zh-CN"/>
              </w:rPr>
              <w:t>；</w:t>
            </w:r>
            <w:r>
              <w:rPr>
                <w:rFonts w:hint="eastAsia"/>
                <w:vertAlign w:val="baseline"/>
              </w:rPr>
              <w:t>治理和风险防范为主，要优化空间布局，促进产业转型升级，加强污染排放控制和环境风险防控，不断提升资源利用效率。</w:t>
            </w:r>
          </w:p>
          <w:p w14:paraId="2B27E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本项目位于北京市丰台区怡海路2号5幢一层2-2</w:t>
            </w:r>
            <w:r>
              <w:rPr>
                <w:rFonts w:hint="eastAsia"/>
                <w:highlight w:val="none"/>
                <w:vertAlign w:val="baseline"/>
              </w:rPr>
              <w:t>室，</w:t>
            </w:r>
            <w:r>
              <w:rPr>
                <w:rFonts w:hint="eastAsia"/>
                <w:highlight w:val="none"/>
                <w:vertAlign w:val="baseline"/>
                <w:lang w:val="en-US" w:eastAsia="zh-CN"/>
              </w:rPr>
              <w:t>属于街道（乡镇）重点管控单元，管控单元编码：ZH11010620010。在</w:t>
            </w:r>
            <w:r>
              <w:rPr>
                <w:rFonts w:hint="eastAsia"/>
                <w:vertAlign w:val="baseline"/>
                <w:lang w:val="en-US" w:eastAsia="zh-CN"/>
              </w:rPr>
              <w:t>北京市生态环境管控单元图中的位置见下图。</w:t>
            </w:r>
          </w:p>
          <w:p w14:paraId="08B28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DD77F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DDDF9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6EF80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68CF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AAB6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42F138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7F8AD5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17269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6C40CF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3983FB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p>
          <w:p w14:paraId="5CCE7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r>
              <w:rPr>
                <w:sz w:val="24"/>
              </w:rPr>
              <mc:AlternateContent>
                <mc:Choice Requires="wps">
                  <w:drawing>
                    <wp:anchor distT="0" distB="0" distL="114300" distR="114300" simplePos="0" relativeHeight="251665408" behindDoc="0" locked="0" layoutInCell="1" allowOverlap="1">
                      <wp:simplePos x="0" y="0"/>
                      <wp:positionH relativeFrom="column">
                        <wp:posOffset>1573530</wp:posOffset>
                      </wp:positionH>
                      <wp:positionV relativeFrom="paragraph">
                        <wp:posOffset>3183255</wp:posOffset>
                      </wp:positionV>
                      <wp:extent cx="780415" cy="304800"/>
                      <wp:effectExtent l="6350" t="295275" r="13335" b="9525"/>
                      <wp:wrapNone/>
                      <wp:docPr id="11" name="圆角矩形标注 11"/>
                      <wp:cNvGraphicFramePr/>
                      <a:graphic xmlns:a="http://schemas.openxmlformats.org/drawingml/2006/main">
                        <a:graphicData uri="http://schemas.microsoft.com/office/word/2010/wordprocessingShape">
                          <wps:wsp>
                            <wps:cNvSpPr/>
                            <wps:spPr>
                              <a:xfrm>
                                <a:off x="3862070" y="3308350"/>
                                <a:ext cx="780415" cy="304800"/>
                              </a:xfrm>
                              <a:prstGeom prst="wedgeRoundRectCallout">
                                <a:avLst>
                                  <a:gd name="adj1" fmla="val 18185"/>
                                  <a:gd name="adj2" fmla="val -140625"/>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0F92B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9pt;margin-top:250.65pt;height:24pt;width:61.45pt;z-index:251665408;v-text-anchor:middle;mso-width-relative:page;mso-height-relative:page;" filled="f" stroked="t" coordsize="21600,21600" o:gfxdata="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4gA6V&#10;2gAAAAsBAAAPAAAAAAAAAAEAIAAAACIAAABkcnMvZG93bnJldi54bWxQSwECFAAUAAAACACHTuJA&#10;nYb1A8oCAAB3BQAADgAAAAAAAAABACAAAAApAQAAZHJzL2Uyb0RvYy54bWxQSwUGAAAAAAYABgBZ&#10;AQAAZQYAAAAA&#10;" adj="14728,-19575,14400">
                      <v:fill on="f" focussize="0,0"/>
                      <v:stroke weight="1pt" color="#000000 [3213]" miterlimit="8" joinstyle="miter"/>
                      <v:imagedata o:title=""/>
                      <o:lock v:ext="edit" aspectratio="f"/>
                      <v:textbox>
                        <w:txbxContent>
                          <w:p w14:paraId="20F92B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FF0000"/>
                                <w:sz w:val="21"/>
                                <w:szCs w:val="21"/>
                                <w:lang w:val="en-US" w:eastAsia="zh-CN"/>
                              </w:rPr>
                              <w:t>项目位置</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2068830</wp:posOffset>
                      </wp:positionH>
                      <wp:positionV relativeFrom="paragraph">
                        <wp:posOffset>2860040</wp:posOffset>
                      </wp:positionV>
                      <wp:extent cx="90170" cy="90170"/>
                      <wp:effectExtent l="6350" t="6350" r="17780" b="17780"/>
                      <wp:wrapNone/>
                      <wp:docPr id="10" name="椭圆 10"/>
                      <wp:cNvGraphicFramePr/>
                      <a:graphic xmlns:a="http://schemas.openxmlformats.org/drawingml/2006/main">
                        <a:graphicData uri="http://schemas.microsoft.com/office/word/2010/wordprocessingShape">
                          <wps:wsp>
                            <wps:cNvSpPr/>
                            <wps:spPr>
                              <a:xfrm>
                                <a:off x="3975735" y="314833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2.9pt;margin-top:225.2pt;height:7.1pt;width:7.1pt;z-index:251664384;v-text-anchor:middle;mso-width-relative:page;mso-height-relative:page;" fillcolor="#000000 [3213]" filled="t" stroked="t" coordsize="21600,21600" o:gfxdata="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G0gWXaAAAACwEAAA8AAAAAAAAAAQAgAAAAIgAAAGRycy9k&#10;b3ducmV2LnhtbFBLAQIUABQAAAAIAIdO4kDhgLdHcgIAAAIFAAAOAAAAAAAAAAEAIAAAACkBAABk&#10;cnMvZTJvRG9jLnhtbFBLBQYAAAAABgAGAFkBAAANBgAAAAA=&#10;">
                      <v:fill on="t" focussize="0,0"/>
                      <v:stroke weight="1pt" color="#000000 [3213]" miterlimit="8" joinstyle="miter"/>
                      <v:imagedata o:title=""/>
                      <o:lock v:ext="edit" aspectratio="f"/>
                    </v:shape>
                  </w:pict>
                </mc:Fallback>
              </mc:AlternateContent>
            </w:r>
            <w:r>
              <w:rPr>
                <w:rFonts w:hint="default"/>
              </w:rPr>
              <w:drawing>
                <wp:inline distT="0" distB="0" distL="114300" distR="114300">
                  <wp:extent cx="4679950" cy="4184650"/>
                  <wp:effectExtent l="0" t="0" r="635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l="1995" t="8968" r="3826" b="881"/>
                          <a:stretch>
                            <a:fillRect/>
                          </a:stretch>
                        </pic:blipFill>
                        <pic:spPr>
                          <a:xfrm>
                            <a:off x="0" y="0"/>
                            <a:ext cx="4679950" cy="4184650"/>
                          </a:xfrm>
                          <a:prstGeom prst="rect">
                            <a:avLst/>
                          </a:prstGeom>
                          <a:noFill/>
                          <a:ln>
                            <a:noFill/>
                          </a:ln>
                        </pic:spPr>
                      </pic:pic>
                    </a:graphicData>
                  </a:graphic>
                </wp:inline>
              </w:drawing>
            </w:r>
          </w:p>
          <w:p w14:paraId="7F3727A0">
            <w:pPr>
              <w:pStyle w:val="11"/>
              <w:bidi w:val="0"/>
              <w:rPr>
                <w:rFonts w:hint="default"/>
                <w:lang w:val="en-US" w:eastAsia="zh-CN"/>
              </w:rPr>
            </w:pPr>
            <w:r>
              <w:rPr>
                <w:rFonts w:hint="eastAsia"/>
                <w:lang w:val="en-US" w:eastAsia="zh-CN"/>
              </w:rPr>
              <w:t>图1-4 北京市生态环境管控单元图</w:t>
            </w:r>
          </w:p>
          <w:p w14:paraId="7DD50E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C0BB8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2CF7E2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9F216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3FCCFC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169CB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526045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3F6776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6AA07B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B9525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19F06D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0F9C5B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560FB5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2FF53F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rPr>
            </w:pPr>
          </w:p>
          <w:p w14:paraId="661B2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vertAlign w:val="baseline"/>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1720850</wp:posOffset>
                      </wp:positionH>
                      <wp:positionV relativeFrom="paragraph">
                        <wp:posOffset>3307080</wp:posOffset>
                      </wp:positionV>
                      <wp:extent cx="90170" cy="90170"/>
                      <wp:effectExtent l="6350" t="6350" r="17780" b="17780"/>
                      <wp:wrapNone/>
                      <wp:docPr id="19" name="椭圆 19"/>
                      <wp:cNvGraphicFramePr/>
                      <a:graphic xmlns:a="http://schemas.openxmlformats.org/drawingml/2006/main">
                        <a:graphicData uri="http://schemas.microsoft.com/office/word/2010/wordprocessingShape">
                          <wps:wsp>
                            <wps:cNvSpPr/>
                            <wps:spPr>
                              <a:xfrm>
                                <a:off x="0" y="0"/>
                                <a:ext cx="90170" cy="9017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5.5pt;margin-top:260.4pt;height:7.1pt;width:7.1pt;z-index:251666432;v-text-anchor:middle;mso-width-relative:page;mso-height-relative:page;" fillcolor="#000000 [3213]" filled="t" stroked="t" coordsize="21600,21600" o:gfxdata="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opLqtkAAAALAQAADwAAAAAAAAABACAAAAAiAAAAZHJzL2Rvd25yZXYueG1sUEsB&#10;AhQAFAAAAAgAh07iQJ5VAVFmAgAA9gQAAA4AAAAAAAAAAQAgAAAAKAEAAGRycy9lMm9Eb2MueG1s&#10;UEsFBgAAAAAGAAYAWQEAAAAGAAAAAA==&#10;">
                      <v:fill on="t"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1225550</wp:posOffset>
                      </wp:positionH>
                      <wp:positionV relativeFrom="paragraph">
                        <wp:posOffset>3630295</wp:posOffset>
                      </wp:positionV>
                      <wp:extent cx="780415" cy="304800"/>
                      <wp:effectExtent l="6350" t="295275" r="13335" b="9525"/>
                      <wp:wrapNone/>
                      <wp:docPr id="18" name="圆角矩形标注 18"/>
                      <wp:cNvGraphicFramePr/>
                      <a:graphic xmlns:a="http://schemas.openxmlformats.org/drawingml/2006/main">
                        <a:graphicData uri="http://schemas.microsoft.com/office/word/2010/wordprocessingShape">
                          <wps:wsp>
                            <wps:cNvSpPr/>
                            <wps:spPr>
                              <a:xfrm>
                                <a:off x="0" y="0"/>
                                <a:ext cx="780415" cy="304800"/>
                              </a:xfrm>
                              <a:prstGeom prst="wedgeRoundRectCallout">
                                <a:avLst>
                                  <a:gd name="adj1" fmla="val 18185"/>
                                  <a:gd name="adj2" fmla="val -140625"/>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D780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6.5pt;margin-top:285.85pt;height:24pt;width:61.45pt;z-index:251667456;v-text-anchor:middle;mso-width-relative:page;mso-height-relative:page;" filled="f" stroked="t" coordsize="21600,21600" o:gfxdata="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thsqDaAAAACwEAAA8A&#10;AAAAAAAAAQAgAAAAIgAAAGRycy9kb3ducmV2LnhtbFBLAQIUABQAAAAIAIdO4kA4JEG5wAIAAGsF&#10;AAAOAAAAAAAAAAEAIAAAACkBAABkcnMvZTJvRG9jLnhtbFBLBQYAAAAABgAGAFkBAABbBgAAAAA=&#10;" adj="14728,-19575,14400">
                      <v:fill on="f" focussize="0,0"/>
                      <v:stroke weight="1pt" color="#000000 [3213]" miterlimit="8" joinstyle="miter"/>
                      <v:imagedata o:title=""/>
                      <o:lock v:ext="edit" aspectratio="f"/>
                      <v:textbox>
                        <w:txbxContent>
                          <w:p w14:paraId="74D780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
                                <w:bCs/>
                                <w:color w:val="FF0000"/>
                                <w:sz w:val="21"/>
                                <w:szCs w:val="21"/>
                                <w:lang w:val="en-US" w:eastAsia="zh-CN"/>
                              </w:rPr>
                            </w:pPr>
                            <w:r>
                              <w:rPr>
                                <w:rFonts w:hint="eastAsia"/>
                                <w:b/>
                                <w:bCs/>
                                <w:color w:val="000000" w:themeColor="text1"/>
                                <w:sz w:val="21"/>
                                <w:szCs w:val="21"/>
                                <w:lang w:val="en-US" w:eastAsia="zh-CN"/>
                                <w14:textFill>
                                  <w14:solidFill>
                                    <w14:schemeClr w14:val="tx1"/>
                                  </w14:solidFill>
                                </w14:textFill>
                              </w:rPr>
                              <w:t>项目位置</w:t>
                            </w:r>
                          </w:p>
                        </w:txbxContent>
                      </v:textbox>
                    </v:shape>
                  </w:pict>
                </mc:Fallback>
              </mc:AlternateContent>
            </w:r>
            <w:r>
              <w:rPr>
                <w:sz w:val="24"/>
              </w:rPr>
              <w:drawing>
                <wp:inline distT="0" distB="0" distL="114300" distR="114300">
                  <wp:extent cx="4679950" cy="6613525"/>
                  <wp:effectExtent l="0" t="0" r="6350" b="15875"/>
                  <wp:docPr id="32" name="图片 32" descr="重点管控单元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重点管控单元图像"/>
                          <pic:cNvPicPr>
                            <a:picLocks noChangeAspect="1"/>
                          </pic:cNvPicPr>
                        </pic:nvPicPr>
                        <pic:blipFill>
                          <a:blip r:embed="rId11"/>
                          <a:stretch>
                            <a:fillRect/>
                          </a:stretch>
                        </pic:blipFill>
                        <pic:spPr>
                          <a:xfrm>
                            <a:off x="0" y="0"/>
                            <a:ext cx="4679950" cy="6613525"/>
                          </a:xfrm>
                          <a:prstGeom prst="rect">
                            <a:avLst/>
                          </a:prstGeom>
                        </pic:spPr>
                      </pic:pic>
                    </a:graphicData>
                  </a:graphic>
                </wp:inline>
              </w:drawing>
            </w:r>
          </w:p>
          <w:p w14:paraId="6AD2712F">
            <w:pPr>
              <w:pStyle w:val="11"/>
              <w:bidi w:val="0"/>
              <w:rPr>
                <w:rFonts w:hint="default"/>
                <w:highlight w:val="none"/>
                <w:lang w:val="en-US" w:eastAsia="zh-CN"/>
              </w:rPr>
            </w:pPr>
            <w:r>
              <w:rPr>
                <w:rFonts w:hint="eastAsia"/>
                <w:highlight w:val="none"/>
                <w:lang w:val="en-US" w:eastAsia="zh-CN"/>
              </w:rPr>
              <w:t>图1-5 重点管控类街道（乡镇）管控单元图</w:t>
            </w:r>
          </w:p>
          <w:p w14:paraId="789F5F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本项目从全市总体、五大功能区及环境管控单元三个等级逐级分析准入要求符合性。</w:t>
            </w:r>
          </w:p>
          <w:p w14:paraId="2EA22D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1）全市总体生态环境准入清单符合性分析</w:t>
            </w:r>
          </w:p>
          <w:p w14:paraId="0D325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项目所在位置不涉及永久基本农田、具有重要生态价值的山地、森林、河流湖泊等现状生态用地，和饮用水水源保护区及准保护区、自然保护区、风景名胜区、森林公园、地质公园、湿地公园等法定保护空间，以及对生态安全格局具有重要作用的部分大型公园和结构性绿地。项目所在地属于涉及水、大气、土壤、水资源、土地资源、能源等资源环境要素重点管控的区域。且不在39个具有工业污染排放性质的国家级和市级开发区、新型工业化产业示范基地内，应属于重点管控类街道（乡镇）类管控单元。</w:t>
            </w:r>
          </w:p>
          <w:p w14:paraId="01419A88">
            <w:pPr>
              <w:pStyle w:val="11"/>
              <w:bidi w:val="0"/>
              <w:rPr>
                <w:rFonts w:hint="default"/>
                <w:lang w:val="en-US" w:eastAsia="zh-CN"/>
              </w:rPr>
            </w:pPr>
            <w:r>
              <w:rPr>
                <w:rFonts w:hint="eastAsia"/>
                <w:lang w:val="en-US" w:eastAsia="zh-CN"/>
              </w:rPr>
              <w:t>表1-1 与重点管控类[街道（乡镇）]生态环境准入清单管控要求符合性分析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6E301A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8CA8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41C11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5A639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0F46B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61CFC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37CA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01B64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严格执行《北京市新增产业的禁止和限制目录（2022年版）》、北京市《建设项目规划使用性质正面和负面清单》、《外商投资准入特别管理措施(负面清单)（2021年版）》《自由贸易试验区外商投资准入特别管理措施（负面清单）（2021年版）》《北京市“十四五”时期高精尖产业发展规划》《北京市“十四五”时期生态环境保护规划》。</w:t>
                  </w:r>
                </w:p>
                <w:p w14:paraId="065E7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2.严格执行《北京市工业污染行业生产工艺调整退出及设备淘汰目录（2022年版）》。</w:t>
                  </w:r>
                </w:p>
                <w:p w14:paraId="66E4D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3.严格执行《北京城市总体规划(2016年-2035年)》《北京市国土空间近期规划(2021年—2025年)》及分区规划中的空间布局约束管控要求。</w:t>
                  </w:r>
                </w:p>
                <w:p w14:paraId="48FC3F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4.严格执行《北京市高污染燃料禁燃区划定方案（试行）》，高污染燃料禁燃区内任何单位不得新建、扩建高污染燃料燃用设施，不得将其他燃料燃用设施改造为高污染燃料燃用设施。</w:t>
                  </w:r>
                </w:p>
                <w:p w14:paraId="0E73A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5.严格执行《北京市水污染防治条例》，通过合理规划工业布局，引导工业企业入驻工业园区；规划禁养区内已有的畜禽养殖场、养殖小区项目，由所在地区人民政府限期拆除。</w:t>
                  </w:r>
                </w:p>
                <w:p w14:paraId="22491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6.严格执行《北京市大气污染防治条例》，禁止销售不符合标准的散煤及制品；在居民住宅楼、未配套设立专用烟道的商住综合楼、商住综合楼内与居住层相邻的商业楼层内，禁止新建、改建、扩建产生油烟、异味、废气的饮食服务、服装干洗和机动车维修等项目。</w:t>
                  </w:r>
                </w:p>
                <w:p w14:paraId="09611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7.严格执行《北京历史文化名城保护条例》，严格控制建设规模和建筑高度，保护景观视廊和空间格局；逐步开展环境整治、生态修复，恢复大尺度绿色空间。</w:t>
                  </w:r>
                </w:p>
              </w:tc>
              <w:tc>
                <w:tcPr>
                  <w:tcW w:w="3038" w:type="dxa"/>
                  <w:tcBorders>
                    <w:tl2br w:val="nil"/>
                    <w:tr2bl w:val="nil"/>
                  </w:tcBorders>
                  <w:vAlign w:val="center"/>
                </w:tcPr>
                <w:p w14:paraId="372A5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本项目不属于《北京市新增产业的禁止和限制目录（2022年版）》中禁止和限制类项目，未列入北京市《建设项目规划使用性质正面和负面清单》中负面清单，本项目不属于《外商投资准入特别管理措施（负面清单）》、《自由贸易试验区外商投资准入特别管理措施（负面清单）》。</w:t>
                  </w:r>
                </w:p>
                <w:p w14:paraId="1CCAE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2.本项目为动物医院，属于社区事业与服务业，项目工艺和设备不属于《北京市工业污染行业生产工艺调整退出及设备淘汰目录（2022年版）》中工艺及设备。</w:t>
                  </w:r>
                </w:p>
                <w:p w14:paraId="50E02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3.本项目严格执行《北京城市总体规划(2016年-2035年)》《北京市国土空间近期规划(2021年—2025年)》及分区规划中的空间布局约束管控要求。</w:t>
                  </w:r>
                </w:p>
                <w:p w14:paraId="6ED2AB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4.本项目不涉及高污染燃料燃用。</w:t>
                  </w:r>
                </w:p>
                <w:p w14:paraId="7E3D56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5.本项目严格执行《北京市水污染防治条例》，不涉及畜禽养殖等。</w:t>
                  </w:r>
                </w:p>
                <w:p w14:paraId="6BE1D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6.本项目严格执行《北京市大气污染防治条例》，项目为动物医院，属于社区事业与服务业，不涉及饮食服务、服装干洗和机动车维修等。</w:t>
                  </w:r>
                </w:p>
                <w:p w14:paraId="35ABC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7.本项目严格执行《北京历史文化名城保护条例》。</w:t>
                  </w:r>
                </w:p>
              </w:tc>
              <w:tc>
                <w:tcPr>
                  <w:tcW w:w="510" w:type="dxa"/>
                  <w:tcBorders>
                    <w:tl2br w:val="nil"/>
                    <w:tr2bl w:val="nil"/>
                  </w:tcBorders>
                  <w:vAlign w:val="center"/>
                </w:tcPr>
                <w:p w14:paraId="6EAD8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59E78A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68E69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6D8CA9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北京市土壤污染防治条例》《排污许可管理条例》等法律法规以及国家、地方环境质量标准和污染物排放标准。</w:t>
                  </w:r>
                </w:p>
                <w:p w14:paraId="45AC22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2.严格执行《北京市机动车和非道路移动机械排放污染防治条例》，优化道路设置和运输结构，推广新能源的机动车和非道路移动机械应用，加强机动车和非道路移动机械排放污染防治。</w:t>
                  </w:r>
                </w:p>
                <w:p w14:paraId="66A68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3.严格执行《绿色施工管理规程》。</w:t>
                  </w:r>
                </w:p>
                <w:p w14:paraId="49DBB1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4.严格执行《北京市水污染防治条例》，城镇污水应当集中处理，统筹安排建设污水集中处理设施及配套污水管网，提高城镇污水的收集率和处理率；建设规模化畜禽养殖场、养殖小区，配套建设集中式畜禽粪污综合利用设施或者无害化处理设施。规模化畜禽养殖企业应当采取防渗漏、防流失、防遗撒措施，防止畜禽养殖废水、粪污渗漏、溢流、散落对环境造成污染。</w:t>
                  </w:r>
                </w:p>
                <w:p w14:paraId="22FC6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5.严格执行《中华人民共和国清洁生产促进法》《中华人民共和国循环经济促进法》。</w:t>
                  </w:r>
                </w:p>
                <w:p w14:paraId="56380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6.严格执行《建设项目主要污染物排放总量指标审核及管理暂行办法》《原北京市环境保护局关于建设项目主要污染物排放总量指标审核及管理的补充通知》。</w:t>
                  </w:r>
                </w:p>
                <w:p w14:paraId="0DA02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7.严格执行废气、废水、噪声、固体废物等国家、地方污染物排放标准；严格执行锅炉、餐饮、加油站、储油库、印刷业等地方大气污染物排放标准，强化重点领域大气污染管控。</w:t>
                  </w:r>
                </w:p>
                <w:p w14:paraId="1AB1F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8.严格执行《污染地块土壤环境管理办法（试行）》，在土地开发过程中，属于《污染地块土壤环境管理办法（试行）》规定的疑似污染地块，土壤污染状况普查、详查和监测、现场检查表明有土壤污染风险的建设用地地块，用途变更为住宅、公共管理与公共服务用地的，重度污染农用地转为城镇建设用地的要按照有关规定开展土壤污染状况调查等。</w:t>
                  </w:r>
                </w:p>
                <w:p w14:paraId="4A42E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9.严格执行《北京市烟花爆竹安全管理规定》，五环路以内（含五环路）及各区人民政府划定的禁放区域禁止燃放烟花爆竹。</w:t>
                  </w:r>
                </w:p>
                <w:p w14:paraId="26AF0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10.严格执行《中共中央国务院关于深入打好污染防治攻坚战的意见》《中共北京市委北京市人民政府关于深入打好北京市污染防治攻坚战的实施意见》，开展大气面源治理；推动规模化畜禽养殖场全部配备粪污处理设施，畜禽粪污综合利用率达到95%以上。</w:t>
                  </w:r>
                </w:p>
                <w:p w14:paraId="6CBFF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11.严格执行《北京市“十四五”时期生态环境保护规划》《北京市“十四五”时期土壤污染防治规划》。</w:t>
                  </w:r>
                </w:p>
                <w:p w14:paraId="2E69C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12.严格执行《北京市“十四五”时期应对气候变化和节能规划》《北京市“十四五”时期能源发展规划》《北京市碳达峰实施方案》《北京市“十四五”时期制造业绿色低碳发展行动方案》，大力推广超低能耗建筑，推进既有建筑节能改造；积极引导绿色出行，加快优化车辆结构，加强航空和货运领域节能降碳；加强对本市甲烷、六氟化硫、氧化亚氮、全氟化碳等非二氧化碳温室气体的监测统计和科学管理。</w:t>
                  </w:r>
                </w:p>
                <w:p w14:paraId="051C6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13.严格执行《北京市建设工程扬尘治理综合监管实施方案(试行)》《北京市预拌混凝土行业减量集约高质量发展指导意见（2019—2026年）》，坚持施工扬尘和站点扬尘高效精准治理。</w:t>
                  </w:r>
                </w:p>
              </w:tc>
              <w:tc>
                <w:tcPr>
                  <w:tcW w:w="3038" w:type="dxa"/>
                  <w:tcBorders>
                    <w:tl2br w:val="nil"/>
                    <w:tr2bl w:val="nil"/>
                  </w:tcBorders>
                  <w:vAlign w:val="center"/>
                </w:tcPr>
                <w:p w14:paraId="2E1DF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1.项目废气、废水、噪声均达标排放，固体废物合理处置，满足国家、地方相关法律法规、环境质量标准和污染物排放标准要求。</w:t>
                  </w:r>
                </w:p>
                <w:p w14:paraId="00A73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2.项目</w:t>
                  </w:r>
                  <w:r>
                    <w:rPr>
                      <w:rFonts w:hint="eastAsia"/>
                      <w:sz w:val="21"/>
                      <w:szCs w:val="21"/>
                      <w:vertAlign w:val="baseline"/>
                      <w:lang w:val="en-US" w:eastAsia="zh-CN"/>
                    </w:rPr>
                    <w:t>不涉及</w:t>
                  </w:r>
                  <w:r>
                    <w:rPr>
                      <w:rFonts w:hint="eastAsia"/>
                      <w:sz w:val="21"/>
                      <w:szCs w:val="21"/>
                      <w:vertAlign w:val="baseline"/>
                    </w:rPr>
                    <w:t>新能源的机动车和非道路移动机械应用。</w:t>
                  </w:r>
                </w:p>
                <w:p w14:paraId="360D6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3.项目严格执行《绿色施工管理规程》</w:t>
                  </w:r>
                </w:p>
                <w:p w14:paraId="7F410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4.项目</w:t>
                  </w:r>
                  <w:r>
                    <w:rPr>
                      <w:rFonts w:hint="eastAsia"/>
                      <w:sz w:val="21"/>
                      <w:szCs w:val="21"/>
                      <w:vertAlign w:val="baseline"/>
                      <w:lang w:val="en-US" w:eastAsia="zh-CN"/>
                    </w:rPr>
                    <w:t>废水合理处置，不涉及</w:t>
                  </w:r>
                  <w:r>
                    <w:rPr>
                      <w:rFonts w:hint="eastAsia"/>
                      <w:sz w:val="21"/>
                      <w:szCs w:val="21"/>
                      <w:vertAlign w:val="baseline"/>
                    </w:rPr>
                    <w:t>规模化畜禽养殖场</w:t>
                  </w:r>
                  <w:r>
                    <w:rPr>
                      <w:rFonts w:hint="eastAsia"/>
                      <w:sz w:val="21"/>
                      <w:szCs w:val="21"/>
                      <w:vertAlign w:val="baseline"/>
                      <w:lang w:val="en-US" w:eastAsia="zh-CN"/>
                    </w:rPr>
                    <w:t>等。</w:t>
                  </w:r>
                </w:p>
                <w:p w14:paraId="46FD6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5.项目严格执行《中华人民共和国清洁生产促进法》《中华人民共和国循环经济促进法》。</w:t>
                  </w:r>
                </w:p>
                <w:p w14:paraId="14AAA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6.项目严格执行《建设项目主要污染物排放总量指标审核及管理暂行办法》《原北京市环境保护局关于建设项目主要污染物排放总量指标审核及管理的补充通知》。</w:t>
                  </w:r>
                </w:p>
                <w:p w14:paraId="63CFE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7.项目严格执行废气、废水、噪声、固体废物等国家、地方污染物排放标准；项目不涉及锅炉、餐饮、加油站、储油库、印刷业等。</w:t>
                  </w:r>
                </w:p>
                <w:p w14:paraId="6B50C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8.项目不涉及污染地块。</w:t>
                  </w:r>
                </w:p>
                <w:p w14:paraId="5734C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9.项目不涉及烟花爆竹燃放。</w:t>
                  </w:r>
                </w:p>
                <w:p w14:paraId="3BCA0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10.项目不涉及规模化畜禽养殖。</w:t>
                  </w:r>
                </w:p>
                <w:p w14:paraId="0844F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11.项目严格执行《北京市“十四五”时期生态环境保护规划》《北京市“十四五”时期土壤污染防治规划》。</w:t>
                  </w:r>
                </w:p>
                <w:p w14:paraId="0E427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12.项目严格执行《北京市“十四五”时期应对气候变化和节能规划》《北京市“十四五”时期能源发展规划》《北京市碳达峰实施方案》《北京市“十四五”时期制造业绿色低碳发展行动方案》。</w:t>
                  </w:r>
                </w:p>
                <w:p w14:paraId="14C17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13.项目严格执行《北京市建设工程扬尘治理综合监管实施方案(试行)》《北京市预拌混凝土行业减量集约高质量发展指导意见（2019—2026年）》，坚持施工扬尘和站点扬尘高效精准治理。</w:t>
                  </w:r>
                </w:p>
              </w:tc>
              <w:tc>
                <w:tcPr>
                  <w:tcW w:w="510" w:type="dxa"/>
                  <w:tcBorders>
                    <w:tl2br w:val="nil"/>
                    <w:tr2bl w:val="nil"/>
                  </w:tcBorders>
                  <w:vAlign w:val="center"/>
                </w:tcPr>
                <w:p w14:paraId="0ED90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36F2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1291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0857C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1.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24628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2.落实《北京城市总体规划(2016年-2035年)》要求，强化土壤污染源头管控，加强污染地块再开发利用的联动监管。</w:t>
                  </w:r>
                </w:p>
              </w:tc>
              <w:tc>
                <w:tcPr>
                  <w:tcW w:w="3038" w:type="dxa"/>
                  <w:tcBorders>
                    <w:tl2br w:val="nil"/>
                    <w:tr2bl w:val="nil"/>
                  </w:tcBorders>
                  <w:vAlign w:val="center"/>
                </w:tcPr>
                <w:p w14:paraId="11D52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1.项目废气、废水、噪声均达标排放，固体废物合理处置，满足国家、地方相关法律法规、环境质量标准和污染物排放标准要求。</w:t>
                  </w:r>
                </w:p>
                <w:p w14:paraId="72E88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2.项目落实《北京城市总体规划(2016年-2035年)》要求，强化土壤污染源头管控，加强污染地块再开发利用的联动监管。</w:t>
                  </w:r>
                </w:p>
              </w:tc>
              <w:tc>
                <w:tcPr>
                  <w:tcW w:w="510" w:type="dxa"/>
                  <w:tcBorders>
                    <w:tl2br w:val="nil"/>
                    <w:tr2bl w:val="nil"/>
                  </w:tcBorders>
                  <w:vAlign w:val="center"/>
                </w:tcPr>
                <w:p w14:paraId="7E715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3E8DA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F504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4BD45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严格执行《中华人民共和国水法》《北京市节水条例》《北京市人民政府关于实行最严格水资源管理制度的意见》《北京市“十四五”时期污水处理及资源化利用发展规划》《北京市“十四五”节水型社会建设规划》《关于北京市加强水生态空间管控工作的意见》，加强用水管控。</w:t>
                  </w:r>
                </w:p>
                <w:p w14:paraId="09F11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2.落实《北京城市总体规划(2016年-2035年)》要求，坚守建设用地规模底线，严格落实土地用途管制制度，腾退低效集体产业用地，实现城乡建设用地规模减量。</w:t>
                  </w:r>
                </w:p>
                <w:p w14:paraId="36EAF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3.执行《中华人民共和国节约能源法》《大型公共建筑制冷能耗限额》《供热锅炉综合能源消耗限额》《供暖系统运行能源消耗限额》《民用建筑能耗指标》《商场、超市能源消耗限额》《北京市碳达峰碳中和工作领导小组办公室关于印发北京市民用建筑节能降碳工作方案暨“十四五”时期民用建筑绿色发展规划的通知》《北京市发展和改革委员会北京市住房和城乡建设委员会关于印发建立健全北京市公共建筑能效评估方法和制度的工作方案的通知》以及北京市单位产品能源消耗限额系列标准，强化建筑、交通、工业等领域的节能减排和需求管理。</w:t>
                  </w:r>
                </w:p>
              </w:tc>
              <w:tc>
                <w:tcPr>
                  <w:tcW w:w="3038" w:type="dxa"/>
                  <w:tcBorders>
                    <w:tl2br w:val="nil"/>
                    <w:tr2bl w:val="nil"/>
                  </w:tcBorders>
                  <w:vAlign w:val="center"/>
                </w:tcPr>
                <w:p w14:paraId="59EB5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w:t>
                  </w:r>
                  <w:r>
                    <w:rPr>
                      <w:rFonts w:hint="eastAsia"/>
                      <w:sz w:val="21"/>
                      <w:szCs w:val="21"/>
                      <w:vertAlign w:val="baseline"/>
                      <w:lang w:val="en-US" w:eastAsia="zh-CN"/>
                    </w:rPr>
                    <w:t>项目</w:t>
                  </w:r>
                  <w:r>
                    <w:rPr>
                      <w:rFonts w:hint="eastAsia"/>
                      <w:sz w:val="21"/>
                      <w:szCs w:val="21"/>
                      <w:vertAlign w:val="baseline"/>
                    </w:rPr>
                    <w:t>严格执行《中华人民共和国水法》《北京市节水条例》《北京市人民政府关于实行最严格水资源管理制度的意见》《北京市“十四五”时期污水处理及资源化利用发展规划》《北京市“十四五”节水型社会建设规划》《关于北京市加强水生态空间管控工作的意见》，加强用水管控。</w:t>
                  </w:r>
                </w:p>
                <w:p w14:paraId="4A05F9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w:t>
                  </w:r>
                  <w:r>
                    <w:rPr>
                      <w:rFonts w:hint="eastAsia"/>
                      <w:sz w:val="21"/>
                      <w:szCs w:val="21"/>
                      <w:vertAlign w:val="baseline"/>
                      <w:lang w:val="en-US" w:eastAsia="zh-CN"/>
                    </w:rPr>
                    <w:t>项目</w:t>
                  </w:r>
                  <w:r>
                    <w:rPr>
                      <w:rFonts w:hint="eastAsia"/>
                      <w:sz w:val="21"/>
                      <w:szCs w:val="21"/>
                      <w:vertAlign w:val="baseline"/>
                    </w:rPr>
                    <w:t>落实《北京城市总体规划(2016年-2035年)》要求。</w:t>
                  </w:r>
                </w:p>
                <w:p w14:paraId="73FCB7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rPr>
                    <w:t>3.</w:t>
                  </w:r>
                  <w:r>
                    <w:rPr>
                      <w:rFonts w:hint="eastAsia"/>
                      <w:sz w:val="21"/>
                      <w:szCs w:val="21"/>
                      <w:vertAlign w:val="baseline"/>
                      <w:lang w:val="en-US" w:eastAsia="zh-CN"/>
                    </w:rPr>
                    <w:t>项目</w:t>
                  </w:r>
                  <w:r>
                    <w:rPr>
                      <w:rFonts w:hint="eastAsia"/>
                      <w:sz w:val="21"/>
                      <w:szCs w:val="21"/>
                      <w:vertAlign w:val="baseline"/>
                    </w:rPr>
                    <w:t>执行《中华人民共和国节约能源法》《大型公共建筑制冷能耗限额》《供热锅炉综合能源消耗限额》《供暖系统运行能源消耗限额》《民用建筑能耗指标》《商场、超市能源消耗限额》《北京市碳达峰碳中和工作领导小组办公室关于印发北京市民用建筑节能降碳工作方案暨“十四五”时期民用建筑绿色发展规划的通知》《北京市发展和改革委员会北京市住房和城乡建设委员会关于印发建立健全北京市公共建筑能效评估方法和制度的工作方案的通知》以及北京市单位产品能源消耗限额系列标准，强化建筑、交通、工业等领域的节能减排和需求管理。</w:t>
                  </w:r>
                </w:p>
              </w:tc>
              <w:tc>
                <w:tcPr>
                  <w:tcW w:w="510" w:type="dxa"/>
                  <w:tcBorders>
                    <w:tl2br w:val="nil"/>
                    <w:tr2bl w:val="nil"/>
                  </w:tcBorders>
                  <w:vAlign w:val="center"/>
                </w:tcPr>
                <w:p w14:paraId="7BBD56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12C73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）五大功能区清单符合性分析</w:t>
            </w:r>
          </w:p>
          <w:p w14:paraId="0C8ACE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rPr>
              <w:t>本项目</w:t>
            </w:r>
            <w:r>
              <w:rPr>
                <w:rFonts w:hint="eastAsia"/>
                <w:vertAlign w:val="baseline"/>
                <w:lang w:val="en-US" w:eastAsia="zh-CN"/>
              </w:rPr>
              <w:t>属于中心城区（首都功能核心区除外），项目与中心城区（首都功能核心区除外）生态环境准入清单</w:t>
            </w:r>
            <w:r>
              <w:rPr>
                <w:rFonts w:hint="eastAsia"/>
                <w:vertAlign w:val="baseline"/>
              </w:rPr>
              <w:t>符合性分析</w:t>
            </w:r>
            <w:r>
              <w:rPr>
                <w:rFonts w:hint="eastAsia"/>
                <w:vertAlign w:val="baseline"/>
                <w:lang w:val="en-US" w:eastAsia="zh-CN"/>
              </w:rPr>
              <w:t>详</w:t>
            </w:r>
            <w:r>
              <w:rPr>
                <w:rFonts w:hint="eastAsia"/>
                <w:vertAlign w:val="baseline"/>
              </w:rPr>
              <w:t>见</w:t>
            </w:r>
            <w:r>
              <w:rPr>
                <w:rFonts w:hint="eastAsia"/>
                <w:vertAlign w:val="baseline"/>
                <w:lang w:val="en-US" w:eastAsia="zh-CN"/>
              </w:rPr>
              <w:t>下表。</w:t>
            </w:r>
          </w:p>
          <w:p w14:paraId="44F31F06">
            <w:pPr>
              <w:pStyle w:val="11"/>
              <w:bidi w:val="0"/>
              <w:rPr>
                <w:rFonts w:hint="default"/>
                <w:lang w:val="en-US" w:eastAsia="zh-CN"/>
              </w:rPr>
            </w:pPr>
            <w:r>
              <w:rPr>
                <w:rFonts w:hint="eastAsia"/>
                <w:lang w:val="en-US" w:eastAsia="zh-CN"/>
              </w:rPr>
              <w:t>表1-2 与中心城区（首都功能核心区除外）生态环境准入清单的符合性分析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59A17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8148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63159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3F038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3B174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0B41CD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528F0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00A570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1.执行《北京市新增产业的禁止和限制目录（2022年版）》适用于中心城区的管控要求。</w:t>
                  </w:r>
                </w:p>
                <w:p w14:paraId="569A9F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2.执行《建设项目规划使用性质正面和负面清单》适用于中心城区的管控要求。</w:t>
                  </w:r>
                </w:p>
                <w:p w14:paraId="7A934B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3.涉及生态保护红线及相关法定保护空间的应执行优先保护类总体准入清单。</w:t>
                  </w:r>
                </w:p>
              </w:tc>
              <w:tc>
                <w:tcPr>
                  <w:tcW w:w="3038" w:type="dxa"/>
                  <w:tcBorders>
                    <w:tl2br w:val="nil"/>
                    <w:tr2bl w:val="nil"/>
                  </w:tcBorders>
                  <w:vAlign w:val="center"/>
                </w:tcPr>
                <w:p w14:paraId="3A7B7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1.项目执行《北京市新增产业的禁止和限制目录（2022年版）》适用于中心城区的管控要求。</w:t>
                  </w:r>
                </w:p>
                <w:p w14:paraId="4ABF6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kern w:val="0"/>
                      <w:sz w:val="21"/>
                      <w:szCs w:val="21"/>
                      <w:highlight w:val="none"/>
                      <w:vertAlign w:val="baseline"/>
                      <w:lang w:val="en-US" w:eastAsia="zh-CN"/>
                    </w:rPr>
                  </w:pPr>
                  <w:r>
                    <w:rPr>
                      <w:rFonts w:hint="eastAsia" w:cs="Times New Roman"/>
                      <w:kern w:val="0"/>
                      <w:sz w:val="21"/>
                      <w:szCs w:val="21"/>
                      <w:highlight w:val="none"/>
                      <w:vertAlign w:val="baseline"/>
                      <w:lang w:val="en-US" w:eastAsia="zh-CN"/>
                    </w:rPr>
                    <w:t>2.项目执行《建设项目规划使用性质正面和负面清单》适用于中心城区的管控要求。</w:t>
                  </w:r>
                </w:p>
                <w:p w14:paraId="255D2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3.项目不涉及生态保护红线及相关法定保护空间。</w:t>
                  </w:r>
                </w:p>
              </w:tc>
              <w:tc>
                <w:tcPr>
                  <w:tcW w:w="510" w:type="dxa"/>
                  <w:tcBorders>
                    <w:tl2br w:val="nil"/>
                    <w:tr2bl w:val="nil"/>
                  </w:tcBorders>
                  <w:vAlign w:val="center"/>
                </w:tcPr>
                <w:p w14:paraId="5C1B1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66961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86F7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01F11B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vertAlign w:val="baseline"/>
                    </w:rPr>
                  </w:pPr>
                  <w:r>
                    <w:rPr>
                      <w:rFonts w:hint="eastAsia"/>
                      <w:sz w:val="21"/>
                      <w:szCs w:val="21"/>
                      <w:vertAlign w:val="baseline"/>
                      <w:lang w:val="en-US" w:eastAsia="zh-CN"/>
                    </w:rPr>
                    <w:t>1.</w:t>
                  </w:r>
                  <w:r>
                    <w:rPr>
                      <w:rFonts w:hint="eastAsia"/>
                      <w:sz w:val="21"/>
                      <w:szCs w:val="21"/>
                      <w:vertAlign w:val="baseline"/>
                    </w:rPr>
                    <w:t>全域禁止使用高排放非道路移动机械。</w:t>
                  </w:r>
                </w:p>
                <w:p w14:paraId="21D548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2.必须遵守污染物排放的国家标准和地方标准；在实施重点污染物排放总量控制的区域内，还必须符合重点污染物排放总量控制的要求。</w:t>
                  </w:r>
                </w:p>
                <w:p w14:paraId="253805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3.严格控制开发强度与建设规模，有序疏解人口和功能。严格限制新建和扩建医疗、行政办公、商业等大型服务设施。</w:t>
                  </w:r>
                </w:p>
                <w:p w14:paraId="06E6B6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4.工业园区配套建设废水集中处理设施。</w:t>
                  </w:r>
                </w:p>
                <w:p w14:paraId="54A11D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5.依法关闭或搬迁禁养区内的畜禽养殖场（小区）和养殖专业户。新建、改建、扩建规模化畜禽养殖场（小区）要实施雨污分流、粪便污水资源化利用。</w:t>
                  </w:r>
                </w:p>
                <w:p w14:paraId="0422EE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6.禁止在居民住宅楼、未配套设立专用烟道的商住综合楼、商住综合楼内与居住层相邻的商业楼层内，新建、改建、扩建产生油烟、异味、废气、噪声污染的饮食服务、服装干洗、机动车维修。</w:t>
                  </w:r>
                </w:p>
                <w:p w14:paraId="585DF5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sz w:val="21"/>
                      <w:szCs w:val="21"/>
                      <w:vertAlign w:val="baseline"/>
                    </w:rPr>
                  </w:pPr>
                  <w:r>
                    <w:rPr>
                      <w:rFonts w:hint="eastAsia"/>
                      <w:sz w:val="21"/>
                      <w:szCs w:val="21"/>
                      <w:vertAlign w:val="baseline"/>
                    </w:rPr>
                    <w:t>7.朝阳区开展大气污染精细化治理</w:t>
                  </w:r>
                  <w:r>
                    <w:rPr>
                      <w:rFonts w:hint="eastAsia"/>
                      <w:sz w:val="21"/>
                      <w:szCs w:val="21"/>
                      <w:vertAlign w:val="baseline"/>
                      <w:lang w:eastAsia="zh-CN"/>
                    </w:rPr>
                    <w:t>，</w:t>
                  </w:r>
                  <w:r>
                    <w:rPr>
                      <w:rFonts w:hint="eastAsia"/>
                      <w:sz w:val="21"/>
                      <w:szCs w:val="21"/>
                      <w:vertAlign w:val="baseline"/>
                    </w:rPr>
                    <w:t>组织空气质量排名靠后的街道(乡镇)进行综合整治；朝阳区、海淀区、石景山区组织对来广营汽修集群、绿谷汽修集群、古城汽修集群开展VOCs高值区域溯源精细化管理；石景山区开展区级强制性清洁生产审核试点。</w:t>
                  </w:r>
                </w:p>
              </w:tc>
              <w:tc>
                <w:tcPr>
                  <w:tcW w:w="3038" w:type="dxa"/>
                  <w:tcBorders>
                    <w:tl2br w:val="nil"/>
                    <w:tr2bl w:val="nil"/>
                  </w:tcBorders>
                  <w:vAlign w:val="center"/>
                </w:tcPr>
                <w:p w14:paraId="533C5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1.项目不使用高排放非道路移动机械。</w:t>
                  </w:r>
                </w:p>
                <w:p w14:paraId="615A5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2.项目遵守污染物排放的国家标准和地方标准。</w:t>
                  </w:r>
                </w:p>
                <w:p w14:paraId="7E645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3.项目</w:t>
                  </w:r>
                  <w:r>
                    <w:rPr>
                      <w:rFonts w:hint="eastAsia"/>
                      <w:sz w:val="21"/>
                      <w:szCs w:val="21"/>
                      <w:vertAlign w:val="baseline"/>
                      <w:lang w:val="en-US" w:eastAsia="zh-CN"/>
                    </w:rPr>
                    <w:t>为动物医院，不涉及</w:t>
                  </w:r>
                  <w:r>
                    <w:rPr>
                      <w:rFonts w:hint="eastAsia"/>
                      <w:sz w:val="21"/>
                      <w:szCs w:val="21"/>
                      <w:vertAlign w:val="baseline"/>
                    </w:rPr>
                    <w:t>大型服务设施</w:t>
                  </w:r>
                  <w:r>
                    <w:rPr>
                      <w:rFonts w:hint="eastAsia"/>
                      <w:sz w:val="21"/>
                      <w:szCs w:val="21"/>
                      <w:vertAlign w:val="baseline"/>
                      <w:lang w:val="en-US" w:eastAsia="zh-CN"/>
                    </w:rPr>
                    <w:t>建设</w:t>
                  </w:r>
                  <w:r>
                    <w:rPr>
                      <w:rFonts w:hint="eastAsia"/>
                      <w:sz w:val="21"/>
                      <w:szCs w:val="21"/>
                      <w:vertAlign w:val="baseline"/>
                    </w:rPr>
                    <w:t>。</w:t>
                  </w:r>
                </w:p>
                <w:p w14:paraId="62862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4.项目</w:t>
                  </w:r>
                  <w:r>
                    <w:rPr>
                      <w:rFonts w:hint="eastAsia"/>
                      <w:sz w:val="21"/>
                      <w:szCs w:val="21"/>
                      <w:vertAlign w:val="baseline"/>
                      <w:lang w:val="en-US" w:eastAsia="zh-CN"/>
                    </w:rPr>
                    <w:t>不涉及</w:t>
                  </w:r>
                  <w:r>
                    <w:rPr>
                      <w:rFonts w:hint="eastAsia"/>
                      <w:sz w:val="21"/>
                      <w:szCs w:val="21"/>
                      <w:vertAlign w:val="baseline"/>
                    </w:rPr>
                    <w:t>。</w:t>
                  </w:r>
                </w:p>
                <w:p w14:paraId="66D34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5.项目不涉及畜禽养殖等。</w:t>
                  </w:r>
                </w:p>
                <w:p w14:paraId="3CC81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6.项目</w:t>
                  </w:r>
                  <w:r>
                    <w:rPr>
                      <w:rFonts w:hint="eastAsia"/>
                      <w:sz w:val="21"/>
                      <w:szCs w:val="21"/>
                      <w:vertAlign w:val="baseline"/>
                      <w:lang w:val="en-US" w:eastAsia="zh-CN"/>
                    </w:rPr>
                    <w:t>为动物医院，不属于</w:t>
                  </w:r>
                  <w:r>
                    <w:rPr>
                      <w:rFonts w:hint="eastAsia"/>
                      <w:sz w:val="21"/>
                      <w:szCs w:val="21"/>
                      <w:vertAlign w:val="baseline"/>
                    </w:rPr>
                    <w:t>饮食服务、服装干洗、机动车维修。</w:t>
                  </w:r>
                </w:p>
                <w:p w14:paraId="2F436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7.项目不涉及。</w:t>
                  </w:r>
                </w:p>
              </w:tc>
              <w:tc>
                <w:tcPr>
                  <w:tcW w:w="510" w:type="dxa"/>
                  <w:tcBorders>
                    <w:tl2br w:val="nil"/>
                    <w:tr2bl w:val="nil"/>
                  </w:tcBorders>
                  <w:vAlign w:val="center"/>
                </w:tcPr>
                <w:p w14:paraId="7F495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75027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7D56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5FEE22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1.禁止新设立带有储存设施的危险化学品经营企业（涉及国计民生和城市运行的除外）。</w:t>
                  </w:r>
                </w:p>
                <w:p w14:paraId="7220DC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2.禁止新设立或迁入危险货物道路运输业户（含车辆）（使用清洁能源车辆的道路货物运输业户除外）。</w:t>
                  </w:r>
                </w:p>
                <w:p w14:paraId="03B8FE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3.应充分考虑污染地块的环境风险，合理确定土地用途。</w:t>
                  </w:r>
                </w:p>
                <w:p w14:paraId="15781D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4.有效落实空气重污染各项应急减排措施，引导提高施工工地和应急减排清单企业的绩效等级，引导使用纯电动、氢燃料电池的车辆和非道路移动机械。</w:t>
                  </w:r>
                </w:p>
              </w:tc>
              <w:tc>
                <w:tcPr>
                  <w:tcW w:w="3038" w:type="dxa"/>
                  <w:tcBorders>
                    <w:tl2br w:val="nil"/>
                    <w:tr2bl w:val="nil"/>
                  </w:tcBorders>
                  <w:vAlign w:val="center"/>
                </w:tcPr>
                <w:p w14:paraId="39D46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1.项目</w:t>
                  </w:r>
                  <w:r>
                    <w:rPr>
                      <w:rFonts w:hint="eastAsia"/>
                      <w:sz w:val="21"/>
                      <w:szCs w:val="21"/>
                      <w:vertAlign w:val="baseline"/>
                      <w:lang w:val="en-US" w:eastAsia="zh-CN"/>
                    </w:rPr>
                    <w:t>为动物医院，不涉及带有储存设施的危险化学品经营。</w:t>
                  </w:r>
                </w:p>
                <w:p w14:paraId="0CDE0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default" w:eastAsia="宋体"/>
                      <w:sz w:val="21"/>
                      <w:szCs w:val="21"/>
                      <w:vertAlign w:val="baseline"/>
                      <w:lang w:val="en-US" w:eastAsia="zh-CN"/>
                    </w:rPr>
                    <w:t>2.项目</w:t>
                  </w:r>
                  <w:r>
                    <w:rPr>
                      <w:rFonts w:hint="eastAsia"/>
                      <w:sz w:val="21"/>
                      <w:szCs w:val="21"/>
                      <w:vertAlign w:val="baseline"/>
                      <w:lang w:val="en-US" w:eastAsia="zh-CN"/>
                    </w:rPr>
                    <w:t>为动物医院，不涉及危险货物道路运输。</w:t>
                  </w:r>
                </w:p>
                <w:p w14:paraId="65431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3.项目租赁现有建筑楼，不涉及污染地块。</w:t>
                  </w:r>
                </w:p>
                <w:p w14:paraId="3F4FA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4.项目废气主要为动物诊疗过程中产生的动物异味，不涉及重污染应急减排。</w:t>
                  </w:r>
                </w:p>
              </w:tc>
              <w:tc>
                <w:tcPr>
                  <w:tcW w:w="510" w:type="dxa"/>
                  <w:tcBorders>
                    <w:tl2br w:val="nil"/>
                    <w:tr2bl w:val="nil"/>
                  </w:tcBorders>
                  <w:vAlign w:val="center"/>
                </w:tcPr>
                <w:p w14:paraId="40266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0EAF3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04E5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71BBD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1.坚持疏解整治促提升，坚持“留白增绿”，创造优良人居环境。</w:t>
                  </w:r>
                </w:p>
              </w:tc>
              <w:tc>
                <w:tcPr>
                  <w:tcW w:w="3038" w:type="dxa"/>
                  <w:tcBorders>
                    <w:tl2br w:val="nil"/>
                    <w:tr2bl w:val="nil"/>
                  </w:tcBorders>
                  <w:vAlign w:val="center"/>
                </w:tcPr>
                <w:p w14:paraId="647BD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1.项目</w:t>
                  </w:r>
                  <w:r>
                    <w:rPr>
                      <w:rFonts w:hint="eastAsia"/>
                      <w:sz w:val="21"/>
                      <w:szCs w:val="21"/>
                      <w:vertAlign w:val="baseline"/>
                      <w:lang w:val="en-US" w:eastAsia="zh-CN"/>
                    </w:rPr>
                    <w:t>严格</w:t>
                  </w:r>
                  <w:r>
                    <w:rPr>
                      <w:rFonts w:hint="eastAsia"/>
                      <w:sz w:val="21"/>
                      <w:szCs w:val="21"/>
                      <w:vertAlign w:val="baseline"/>
                    </w:rPr>
                    <w:t>坚持疏解整治促提升，坚持“留白增绿”，创造优良人居环境。</w:t>
                  </w:r>
                </w:p>
              </w:tc>
              <w:tc>
                <w:tcPr>
                  <w:tcW w:w="510" w:type="dxa"/>
                  <w:tcBorders>
                    <w:tl2br w:val="nil"/>
                    <w:tr2bl w:val="nil"/>
                  </w:tcBorders>
                  <w:vAlign w:val="center"/>
                </w:tcPr>
                <w:p w14:paraId="1BFA4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156EA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（3）环境管控单元符合性分析</w:t>
            </w:r>
          </w:p>
          <w:p w14:paraId="1310EC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本项目属于重点管控单元[街道（乡镇）]，与重点管控单元[街道（乡镇）]准入清单的符合性分析见下表。</w:t>
            </w:r>
          </w:p>
          <w:p w14:paraId="610C2A33">
            <w:pPr>
              <w:pStyle w:val="11"/>
              <w:bidi w:val="0"/>
              <w:rPr>
                <w:rFonts w:hint="default"/>
                <w:lang w:val="en-US" w:eastAsia="zh-CN"/>
              </w:rPr>
            </w:pPr>
            <w:r>
              <w:rPr>
                <w:rFonts w:hint="eastAsia"/>
                <w:lang w:val="en-US" w:eastAsia="zh-CN"/>
              </w:rPr>
              <w:t>表1-3 与</w:t>
            </w:r>
            <w:r>
              <w:rPr>
                <w:rFonts w:hint="eastAsia"/>
                <w:vertAlign w:val="baseline"/>
                <w:lang w:val="en-US" w:eastAsia="zh-CN"/>
              </w:rPr>
              <w:t>重点管控单元[街道（乡镇）]</w:t>
            </w:r>
            <w:r>
              <w:rPr>
                <w:rFonts w:hint="eastAsia"/>
                <w:lang w:val="en-US" w:eastAsia="zh-CN"/>
              </w:rPr>
              <w:t>准入清单的符合性分析</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174"/>
              <w:gridCol w:w="3175"/>
              <w:gridCol w:w="534"/>
            </w:tblGrid>
            <w:tr w14:paraId="3A5F2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AA54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管控类别</w:t>
                  </w:r>
                </w:p>
              </w:tc>
              <w:tc>
                <w:tcPr>
                  <w:tcW w:w="3037" w:type="dxa"/>
                  <w:tcBorders>
                    <w:tl2br w:val="nil"/>
                    <w:tr2bl w:val="nil"/>
                  </w:tcBorders>
                  <w:vAlign w:val="center"/>
                </w:tcPr>
                <w:p w14:paraId="07FB4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cs="Times New Roman"/>
                      <w:b/>
                      <w:bCs/>
                      <w:kern w:val="0"/>
                      <w:sz w:val="21"/>
                      <w:szCs w:val="21"/>
                      <w:highlight w:val="none"/>
                      <w:vertAlign w:val="baseline"/>
                      <w:lang w:val="en-US" w:eastAsia="zh-CN"/>
                    </w:rPr>
                    <w:t>重点管控要求</w:t>
                  </w:r>
                </w:p>
              </w:tc>
              <w:tc>
                <w:tcPr>
                  <w:tcW w:w="3038" w:type="dxa"/>
                  <w:tcBorders>
                    <w:tl2br w:val="nil"/>
                    <w:tr2bl w:val="nil"/>
                  </w:tcBorders>
                  <w:vAlign w:val="center"/>
                </w:tcPr>
                <w:p w14:paraId="035FA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本项目情况</w:t>
                  </w:r>
                </w:p>
              </w:tc>
              <w:tc>
                <w:tcPr>
                  <w:tcW w:w="510" w:type="dxa"/>
                  <w:tcBorders>
                    <w:tl2br w:val="nil"/>
                    <w:tr2bl w:val="nil"/>
                  </w:tcBorders>
                  <w:vAlign w:val="center"/>
                </w:tcPr>
                <w:p w14:paraId="2E03C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符合情况</w:t>
                  </w:r>
                </w:p>
              </w:tc>
            </w:tr>
            <w:tr w14:paraId="07B1B4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B4B7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空间布局约束</w:t>
                  </w:r>
                </w:p>
              </w:tc>
              <w:tc>
                <w:tcPr>
                  <w:tcW w:w="3037" w:type="dxa"/>
                  <w:tcBorders>
                    <w:tl2br w:val="nil"/>
                    <w:tr2bl w:val="nil"/>
                  </w:tcBorders>
                  <w:vAlign w:val="center"/>
                </w:tcPr>
                <w:p w14:paraId="682FF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1.执行重点管控类[街道（乡镇）]生态环境总体准入清单和中心城区（首都功能核心区除外）生态环境准入清单的空间布局约束准入要求。</w:t>
                  </w:r>
                </w:p>
              </w:tc>
              <w:tc>
                <w:tcPr>
                  <w:tcW w:w="3038" w:type="dxa"/>
                  <w:tcBorders>
                    <w:tl2br w:val="nil"/>
                    <w:tr2bl w:val="nil"/>
                  </w:tcBorders>
                  <w:vAlign w:val="center"/>
                </w:tcPr>
                <w:p w14:paraId="3CA14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cs="Times New Roman"/>
                      <w:kern w:val="0"/>
                      <w:sz w:val="21"/>
                      <w:szCs w:val="21"/>
                      <w:highlight w:val="none"/>
                      <w:vertAlign w:val="baseline"/>
                      <w:lang w:val="en-US" w:eastAsia="zh-CN"/>
                    </w:rPr>
                    <w:t>1.项目严格执行重点管控类[街道（乡镇）]生态环境总体准入清单和中心城区（首都功能核心区除外）生态环境准入清单的空间布局约束准入要求。</w:t>
                  </w:r>
                </w:p>
              </w:tc>
              <w:tc>
                <w:tcPr>
                  <w:tcW w:w="510" w:type="dxa"/>
                  <w:tcBorders>
                    <w:tl2br w:val="nil"/>
                    <w:tr2bl w:val="nil"/>
                  </w:tcBorders>
                  <w:vAlign w:val="center"/>
                </w:tcPr>
                <w:p w14:paraId="7C0E3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2BD3A7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75348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污染物排放管控</w:t>
                  </w:r>
                </w:p>
              </w:tc>
              <w:tc>
                <w:tcPr>
                  <w:tcW w:w="3037" w:type="dxa"/>
                  <w:tcBorders>
                    <w:tl2br w:val="nil"/>
                    <w:tr2bl w:val="nil"/>
                  </w:tcBorders>
                  <w:vAlign w:val="center"/>
                </w:tcPr>
                <w:p w14:paraId="1247C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1.执行重点管控类[街道（乡镇）]生态环境总体准入清单和中心城区（首都功能核心区除外）生态环境准入清单的污染物排放管控准入要求。</w:t>
                  </w:r>
                </w:p>
                <w:p w14:paraId="06242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r>
                    <w:rPr>
                      <w:rFonts w:hint="eastAsia"/>
                      <w:sz w:val="21"/>
                      <w:szCs w:val="21"/>
                      <w:vertAlign w:val="baseline"/>
                    </w:rPr>
                    <w:t>2.严格高污染燃料禁燃区管控，禁燃区内任何单位不得新建、扩建高污染燃料燃用设施，不得将其他燃料燃用设施改造为高污染燃料燃用设施。</w:t>
                  </w:r>
                </w:p>
              </w:tc>
              <w:tc>
                <w:tcPr>
                  <w:tcW w:w="3038" w:type="dxa"/>
                  <w:tcBorders>
                    <w:tl2br w:val="nil"/>
                    <w:tr2bl w:val="nil"/>
                  </w:tcBorders>
                  <w:vAlign w:val="center"/>
                </w:tcPr>
                <w:p w14:paraId="52B04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1.项目</w:t>
                  </w:r>
                  <w:r>
                    <w:rPr>
                      <w:rFonts w:hint="eastAsia"/>
                      <w:sz w:val="21"/>
                      <w:szCs w:val="21"/>
                      <w:vertAlign w:val="baseline"/>
                      <w:lang w:val="en-US" w:eastAsia="zh-CN"/>
                    </w:rPr>
                    <w:t>严格执行</w:t>
                  </w:r>
                  <w:r>
                    <w:rPr>
                      <w:rFonts w:hint="eastAsia"/>
                      <w:sz w:val="21"/>
                      <w:szCs w:val="21"/>
                      <w:vertAlign w:val="baseline"/>
                    </w:rPr>
                    <w:t>重点管控类[街道（乡镇）]生态环境总体准入清单和中心城区（首都功能核心区除外）生态环境准入清单的污染物排放管控准入要求。</w:t>
                  </w:r>
                </w:p>
                <w:p w14:paraId="362D8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2.项目</w:t>
                  </w:r>
                  <w:r>
                    <w:rPr>
                      <w:rFonts w:hint="eastAsia"/>
                      <w:sz w:val="21"/>
                      <w:szCs w:val="21"/>
                      <w:vertAlign w:val="baseline"/>
                      <w:lang w:val="en-US" w:eastAsia="zh-CN"/>
                    </w:rPr>
                    <w:t>不涉及燃料燃用</w:t>
                  </w:r>
                  <w:r>
                    <w:rPr>
                      <w:rFonts w:hint="eastAsia"/>
                      <w:sz w:val="21"/>
                      <w:szCs w:val="21"/>
                      <w:vertAlign w:val="baseline"/>
                    </w:rPr>
                    <w:t>。</w:t>
                  </w:r>
                </w:p>
                <w:p w14:paraId="1D681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sz w:val="21"/>
                      <w:szCs w:val="21"/>
                      <w:vertAlign w:val="baseline"/>
                    </w:rPr>
                  </w:pPr>
                </w:p>
              </w:tc>
              <w:tc>
                <w:tcPr>
                  <w:tcW w:w="510" w:type="dxa"/>
                  <w:tcBorders>
                    <w:tl2br w:val="nil"/>
                    <w:tr2bl w:val="nil"/>
                  </w:tcBorders>
                  <w:vAlign w:val="center"/>
                </w:tcPr>
                <w:p w14:paraId="26B31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r w14:paraId="7C3BE1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9687C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cs="Times New Roman"/>
                      <w:kern w:val="0"/>
                      <w:sz w:val="21"/>
                      <w:szCs w:val="21"/>
                      <w:highlight w:val="none"/>
                      <w:vertAlign w:val="baseline"/>
                      <w:lang w:val="en-US" w:eastAsia="zh-CN"/>
                    </w:rPr>
                    <w:t>环境风险防控</w:t>
                  </w:r>
                </w:p>
              </w:tc>
              <w:tc>
                <w:tcPr>
                  <w:tcW w:w="3037" w:type="dxa"/>
                  <w:tcBorders>
                    <w:tl2br w:val="nil"/>
                    <w:tr2bl w:val="nil"/>
                  </w:tcBorders>
                  <w:vAlign w:val="center"/>
                </w:tcPr>
                <w:p w14:paraId="7C8A60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eastAsia"/>
                      <w:sz w:val="21"/>
                      <w:szCs w:val="21"/>
                      <w:vertAlign w:val="baseline"/>
                      <w:lang w:val="en-US" w:eastAsia="zh-CN"/>
                    </w:rPr>
                    <w:t>1.执行重点管控类[街道（乡镇）]生态环境总体准入清单和中心城区（首都功能核心区除外）生态环境准入清单的环境风险防范准入要求。</w:t>
                  </w:r>
                </w:p>
              </w:tc>
              <w:tc>
                <w:tcPr>
                  <w:tcW w:w="3038" w:type="dxa"/>
                  <w:tcBorders>
                    <w:tl2br w:val="nil"/>
                    <w:tr2bl w:val="nil"/>
                  </w:tcBorders>
                  <w:vAlign w:val="center"/>
                </w:tcPr>
                <w:p w14:paraId="0FD9D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1.</w:t>
                  </w:r>
                  <w:r>
                    <w:rPr>
                      <w:rFonts w:hint="eastAsia"/>
                      <w:sz w:val="21"/>
                      <w:szCs w:val="21"/>
                      <w:vertAlign w:val="baseline"/>
                      <w:lang w:val="en-US" w:eastAsia="zh-CN"/>
                    </w:rPr>
                    <w:t>项目严格执行重点管控类[街道（乡镇）]生态环境总体准入清单和中心城区（首都功能核心区除外）生态环境准入清单的环境风险防范准入要求。</w:t>
                  </w:r>
                </w:p>
              </w:tc>
              <w:tc>
                <w:tcPr>
                  <w:tcW w:w="510" w:type="dxa"/>
                  <w:tcBorders>
                    <w:tl2br w:val="nil"/>
                    <w:tr2bl w:val="nil"/>
                  </w:tcBorders>
                  <w:vAlign w:val="center"/>
                </w:tcPr>
                <w:p w14:paraId="62A8F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符合</w:t>
                  </w:r>
                </w:p>
              </w:tc>
            </w:tr>
            <w:tr w14:paraId="053F8E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B37C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cs="Times New Roman"/>
                      <w:kern w:val="0"/>
                      <w:sz w:val="21"/>
                      <w:szCs w:val="21"/>
                      <w:highlight w:val="none"/>
                      <w:vertAlign w:val="baseline"/>
                      <w:lang w:val="en-US" w:eastAsia="zh-CN"/>
                    </w:rPr>
                    <w:t>资源利用效率要求</w:t>
                  </w:r>
                </w:p>
              </w:tc>
              <w:tc>
                <w:tcPr>
                  <w:tcW w:w="3037" w:type="dxa"/>
                  <w:tcBorders>
                    <w:tl2br w:val="nil"/>
                    <w:tr2bl w:val="nil"/>
                  </w:tcBorders>
                  <w:vAlign w:val="center"/>
                </w:tcPr>
                <w:p w14:paraId="49A03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rPr>
                  </w:pPr>
                  <w:r>
                    <w:rPr>
                      <w:rFonts w:hint="eastAsia"/>
                      <w:sz w:val="21"/>
                      <w:szCs w:val="21"/>
                      <w:vertAlign w:val="baseline"/>
                    </w:rPr>
                    <w:t>1.执行重点管控类[街道（乡镇）]生态环境总体准入清单和中心城区（首都功能核心区除外）生态环境准入清单的资源利用效率准入要求。</w:t>
                  </w:r>
                </w:p>
                <w:p w14:paraId="64F310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sz w:val="21"/>
                      <w:szCs w:val="21"/>
                      <w:vertAlign w:val="baseline"/>
                      <w:lang w:val="en-US" w:eastAsia="zh-CN"/>
                    </w:rPr>
                  </w:pPr>
                  <w:r>
                    <w:rPr>
                      <w:rFonts w:hint="eastAsia"/>
                      <w:sz w:val="21"/>
                      <w:szCs w:val="21"/>
                      <w:vertAlign w:val="baseline"/>
                    </w:rPr>
                    <w:t>2.执行《北京市水务局北京市规划和自然资源委员会关千划定北京市地下水禁止开采区、限制开采区、储备区及重要泉域保护范围的通知》中相关要求</w:t>
                  </w:r>
                  <w:r>
                    <w:rPr>
                      <w:rFonts w:hint="eastAsia"/>
                      <w:sz w:val="21"/>
                      <w:szCs w:val="21"/>
                      <w:vertAlign w:val="baseline"/>
                      <w:lang w:eastAsia="zh-CN"/>
                    </w:rPr>
                    <w:t>。</w:t>
                  </w:r>
                </w:p>
              </w:tc>
              <w:tc>
                <w:tcPr>
                  <w:tcW w:w="3038" w:type="dxa"/>
                  <w:tcBorders>
                    <w:tl2br w:val="nil"/>
                    <w:tr2bl w:val="nil"/>
                  </w:tcBorders>
                  <w:vAlign w:val="center"/>
                </w:tcPr>
                <w:p w14:paraId="41844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1.</w:t>
                  </w:r>
                  <w:r>
                    <w:rPr>
                      <w:rFonts w:hint="eastAsia"/>
                      <w:sz w:val="21"/>
                      <w:szCs w:val="21"/>
                      <w:vertAlign w:val="baseline"/>
                      <w:lang w:val="en-US" w:eastAsia="zh-CN"/>
                    </w:rPr>
                    <w:t>项目严格执行重点管控类[街道（乡镇）]生态环境总体准入清单和中心城区（首都功能核心区除外）生态环境准入清单的资源利用效率准入要求。</w:t>
                  </w:r>
                </w:p>
                <w:p w14:paraId="03239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sz w:val="21"/>
                      <w:szCs w:val="21"/>
                      <w:vertAlign w:val="baseline"/>
                      <w:lang w:val="en-US" w:eastAsia="zh-CN"/>
                    </w:rPr>
                  </w:pPr>
                  <w:r>
                    <w:rPr>
                      <w:rFonts w:hint="default" w:eastAsia="宋体"/>
                      <w:sz w:val="21"/>
                      <w:szCs w:val="21"/>
                      <w:vertAlign w:val="baseline"/>
                      <w:lang w:val="en-US" w:eastAsia="zh-CN"/>
                    </w:rPr>
                    <w:t>2.项目</w:t>
                  </w:r>
                  <w:r>
                    <w:rPr>
                      <w:rFonts w:hint="eastAsia"/>
                      <w:sz w:val="21"/>
                      <w:szCs w:val="21"/>
                      <w:vertAlign w:val="baseline"/>
                      <w:lang w:val="en-US" w:eastAsia="zh-CN"/>
                    </w:rPr>
                    <w:t>严格执行</w:t>
                  </w:r>
                  <w:r>
                    <w:rPr>
                      <w:rFonts w:hint="eastAsia"/>
                      <w:sz w:val="21"/>
                      <w:szCs w:val="21"/>
                      <w:vertAlign w:val="baseline"/>
                    </w:rPr>
                    <w:t>《北京市水务局北京市规划和自然资源委员会关千划定北京市地下水禁止开采区、限制开采区、储备区及重要泉域保护范围的通知》中相关要求</w:t>
                  </w:r>
                  <w:r>
                    <w:rPr>
                      <w:rFonts w:hint="eastAsia"/>
                      <w:sz w:val="21"/>
                      <w:szCs w:val="21"/>
                      <w:vertAlign w:val="baseline"/>
                      <w:lang w:eastAsia="zh-CN"/>
                    </w:rPr>
                    <w:t>。</w:t>
                  </w:r>
                </w:p>
              </w:tc>
              <w:tc>
                <w:tcPr>
                  <w:tcW w:w="510" w:type="dxa"/>
                  <w:tcBorders>
                    <w:tl2br w:val="nil"/>
                    <w:tr2bl w:val="nil"/>
                  </w:tcBorders>
                  <w:vAlign w:val="center"/>
                </w:tcPr>
                <w:p w14:paraId="35839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符合</w:t>
                  </w:r>
                </w:p>
              </w:tc>
            </w:tr>
          </w:tbl>
          <w:p w14:paraId="55399E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综上所述，本项目符合北京市生态环境分区管控（“三线一单”）的要求。</w:t>
            </w:r>
          </w:p>
          <w:p w14:paraId="35628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3、选址合理性分析</w:t>
            </w:r>
          </w:p>
          <w:p w14:paraId="319AA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rPr>
              <w:t>本项目位于北京市丰台区怡海路2号5幢一层2-2室，根据建设单位提供的房权证（</w:t>
            </w:r>
            <w:r>
              <w:rPr>
                <w:rFonts w:hint="eastAsia"/>
                <w:highlight w:val="none"/>
                <w:vertAlign w:val="baseline"/>
              </w:rPr>
              <w:t>京房权证</w:t>
            </w:r>
            <w:r>
              <w:rPr>
                <w:rFonts w:hint="eastAsia"/>
                <w:highlight w:val="none"/>
                <w:vertAlign w:val="baseline"/>
                <w:lang w:val="en-US" w:eastAsia="zh-CN"/>
              </w:rPr>
              <w:t>市半涉外</w:t>
            </w:r>
            <w:r>
              <w:rPr>
                <w:rFonts w:hint="eastAsia"/>
                <w:highlight w:val="none"/>
                <w:vertAlign w:val="baseline"/>
              </w:rPr>
              <w:t>字</w:t>
            </w:r>
            <w:r>
              <w:rPr>
                <w:rFonts w:hint="eastAsia"/>
                <w:highlight w:val="none"/>
                <w:vertAlign w:val="baseline"/>
                <w:lang w:val="en-US" w:eastAsia="zh-CN"/>
              </w:rPr>
              <w:t>第1670590号</w:t>
            </w:r>
            <w:r>
              <w:rPr>
                <w:rFonts w:hint="eastAsia"/>
                <w:vertAlign w:val="baseline"/>
              </w:rPr>
              <w:t>），</w:t>
            </w:r>
            <w:r>
              <w:rPr>
                <w:rFonts w:hint="eastAsia"/>
                <w:vertAlign w:val="baseline"/>
                <w:lang w:val="en-US" w:eastAsia="zh-CN"/>
              </w:rPr>
              <w:t>房屋规划性质为商业服务，用于从事动物医院经营，符合房屋规划性质要求。</w:t>
            </w:r>
          </w:p>
          <w:p w14:paraId="04B6D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4、碳排放</w:t>
            </w:r>
          </w:p>
          <w:p w14:paraId="2B2FC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本项目为动物医院项目，属于《国民经济行业分类》（GB/T4754-2017）中“O8222宠物医院服务”，二氧化碳排放应按照《二氧化碳排放核算和报告要求 服务业》（DB11/T 1785-2020）的相关要求进行核算。本项目不使用化石燃料，无化石燃料消耗。项目主要使用外购电力和热力（冬季采暖），其二氧化碳排放核算如下：</w:t>
            </w:r>
          </w:p>
          <w:p w14:paraId="700181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（1）碳排放量</w:t>
            </w:r>
          </w:p>
          <w:p w14:paraId="6ED8E7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①消耗外购电力产生的排放</w:t>
            </w:r>
          </w:p>
          <w:p w14:paraId="7CE818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val="en-US" w:eastAsia="zh-CN"/>
              </w:rPr>
            </w:pPr>
            <w:r>
              <w:rPr>
                <w:rFonts w:hint="eastAsia"/>
                <w:vertAlign w:val="baseline"/>
                <w:lang w:val="en-US" w:eastAsia="zh-CN"/>
              </w:rPr>
              <w:t>报告主体消耗外购电力产生的二氧化碳排放量E外购电按下式计算：</w:t>
            </w:r>
          </w:p>
          <w:p w14:paraId="72BD54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eastAsia="楷体"/>
                <w:color w:val="auto"/>
                <w:position w:val="-14"/>
                <w:highlight w:val="none"/>
                <w:lang w:eastAsia="zh-CN"/>
              </w:rPr>
              <w:object>
                <v:shape id="_x0000_i1025" o:spt="75" type="#_x0000_t75" style="height:19pt;width:114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14:paraId="4AC4CC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式中：</w:t>
            </w:r>
          </w:p>
          <w:p w14:paraId="2B9D9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E</w:t>
            </w:r>
            <w:r>
              <w:rPr>
                <w:rFonts w:hint="eastAsia"/>
                <w:vertAlign w:val="subscript"/>
                <w:lang w:val="en-US" w:eastAsia="zh-CN"/>
              </w:rPr>
              <w:t>外购电</w:t>
            </w:r>
            <w:r>
              <w:rPr>
                <w:rFonts w:hint="eastAsia"/>
                <w:vertAlign w:val="baseline"/>
                <w:lang w:val="en-US" w:eastAsia="zh-CN"/>
              </w:rPr>
              <w:t>—消耗外购电力产生的二氧化碳排放量，单位为（tCO</w:t>
            </w:r>
            <w:r>
              <w:rPr>
                <w:rFonts w:hint="eastAsia"/>
                <w:vertAlign w:val="subscript"/>
                <w:lang w:val="en-US" w:eastAsia="zh-CN"/>
              </w:rPr>
              <w:t>2</w:t>
            </w:r>
            <w:r>
              <w:rPr>
                <w:rFonts w:hint="eastAsia"/>
                <w:vertAlign w:val="baseline"/>
                <w:lang w:val="en-US" w:eastAsia="zh-CN"/>
              </w:rPr>
              <w:t>/a）；</w:t>
            </w:r>
          </w:p>
          <w:p w14:paraId="47B18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AD</w:t>
            </w:r>
            <w:r>
              <w:rPr>
                <w:rFonts w:hint="eastAsia"/>
                <w:vertAlign w:val="subscript"/>
              </w:rPr>
              <w:t>外购电</w:t>
            </w:r>
            <w:r>
              <w:rPr>
                <w:rFonts w:hint="eastAsia"/>
                <w:vertAlign w:val="baseline"/>
              </w:rPr>
              <w:t>—报告主体核算和报告年度内消耗外购电力电量，单位为兆瓦时（MWh）；</w:t>
            </w:r>
          </w:p>
          <w:p w14:paraId="22873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EF</w:t>
            </w:r>
            <w:r>
              <w:rPr>
                <w:rFonts w:hint="eastAsia"/>
                <w:vertAlign w:val="subscript"/>
              </w:rPr>
              <w:t>电</w:t>
            </w:r>
            <w:r>
              <w:rPr>
                <w:rFonts w:hint="eastAsia"/>
                <w:vertAlign w:val="baseline"/>
              </w:rPr>
              <w:t>—电网年平均供电排放因子，单位为吨二氧化碳每兆瓦时（tCO</w:t>
            </w:r>
            <w:r>
              <w:rPr>
                <w:rFonts w:hint="eastAsia"/>
                <w:vertAlign w:val="subscript"/>
              </w:rPr>
              <w:t>2</w:t>
            </w:r>
            <w:r>
              <w:rPr>
                <w:rFonts w:hint="eastAsia"/>
                <w:vertAlign w:val="baseline"/>
              </w:rPr>
              <w:t>/MWh）。</w:t>
            </w:r>
          </w:p>
          <w:p w14:paraId="6E1EEF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本项目年耗电量为</w:t>
            </w:r>
            <w:r>
              <w:rPr>
                <w:rFonts w:hint="eastAsia"/>
                <w:vertAlign w:val="baseline"/>
                <w:lang w:val="en-US" w:eastAsia="zh-CN"/>
              </w:rPr>
              <w:t>2</w:t>
            </w:r>
            <w:r>
              <w:rPr>
                <w:rFonts w:hint="eastAsia"/>
                <w:vertAlign w:val="baseline"/>
              </w:rPr>
              <w:t>万度，即</w:t>
            </w:r>
            <w:r>
              <w:rPr>
                <w:rFonts w:hint="eastAsia"/>
                <w:vertAlign w:val="baseline"/>
                <w:lang w:val="en-US" w:eastAsia="zh-CN"/>
              </w:rPr>
              <w:t>20</w:t>
            </w:r>
            <w:r>
              <w:rPr>
                <w:rFonts w:hint="eastAsia"/>
                <w:vertAlign w:val="baseline"/>
              </w:rPr>
              <w:t>兆瓦时。根据《二氧化碳排放核算和报告要求 服务业》（DB11/T 1785-2020）中附录A中表A.2推荐的供电排放因子数据，EF</w:t>
            </w:r>
            <w:r>
              <w:rPr>
                <w:rFonts w:hint="eastAsia"/>
                <w:vertAlign w:val="subscript"/>
              </w:rPr>
              <w:t>电</w:t>
            </w:r>
            <w:r>
              <w:rPr>
                <w:rFonts w:hint="eastAsia"/>
                <w:vertAlign w:val="baseline"/>
              </w:rPr>
              <w:t>取值为0.604。通过计算可知，项目外购电力产生的二氧化碳排放量为</w:t>
            </w:r>
            <w:r>
              <w:rPr>
                <w:rFonts w:hint="eastAsia"/>
                <w:vertAlign w:val="baseline"/>
                <w:lang w:val="en-US" w:eastAsia="zh-CN"/>
              </w:rPr>
              <w:t>12.08</w:t>
            </w:r>
            <w:r>
              <w:rPr>
                <w:rFonts w:hint="eastAsia"/>
                <w:vertAlign w:val="baseline"/>
              </w:rPr>
              <w:t>tCO</w:t>
            </w:r>
            <w:r>
              <w:rPr>
                <w:rFonts w:hint="eastAsia"/>
                <w:vertAlign w:val="subscript"/>
              </w:rPr>
              <w:t>2</w:t>
            </w:r>
            <w:r>
              <w:rPr>
                <w:rFonts w:hint="eastAsia"/>
                <w:vertAlign w:val="baseline"/>
              </w:rPr>
              <w:t>/a。</w:t>
            </w:r>
          </w:p>
          <w:p w14:paraId="62FA98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eastAsia="zh-CN"/>
              </w:rPr>
            </w:pPr>
            <w:r>
              <w:rPr>
                <w:rFonts w:hint="eastAsia"/>
                <w:vertAlign w:val="baseline"/>
                <w:lang w:val="en-US" w:eastAsia="zh-CN"/>
              </w:rPr>
              <w:t>②</w:t>
            </w:r>
            <w:r>
              <w:rPr>
                <w:rFonts w:hint="eastAsia"/>
                <w:vertAlign w:val="baseline"/>
                <w:lang w:eastAsia="zh-CN"/>
              </w:rPr>
              <w:t>消耗外购热力产生的排放</w:t>
            </w:r>
          </w:p>
          <w:p w14:paraId="4AE0AE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报告主体消耗外购热力产生的二氧化碳排放量E外购电按下式计算：</w:t>
            </w:r>
          </w:p>
          <w:p w14:paraId="45828B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vertAlign w:val="baseline"/>
              </w:rPr>
            </w:pPr>
            <w:r>
              <w:rPr>
                <w:rFonts w:hint="eastAsia" w:eastAsia="楷体"/>
                <w:color w:val="auto"/>
                <w:position w:val="-14"/>
                <w:highlight w:val="none"/>
                <w:lang w:eastAsia="zh-CN"/>
              </w:rPr>
              <w:object>
                <v:shape id="_x0000_i1026" o:spt="75" type="#_x0000_t75" style="height:19pt;width:163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14:paraId="6285B2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式中：</w:t>
            </w:r>
          </w:p>
          <w:p w14:paraId="4E1527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E</w:t>
            </w:r>
            <w:r>
              <w:rPr>
                <w:rFonts w:hint="eastAsia"/>
                <w:vertAlign w:val="subscript"/>
                <w:lang w:val="en-US" w:eastAsia="zh-CN"/>
              </w:rPr>
              <w:t>外购热（热水）</w:t>
            </w:r>
            <w:r>
              <w:rPr>
                <w:rFonts w:hint="eastAsia"/>
                <w:vertAlign w:val="baseline"/>
                <w:lang w:val="en-US" w:eastAsia="zh-CN"/>
              </w:rPr>
              <w:t>—消耗外购热力产生的二氧化碳排放量，单位为（tCO</w:t>
            </w:r>
            <w:r>
              <w:rPr>
                <w:rFonts w:hint="eastAsia"/>
                <w:vertAlign w:val="subscript"/>
                <w:lang w:val="en-US" w:eastAsia="zh-CN"/>
              </w:rPr>
              <w:t>2</w:t>
            </w:r>
            <w:r>
              <w:rPr>
                <w:rFonts w:hint="eastAsia"/>
                <w:vertAlign w:val="baseline"/>
                <w:lang w:val="en-US" w:eastAsia="zh-CN"/>
              </w:rPr>
              <w:t>/a）；</w:t>
            </w:r>
          </w:p>
          <w:p w14:paraId="56F8A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AD</w:t>
            </w:r>
            <w:r>
              <w:rPr>
                <w:rFonts w:hint="eastAsia"/>
                <w:vertAlign w:val="subscript"/>
              </w:rPr>
              <w:t>外购</w:t>
            </w:r>
            <w:r>
              <w:rPr>
                <w:rFonts w:hint="eastAsia"/>
                <w:vertAlign w:val="subscript"/>
                <w:lang w:val="en-US" w:eastAsia="zh-CN"/>
              </w:rPr>
              <w:t>热（热水）</w:t>
            </w:r>
            <w:r>
              <w:rPr>
                <w:rFonts w:hint="eastAsia"/>
                <w:vertAlign w:val="baseline"/>
              </w:rPr>
              <w:t>—报告主体核算和报告年度内消耗外购</w:t>
            </w:r>
            <w:r>
              <w:rPr>
                <w:rFonts w:hint="eastAsia"/>
                <w:vertAlign w:val="baseline"/>
                <w:lang w:val="en-US" w:eastAsia="zh-CN"/>
              </w:rPr>
              <w:t>热力热量</w:t>
            </w:r>
            <w:r>
              <w:rPr>
                <w:rFonts w:hint="eastAsia"/>
                <w:vertAlign w:val="baseline"/>
              </w:rPr>
              <w:t>，单位为</w:t>
            </w:r>
            <w:r>
              <w:rPr>
                <w:rFonts w:hint="eastAsia"/>
                <w:vertAlign w:val="baseline"/>
                <w:lang w:val="en-US" w:eastAsia="zh-CN"/>
              </w:rPr>
              <w:t>吉焦</w:t>
            </w:r>
            <w:r>
              <w:rPr>
                <w:rFonts w:hint="eastAsia"/>
                <w:vertAlign w:val="baseline"/>
              </w:rPr>
              <w:t>（</w:t>
            </w:r>
            <w:r>
              <w:rPr>
                <w:rFonts w:hint="eastAsia"/>
                <w:vertAlign w:val="baseline"/>
                <w:lang w:val="en-US" w:eastAsia="zh-CN"/>
              </w:rPr>
              <w:t>GJ</w:t>
            </w:r>
            <w:r>
              <w:rPr>
                <w:rFonts w:hint="eastAsia"/>
                <w:vertAlign w:val="baseline"/>
              </w:rPr>
              <w:t>）；</w:t>
            </w:r>
          </w:p>
          <w:p w14:paraId="15C1D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EF</w:t>
            </w:r>
            <w:r>
              <w:rPr>
                <w:rFonts w:hint="eastAsia"/>
                <w:vertAlign w:val="subscript"/>
                <w:lang w:val="en-US" w:eastAsia="zh-CN"/>
              </w:rPr>
              <w:t>热</w:t>
            </w:r>
            <w:r>
              <w:rPr>
                <w:rFonts w:hint="eastAsia"/>
                <w:vertAlign w:val="baseline"/>
              </w:rPr>
              <w:t>—</w:t>
            </w:r>
            <w:r>
              <w:rPr>
                <w:rFonts w:hint="eastAsia"/>
                <w:vertAlign w:val="baseline"/>
                <w:lang w:val="en-US" w:eastAsia="zh-CN"/>
              </w:rPr>
              <w:t>热力供应</w:t>
            </w:r>
            <w:r>
              <w:rPr>
                <w:rFonts w:hint="eastAsia"/>
                <w:vertAlign w:val="baseline"/>
              </w:rPr>
              <w:t>排放因子，单位为吨二氧化碳每</w:t>
            </w:r>
            <w:r>
              <w:rPr>
                <w:rFonts w:hint="eastAsia"/>
                <w:vertAlign w:val="baseline"/>
                <w:lang w:val="en-US" w:eastAsia="zh-CN"/>
              </w:rPr>
              <w:t>吉焦</w:t>
            </w:r>
            <w:r>
              <w:rPr>
                <w:rFonts w:hint="eastAsia"/>
                <w:vertAlign w:val="baseline"/>
              </w:rPr>
              <w:t>（tCO</w:t>
            </w:r>
            <w:r>
              <w:rPr>
                <w:rFonts w:hint="eastAsia"/>
                <w:vertAlign w:val="subscript"/>
              </w:rPr>
              <w:t>2</w:t>
            </w:r>
            <w:r>
              <w:rPr>
                <w:rFonts w:hint="eastAsia"/>
                <w:vertAlign w:val="baseline"/>
              </w:rPr>
              <w:t>/</w:t>
            </w:r>
            <w:r>
              <w:rPr>
                <w:rFonts w:hint="eastAsia"/>
                <w:vertAlign w:val="baseline"/>
                <w:lang w:val="en-US" w:eastAsia="zh-CN"/>
              </w:rPr>
              <w:t>GJ</w:t>
            </w:r>
            <w:r>
              <w:rPr>
                <w:rFonts w:hint="eastAsia"/>
                <w:vertAlign w:val="baseline"/>
              </w:rPr>
              <w:t>）。</w:t>
            </w:r>
          </w:p>
          <w:p w14:paraId="73BD23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其中AD</w:t>
            </w:r>
            <w:r>
              <w:rPr>
                <w:rFonts w:hint="eastAsia"/>
                <w:vertAlign w:val="subscript"/>
              </w:rPr>
              <w:t>外购热（热水）</w:t>
            </w:r>
            <w:r>
              <w:rPr>
                <w:rFonts w:hint="eastAsia"/>
                <w:vertAlign w:val="baseline"/>
              </w:rPr>
              <w:t>取值按照供暖季1个吉焦可供热1.5</w:t>
            </w:r>
            <w:r>
              <w:rPr>
                <w:rFonts w:hint="eastAsia"/>
                <w:vertAlign w:val="baseline"/>
                <w:lang w:val="en-US" w:eastAsia="zh-CN"/>
              </w:rPr>
              <w:t>~</w:t>
            </w:r>
            <w:r>
              <w:rPr>
                <w:rFonts w:hint="eastAsia"/>
                <w:vertAlign w:val="baseline"/>
              </w:rPr>
              <w:t>3m</w:t>
            </w:r>
            <w:r>
              <w:rPr>
                <w:rFonts w:hint="eastAsia"/>
                <w:vertAlign w:val="superscript"/>
              </w:rPr>
              <w:t>2</w:t>
            </w:r>
            <w:r>
              <w:rPr>
                <w:rFonts w:hint="eastAsia"/>
                <w:vertAlign w:val="baseline"/>
              </w:rPr>
              <w:t>面积，取2m</w:t>
            </w:r>
            <w:r>
              <w:rPr>
                <w:rFonts w:hint="eastAsia"/>
                <w:vertAlign w:val="superscript"/>
              </w:rPr>
              <w:t>2</w:t>
            </w:r>
            <w:r>
              <w:rPr>
                <w:rFonts w:hint="eastAsia"/>
                <w:vertAlign w:val="baseline"/>
              </w:rPr>
              <w:t>数值。项目建筑面积</w:t>
            </w:r>
            <w:r>
              <w:rPr>
                <w:rFonts w:hint="eastAsia"/>
                <w:vertAlign w:val="baseline"/>
                <w:lang w:val="en-US" w:eastAsia="zh-CN"/>
              </w:rPr>
              <w:t>247.00</w:t>
            </w:r>
            <w:r>
              <w:rPr>
                <w:rFonts w:hint="eastAsia"/>
                <w:vertAlign w:val="baseline"/>
              </w:rPr>
              <w:t>m</w:t>
            </w:r>
            <w:r>
              <w:rPr>
                <w:rFonts w:hint="eastAsia"/>
                <w:vertAlign w:val="superscript"/>
              </w:rPr>
              <w:t>2</w:t>
            </w:r>
            <w:r>
              <w:rPr>
                <w:rFonts w:hint="eastAsia"/>
                <w:vertAlign w:val="baseline"/>
              </w:rPr>
              <w:t>，计算后为每年消耗热量</w:t>
            </w:r>
            <w:r>
              <w:rPr>
                <w:rFonts w:hint="eastAsia"/>
                <w:vertAlign w:val="baseline"/>
                <w:lang w:val="en-US" w:eastAsia="zh-CN"/>
              </w:rPr>
              <w:t>123.5</w:t>
            </w:r>
            <w:r>
              <w:rPr>
                <w:rFonts w:hint="eastAsia"/>
                <w:vertAlign w:val="baseline"/>
              </w:rPr>
              <w:t>GJ。根据《二氧化碳排放核算和报告要求 服务业》（DB11/T 1785-2020）中附录A中表A.2推荐的热力供应排放因子数据，EF</w:t>
            </w:r>
            <w:r>
              <w:rPr>
                <w:rFonts w:hint="eastAsia"/>
                <w:vertAlign w:val="subscript"/>
              </w:rPr>
              <w:t>热</w:t>
            </w:r>
            <w:r>
              <w:rPr>
                <w:rFonts w:hint="eastAsia"/>
                <w:vertAlign w:val="baseline"/>
              </w:rPr>
              <w:t>取值为0.11。通过计算可知，项目外购</w:t>
            </w:r>
            <w:r>
              <w:rPr>
                <w:rFonts w:hint="eastAsia"/>
                <w:vertAlign w:val="baseline"/>
                <w:lang w:val="en-US" w:eastAsia="zh-CN"/>
              </w:rPr>
              <w:t>热力</w:t>
            </w:r>
            <w:r>
              <w:rPr>
                <w:rFonts w:hint="eastAsia"/>
                <w:vertAlign w:val="baseline"/>
              </w:rPr>
              <w:t>产生的二氧化碳排放量为</w:t>
            </w:r>
            <w:r>
              <w:rPr>
                <w:rFonts w:hint="eastAsia"/>
                <w:vertAlign w:val="baseline"/>
                <w:lang w:val="en-US" w:eastAsia="zh-CN"/>
              </w:rPr>
              <w:t>13.59</w:t>
            </w:r>
            <w:r>
              <w:rPr>
                <w:rFonts w:hint="eastAsia"/>
                <w:vertAlign w:val="baseline"/>
              </w:rPr>
              <w:t>tCO</w:t>
            </w:r>
            <w:r>
              <w:rPr>
                <w:rFonts w:hint="eastAsia"/>
                <w:vertAlign w:val="subscript"/>
              </w:rPr>
              <w:t>2</w:t>
            </w:r>
            <w:r>
              <w:rPr>
                <w:rFonts w:hint="eastAsia"/>
                <w:vertAlign w:val="baseline"/>
              </w:rPr>
              <w:t>/a。</w:t>
            </w:r>
          </w:p>
          <w:p w14:paraId="735E5F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③二氧化碳排放</w:t>
            </w:r>
          </w:p>
          <w:p w14:paraId="108334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vertAlign w:val="baseline"/>
                <w:lang w:val="en-US" w:eastAsia="zh-CN"/>
              </w:rPr>
            </w:pPr>
            <w:r>
              <w:rPr>
                <w:rFonts w:hint="eastAsia"/>
                <w:vertAlign w:val="baseline"/>
                <w:lang w:val="en-US" w:eastAsia="zh-CN"/>
              </w:rPr>
              <w:t>综上，本项目外购电力和热力</w:t>
            </w:r>
            <w:r>
              <w:rPr>
                <w:rFonts w:hint="eastAsia"/>
                <w:vertAlign w:val="baseline"/>
              </w:rPr>
              <w:t>产生的二氧化碳排放</w:t>
            </w:r>
            <w:r>
              <w:rPr>
                <w:rFonts w:hint="eastAsia"/>
                <w:vertAlign w:val="baseline"/>
                <w:lang w:val="en-US" w:eastAsia="zh-CN"/>
              </w:rPr>
              <w:t>总</w:t>
            </w:r>
            <w:r>
              <w:rPr>
                <w:rFonts w:hint="eastAsia"/>
                <w:vertAlign w:val="baseline"/>
              </w:rPr>
              <w:t>量</w:t>
            </w:r>
            <w:r>
              <w:rPr>
                <w:rFonts w:hint="eastAsia"/>
                <w:vertAlign w:val="baseline"/>
                <w:lang w:val="en-US" w:eastAsia="zh-CN"/>
              </w:rPr>
              <w:t>为：12.08tCO</w:t>
            </w:r>
            <w:r>
              <w:rPr>
                <w:rFonts w:hint="eastAsia"/>
                <w:vertAlign w:val="subscript"/>
                <w:lang w:val="en-US" w:eastAsia="zh-CN"/>
              </w:rPr>
              <w:t>2</w:t>
            </w:r>
            <w:r>
              <w:rPr>
                <w:rFonts w:hint="eastAsia"/>
                <w:vertAlign w:val="baseline"/>
                <w:lang w:val="en-US" w:eastAsia="zh-CN"/>
              </w:rPr>
              <w:t>/a+13.59tCO</w:t>
            </w:r>
            <w:r>
              <w:rPr>
                <w:rFonts w:hint="eastAsia"/>
                <w:vertAlign w:val="subscript"/>
                <w:lang w:val="en-US" w:eastAsia="zh-CN"/>
              </w:rPr>
              <w:t>2</w:t>
            </w:r>
            <w:r>
              <w:rPr>
                <w:rFonts w:hint="eastAsia"/>
                <w:vertAlign w:val="baseline"/>
                <w:lang w:val="en-US" w:eastAsia="zh-CN"/>
              </w:rPr>
              <w:t>/a=25.67tCO</w:t>
            </w:r>
            <w:r>
              <w:rPr>
                <w:rFonts w:hint="eastAsia"/>
                <w:vertAlign w:val="subscript"/>
                <w:lang w:val="en-US" w:eastAsia="zh-CN"/>
              </w:rPr>
              <w:t>2</w:t>
            </w:r>
            <w:r>
              <w:rPr>
                <w:rFonts w:hint="eastAsia"/>
                <w:vertAlign w:val="baseline"/>
                <w:lang w:val="en-US" w:eastAsia="zh-CN"/>
              </w:rPr>
              <w:t>/a</w:t>
            </w:r>
          </w:p>
          <w:p w14:paraId="0A4BE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eastAsia"/>
                <w:vertAlign w:val="baseline"/>
                <w:lang w:val="en-US" w:eastAsia="zh-CN"/>
              </w:rPr>
              <w:t>本项目</w:t>
            </w:r>
            <w:r>
              <w:rPr>
                <w:rFonts w:hint="eastAsia"/>
                <w:vertAlign w:val="baseline"/>
              </w:rPr>
              <w:t>产生的二氧化碳排放</w:t>
            </w:r>
            <w:r>
              <w:rPr>
                <w:rFonts w:hint="eastAsia"/>
                <w:vertAlign w:val="baseline"/>
                <w:lang w:val="en-US" w:eastAsia="zh-CN"/>
              </w:rPr>
              <w:t>总</w:t>
            </w:r>
            <w:r>
              <w:rPr>
                <w:rFonts w:hint="eastAsia"/>
                <w:vertAlign w:val="baseline"/>
              </w:rPr>
              <w:t>量</w:t>
            </w:r>
            <w:r>
              <w:rPr>
                <w:rFonts w:hint="eastAsia"/>
                <w:vertAlign w:val="baseline"/>
                <w:lang w:val="en-US" w:eastAsia="zh-CN"/>
              </w:rPr>
              <w:t>25.67tCO</w:t>
            </w:r>
            <w:r>
              <w:rPr>
                <w:rFonts w:hint="eastAsia"/>
                <w:vertAlign w:val="subscript"/>
                <w:lang w:val="en-US" w:eastAsia="zh-CN"/>
              </w:rPr>
              <w:t>2</w:t>
            </w:r>
            <w:r>
              <w:rPr>
                <w:rFonts w:hint="eastAsia"/>
                <w:vertAlign w:val="baseline"/>
                <w:lang w:val="en-US" w:eastAsia="zh-CN"/>
              </w:rPr>
              <w:t>/a＜5000tCO</w:t>
            </w:r>
            <w:r>
              <w:rPr>
                <w:rFonts w:hint="eastAsia"/>
                <w:vertAlign w:val="subscript"/>
                <w:lang w:val="en-US" w:eastAsia="zh-CN"/>
              </w:rPr>
              <w:t>2</w:t>
            </w:r>
            <w:r>
              <w:rPr>
                <w:rFonts w:hint="eastAsia"/>
                <w:vertAlign w:val="baseline"/>
                <w:lang w:val="en-US" w:eastAsia="zh-CN"/>
              </w:rPr>
              <w:t>/a，不属于重点排放单位。</w:t>
            </w:r>
          </w:p>
          <w:p w14:paraId="4F78E4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vertAlign w:val="baseline"/>
                <w:lang w:val="en-US" w:eastAsia="zh-CN"/>
              </w:rPr>
            </w:pPr>
            <w:r>
              <w:rPr>
                <w:rFonts w:hint="eastAsia"/>
                <w:vertAlign w:val="baseline"/>
                <w:lang w:val="en-US" w:eastAsia="zh-CN"/>
              </w:rPr>
              <w:t>（2）碳排放强度先进值</w:t>
            </w:r>
          </w:p>
          <w:p w14:paraId="1C0F3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vertAlign w:val="baseline"/>
              </w:rPr>
            </w:pPr>
            <w:r>
              <w:rPr>
                <w:rFonts w:hint="eastAsia"/>
                <w:vertAlign w:val="baseline"/>
              </w:rPr>
              <w:t>本项目所在行业不属于北京市发展和改革委员会《关于发布行业碳排放强度先进值的通知》（京发改[2014]905号），及该部门分别于2015年4月13日和2016年8月26日发布的《关于发布本市第二批行业碳排放强度先进值的通知》和《关于发布本市第三批行业碳排放强度先进值的通知》中所列行业。现阶段尚未有与本项目相应行业的碳排放强度先进值参考数据，故本报告不对该项内容进行计算和对照。</w:t>
            </w:r>
          </w:p>
          <w:p w14:paraId="3ED2D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本项目优先选用节能低耗的设备，符合碳排放的相关政策</w:t>
            </w:r>
          </w:p>
          <w:p w14:paraId="28F73E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vertAlign w:val="baseline"/>
                <w:lang w:val="en-US" w:eastAsia="zh-CN"/>
              </w:rPr>
            </w:pPr>
            <w:r>
              <w:rPr>
                <w:rFonts w:hint="eastAsia"/>
                <w:vertAlign w:val="baseline"/>
                <w:lang w:val="en-US" w:eastAsia="zh-CN"/>
              </w:rPr>
              <w:t>5、环境影响评价依据</w:t>
            </w:r>
          </w:p>
          <w:p w14:paraId="5F862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r>
              <w:rPr>
                <w:rFonts w:hint="eastAsia"/>
                <w:vertAlign w:val="baseline"/>
              </w:rPr>
              <w:t>根据《中华人民共和国环境保护法》（2015年1月1日施行）、《中华人民共和国环境影响评价法》（2018年12月29日修订）和《国务院关于修改&lt;建设项目环境保护管理条例&gt;的决定》（国务院令第682号）中的有关规定，本项目需进行环境影响评价。根据《建设项目环境影响评价分类管理名录》（2021年版），以及《建设项目环境影响评价分类管理名录》北京市实施细化规定（2022年本）中的分类要求。本项目属于“五十、社会事业与服务业，123、动物医院。项目设有动物颅腔、胸腔及腹腔手术设施，具有开展相关手术的能力，故应编制环境影响报告表。</w:t>
            </w:r>
          </w:p>
          <w:p w14:paraId="1AF355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70DAE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A94C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1640E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A2109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2ED97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834E3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45485A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725BF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6BB77C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p w14:paraId="0196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vertAlign w:val="baseline"/>
              </w:rPr>
            </w:pPr>
          </w:p>
        </w:tc>
      </w:tr>
    </w:tbl>
    <w:p w14:paraId="3BD8A1B5">
      <w:pPr>
        <w:sectPr>
          <w:footerReference r:id="rId5" w:type="default"/>
          <w:pgSz w:w="11906" w:h="16838"/>
          <w:pgMar w:top="1440" w:right="1587" w:bottom="1440" w:left="1587" w:header="964" w:footer="964" w:gutter="0"/>
          <w:pgBorders>
            <w:top w:val="none" w:sz="0" w:space="0"/>
            <w:left w:val="none" w:sz="0" w:space="0"/>
            <w:bottom w:val="none" w:sz="0" w:space="0"/>
            <w:right w:val="none" w:sz="0" w:space="0"/>
          </w:pgBorders>
          <w:pgNumType w:fmt="decimal" w:start="1"/>
          <w:cols w:space="425" w:num="1"/>
          <w:docGrid w:type="lines" w:linePitch="312" w:charSpace="0"/>
        </w:sectPr>
      </w:pPr>
    </w:p>
    <w:p w14:paraId="575229FB">
      <w:pPr>
        <w:pStyle w:val="2"/>
        <w:bidi w:val="0"/>
        <w:rPr>
          <w:rFonts w:hint="default"/>
          <w:lang w:val="en-US" w:eastAsia="zh-CN"/>
        </w:rPr>
      </w:pPr>
      <w:r>
        <w:rPr>
          <w:rFonts w:hint="eastAsia"/>
          <w:lang w:val="en-US" w:eastAsia="zh-CN"/>
        </w:rPr>
        <w:t>二、建设项目工程分析</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373E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F6CB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vertAlign w:val="baseline"/>
                <w:lang w:val="en-US" w:eastAsia="zh-CN"/>
              </w:rPr>
            </w:pPr>
            <w:r>
              <w:rPr>
                <w:rFonts w:hint="eastAsia"/>
                <w:vertAlign w:val="baseline"/>
                <w:lang w:val="en-US" w:eastAsia="zh-CN"/>
              </w:rPr>
              <w:t>建设内容</w:t>
            </w:r>
          </w:p>
        </w:tc>
        <w:tc>
          <w:tcPr>
            <w:tcW w:w="8239" w:type="dxa"/>
            <w:vAlign w:val="center"/>
          </w:tcPr>
          <w:p w14:paraId="7638889D">
            <w:pPr>
              <w:rPr>
                <w:rFonts w:hint="default" w:eastAsia="宋体"/>
                <w:vertAlign w:val="baseline"/>
                <w:lang w:val="en-US" w:eastAsia="zh-CN"/>
              </w:rPr>
            </w:pPr>
            <w:r>
              <w:rPr>
                <w:rFonts w:hint="eastAsia"/>
                <w:vertAlign w:val="baseline"/>
                <w:lang w:val="en-US" w:eastAsia="zh-CN"/>
              </w:rPr>
              <w:t>1、项目建设内容及规模</w:t>
            </w:r>
          </w:p>
          <w:p w14:paraId="45B602CB">
            <w:pPr>
              <w:rPr>
                <w:rFonts w:hint="eastAsia"/>
                <w:vertAlign w:val="baseline"/>
                <w:lang w:val="en-US" w:eastAsia="zh-CN"/>
              </w:rPr>
            </w:pPr>
            <w:r>
              <w:rPr>
                <w:rFonts w:hint="eastAsia"/>
                <w:vertAlign w:val="baseline"/>
                <w:lang w:val="en-US" w:eastAsia="zh-CN"/>
              </w:rPr>
              <w:t>建设内容：本项目租用北京市丰台区怡海路2号5幢一层2-2室，建筑面积247.00m</w:t>
            </w:r>
            <w:r>
              <w:rPr>
                <w:rFonts w:hint="eastAsia"/>
                <w:vertAlign w:val="superscript"/>
                <w:lang w:val="en-US" w:eastAsia="zh-CN"/>
              </w:rPr>
              <w:t>2</w:t>
            </w:r>
            <w:r>
              <w:rPr>
                <w:rFonts w:hint="eastAsia"/>
                <w:vertAlign w:val="baseline"/>
                <w:lang w:val="en-US" w:eastAsia="zh-CN"/>
              </w:rPr>
              <w:t>，建设动物医院，从事开展动物诊疗服务，主要诊疗科目为：动物疫病预防、诊疗、治疗、绝育手术服务。该动物医院具备从事动物颅腔、胸腔和腹腔手术的设施和运营能力。项目接待的动物全部为猫科、犬科类家庭宠物。</w:t>
            </w:r>
          </w:p>
          <w:p w14:paraId="3E454F68">
            <w:pPr>
              <w:rPr>
                <w:rFonts w:hint="default"/>
                <w:vertAlign w:val="baseline"/>
                <w:lang w:val="en-US" w:eastAsia="zh-CN"/>
              </w:rPr>
            </w:pPr>
            <w:r>
              <w:rPr>
                <w:rFonts w:hint="eastAsia"/>
                <w:vertAlign w:val="baseline"/>
                <w:lang w:val="en-US" w:eastAsia="zh-CN"/>
              </w:rPr>
              <w:t>规模：预计本项目年接待就诊动物约3650例（其中普通病例约3350例，手术病例约300例），即日均接待约16例；年接待宠物美容洗浴730例，即日均接待约3例。</w:t>
            </w:r>
          </w:p>
          <w:p w14:paraId="3717FFB7">
            <w:pPr>
              <w:rPr>
                <w:rFonts w:hint="default"/>
                <w:vertAlign w:val="baseline"/>
                <w:lang w:val="en-US" w:eastAsia="zh-CN"/>
              </w:rPr>
            </w:pPr>
            <w:r>
              <w:rPr>
                <w:rFonts w:hint="eastAsia"/>
                <w:vertAlign w:val="baseline"/>
                <w:lang w:val="en-US" w:eastAsia="zh-CN"/>
              </w:rPr>
              <w:t>投资金额：总投资120万元，其中环保投资8.0万元。</w:t>
            </w:r>
          </w:p>
          <w:p w14:paraId="3647F926">
            <w:pPr>
              <w:rPr>
                <w:rFonts w:hint="eastAsia"/>
                <w:vertAlign w:val="baseline"/>
                <w:lang w:val="en-US" w:eastAsia="zh-CN"/>
              </w:rPr>
            </w:pPr>
            <w:r>
              <w:rPr>
                <w:rFonts w:hint="eastAsia"/>
                <w:vertAlign w:val="baseline"/>
                <w:lang w:val="en-US" w:eastAsia="zh-CN"/>
              </w:rPr>
              <w:t>工作时间：年工作日240天，门诊营运时间为9:00~21:00，夜间不接诊，不寄养动物。医院设有动物住院观察服务，故项目有夜间运行。</w:t>
            </w:r>
          </w:p>
          <w:p w14:paraId="007AFC52">
            <w:pPr>
              <w:rPr>
                <w:rFonts w:hint="eastAsia"/>
                <w:vertAlign w:val="baseline"/>
                <w:lang w:val="en-US" w:eastAsia="zh-CN"/>
              </w:rPr>
            </w:pPr>
            <w:r>
              <w:rPr>
                <w:rFonts w:hint="eastAsia"/>
                <w:vertAlign w:val="baseline"/>
                <w:lang w:val="en-US" w:eastAsia="zh-CN"/>
              </w:rPr>
              <w:t>员工人数：拟定8人。</w:t>
            </w:r>
          </w:p>
          <w:p w14:paraId="2CC11395">
            <w:pPr>
              <w:rPr>
                <w:rFonts w:hint="eastAsia"/>
                <w:vertAlign w:val="baseline"/>
                <w:lang w:val="en-US" w:eastAsia="zh-CN"/>
              </w:rPr>
            </w:pPr>
            <w:r>
              <w:rPr>
                <w:rFonts w:hint="eastAsia"/>
                <w:vertAlign w:val="baseline"/>
                <w:lang w:val="en-US" w:eastAsia="zh-CN"/>
              </w:rPr>
              <w:t>项目涉及射线装置使用的，须另行向生态环境部门申报相关手续，该部分内容不在本次评价范围之内。</w:t>
            </w:r>
          </w:p>
          <w:p w14:paraId="740804A0">
            <w:pPr>
              <w:pStyle w:val="11"/>
              <w:bidi w:val="0"/>
              <w:rPr>
                <w:rFonts w:hint="default"/>
                <w:lang w:val="en-US" w:eastAsia="zh-CN"/>
              </w:rPr>
            </w:pPr>
            <w:r>
              <w:rPr>
                <w:rFonts w:hint="eastAsia"/>
                <w:lang w:val="en-US" w:eastAsia="zh-CN"/>
              </w:rPr>
              <w:t>表2-1 项目建设规模及内容一览表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185"/>
              <w:gridCol w:w="6098"/>
            </w:tblGrid>
            <w:tr w14:paraId="702A3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76447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类别</w:t>
                  </w:r>
                </w:p>
              </w:tc>
              <w:tc>
                <w:tcPr>
                  <w:tcW w:w="1185" w:type="dxa"/>
                  <w:tcBorders>
                    <w:tl2br w:val="nil"/>
                    <w:tr2bl w:val="nil"/>
                  </w:tcBorders>
                  <w:vAlign w:val="center"/>
                </w:tcPr>
                <w:p w14:paraId="2EB5E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工程名称</w:t>
                  </w:r>
                </w:p>
              </w:tc>
              <w:tc>
                <w:tcPr>
                  <w:tcW w:w="6098" w:type="dxa"/>
                  <w:tcBorders>
                    <w:tl2br w:val="nil"/>
                    <w:tr2bl w:val="nil"/>
                  </w:tcBorders>
                  <w:vAlign w:val="center"/>
                </w:tcPr>
                <w:p w14:paraId="556AE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项目建设内容</w:t>
                  </w:r>
                </w:p>
              </w:tc>
            </w:tr>
            <w:tr w14:paraId="4EA552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5D76E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主体工程</w:t>
                  </w:r>
                </w:p>
              </w:tc>
              <w:tc>
                <w:tcPr>
                  <w:tcW w:w="1185" w:type="dxa"/>
                  <w:tcBorders>
                    <w:tl2br w:val="nil"/>
                    <w:tr2bl w:val="nil"/>
                  </w:tcBorders>
                  <w:vAlign w:val="center"/>
                </w:tcPr>
                <w:p w14:paraId="66FDE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2F16B6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建设动物医院，从事开展动物美容洗浴、动物诊疗服务，主要诊疗科目为：动物疫病预防、诊疗、治疗、绝育手术服务。预计项目年接待就诊动物约3650例（其中普通病例约3350例，手术病例约300例），即日均接待约16例；年接待宠物美容洗浴730例，即日均接待约3例。项目接待的动物全部为猫科、犬科类家庭宠物。</w:t>
                  </w:r>
                </w:p>
              </w:tc>
            </w:tr>
            <w:tr w14:paraId="22A16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bottom w:val="single" w:color="000000" w:sz="4" w:space="0"/>
                    <w:tl2br w:val="nil"/>
                    <w:tr2bl w:val="nil"/>
                  </w:tcBorders>
                  <w:vAlign w:val="center"/>
                </w:tcPr>
                <w:p w14:paraId="3AB33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辅助工程</w:t>
                  </w:r>
                </w:p>
              </w:tc>
              <w:tc>
                <w:tcPr>
                  <w:tcW w:w="1185" w:type="dxa"/>
                  <w:tcBorders>
                    <w:bottom w:val="single" w:color="000000" w:sz="4" w:space="0"/>
                    <w:tl2br w:val="nil"/>
                    <w:tr2bl w:val="nil"/>
                  </w:tcBorders>
                  <w:vAlign w:val="center"/>
                </w:tcPr>
                <w:p w14:paraId="79DDA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6098" w:type="dxa"/>
                  <w:tcBorders>
                    <w:tl2br w:val="nil"/>
                    <w:tr2bl w:val="nil"/>
                  </w:tcBorders>
                  <w:vAlign w:val="center"/>
                </w:tcPr>
                <w:p w14:paraId="2B647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项目无自暖设备，不设食堂及员工宿舍</w:t>
                  </w:r>
                </w:p>
              </w:tc>
            </w:tr>
            <w:tr w14:paraId="72E40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tcBorders>
                    <w:tl2br w:val="nil"/>
                    <w:tr2bl w:val="nil"/>
                  </w:tcBorders>
                  <w:vAlign w:val="center"/>
                </w:tcPr>
                <w:p w14:paraId="4102E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公用工程</w:t>
                  </w:r>
                </w:p>
              </w:tc>
              <w:tc>
                <w:tcPr>
                  <w:tcW w:w="1185" w:type="dxa"/>
                  <w:tcBorders>
                    <w:tl2br w:val="nil"/>
                    <w:tr2bl w:val="nil"/>
                  </w:tcBorders>
                  <w:vAlign w:val="center"/>
                </w:tcPr>
                <w:p w14:paraId="713CA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供水</w:t>
                  </w:r>
                </w:p>
              </w:tc>
              <w:tc>
                <w:tcPr>
                  <w:tcW w:w="6098" w:type="dxa"/>
                  <w:tcBorders>
                    <w:tl2br w:val="nil"/>
                    <w:tr2bl w:val="nil"/>
                  </w:tcBorders>
                  <w:vAlign w:val="center"/>
                </w:tcPr>
                <w:p w14:paraId="2FCE6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本项目用水由所在地市政自来水管网提供</w:t>
                  </w:r>
                </w:p>
              </w:tc>
            </w:tr>
            <w:tr w14:paraId="1F9BB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0D626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138E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供电</w:t>
                  </w:r>
                </w:p>
              </w:tc>
              <w:tc>
                <w:tcPr>
                  <w:tcW w:w="6098" w:type="dxa"/>
                  <w:tcBorders>
                    <w:tl2br w:val="nil"/>
                    <w:tr2bl w:val="nil"/>
                  </w:tcBorders>
                  <w:vAlign w:val="center"/>
                </w:tcPr>
                <w:p w14:paraId="25359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本项目用电由北京市丰台区供电部门提供</w:t>
                  </w:r>
                </w:p>
              </w:tc>
            </w:tr>
            <w:tr w14:paraId="080DF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7ED780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1A3F2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排水</w:t>
                  </w:r>
                </w:p>
              </w:tc>
              <w:tc>
                <w:tcPr>
                  <w:tcW w:w="6098" w:type="dxa"/>
                  <w:tcBorders>
                    <w:tl2br w:val="nil"/>
                    <w:tr2bl w:val="nil"/>
                  </w:tcBorders>
                  <w:vAlign w:val="center"/>
                </w:tcPr>
                <w:p w14:paraId="05701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所在地具备市政排水条件，项目排水管道接入市政污水管网，最终汇入</w:t>
                  </w:r>
                  <w:r>
                    <w:rPr>
                      <w:rFonts w:hint="default"/>
                      <w:sz w:val="21"/>
                      <w:szCs w:val="21"/>
                      <w:highlight w:val="yellow"/>
                      <w:vertAlign w:val="baseline"/>
                      <w:lang w:val="en-US" w:eastAsia="zh-CN"/>
                    </w:rPr>
                    <w:t>小红门再生水厂</w:t>
                  </w:r>
                </w:p>
              </w:tc>
            </w:tr>
            <w:tr w14:paraId="0BDC0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6BE8D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592FD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采暖制冷</w:t>
                  </w:r>
                </w:p>
              </w:tc>
              <w:tc>
                <w:tcPr>
                  <w:tcW w:w="6098" w:type="dxa"/>
                  <w:tcBorders>
                    <w:tl2br w:val="nil"/>
                    <w:tr2bl w:val="nil"/>
                  </w:tcBorders>
                  <w:vAlign w:val="center"/>
                </w:tcPr>
                <w:p w14:paraId="74D41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冬季供暖由市政集中供暖提供，夏季制冷由中央空调提供</w:t>
                  </w:r>
                </w:p>
              </w:tc>
            </w:tr>
            <w:tr w14:paraId="2C2FD9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tcBorders>
                    <w:tl2br w:val="nil"/>
                    <w:tr2bl w:val="nil"/>
                  </w:tcBorders>
                  <w:vAlign w:val="center"/>
                </w:tcPr>
                <w:p w14:paraId="51488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环保工程</w:t>
                  </w:r>
                </w:p>
              </w:tc>
              <w:tc>
                <w:tcPr>
                  <w:tcW w:w="1185" w:type="dxa"/>
                  <w:tcBorders>
                    <w:tl2br w:val="nil"/>
                    <w:tr2bl w:val="nil"/>
                  </w:tcBorders>
                  <w:vAlign w:val="center"/>
                </w:tcPr>
                <w:p w14:paraId="49CC4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w:t>
                  </w:r>
                </w:p>
              </w:tc>
              <w:tc>
                <w:tcPr>
                  <w:tcW w:w="6098" w:type="dxa"/>
                  <w:tcBorders>
                    <w:tl2br w:val="nil"/>
                    <w:tr2bl w:val="nil"/>
                  </w:tcBorders>
                  <w:vAlign w:val="center"/>
                </w:tcPr>
                <w:p w14:paraId="4E7154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对异味采取室内、动物笼及时清理清洁，喷洒除臭剂、空气清新剂等。项目设有排风系统，各房间吊顶上方的排风管道设置吸风口，主管道内安装活性炭净化装置及</w:t>
                  </w:r>
                  <w:r>
                    <w:rPr>
                      <w:rFonts w:hint="eastAsia"/>
                      <w:sz w:val="21"/>
                      <w:szCs w:val="21"/>
                      <w:highlight w:val="none"/>
                      <w:vertAlign w:val="baseline"/>
                      <w:lang w:val="en-US" w:eastAsia="zh-CN"/>
                    </w:rPr>
                    <w:t>排风机（位于医院西南侧猫住院房上方的吊顶内），异味经吸附净</w:t>
                  </w:r>
                  <w:r>
                    <w:rPr>
                      <w:rFonts w:hint="eastAsia"/>
                      <w:sz w:val="21"/>
                      <w:szCs w:val="21"/>
                      <w:vertAlign w:val="baseline"/>
                      <w:lang w:val="en-US" w:eastAsia="zh-CN"/>
                    </w:rPr>
                    <w:t>化后通过位于一层南侧外墙的排风口排放。</w:t>
                  </w:r>
                </w:p>
              </w:tc>
            </w:tr>
            <w:tr w14:paraId="1D45FB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19641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555DA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w:t>
                  </w:r>
                </w:p>
              </w:tc>
              <w:tc>
                <w:tcPr>
                  <w:tcW w:w="6098" w:type="dxa"/>
                  <w:tcBorders>
                    <w:tl2br w:val="nil"/>
                    <w:tr2bl w:val="nil"/>
                  </w:tcBorders>
                  <w:vAlign w:val="center"/>
                </w:tcPr>
                <w:p w14:paraId="7D830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进行内部排水管道等的设计与铺设，采取防渗措施。并针对诊疗及美容洗浴废水购买安装3台采用次氯酸钠消毒工艺的污水处理设备，分别位于医院美容洗浴室、化验室、手术室。</w:t>
                  </w:r>
                </w:p>
              </w:tc>
            </w:tr>
            <w:tr w14:paraId="767215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3A354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6FB99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噪声</w:t>
                  </w:r>
                </w:p>
              </w:tc>
              <w:tc>
                <w:tcPr>
                  <w:tcW w:w="6098" w:type="dxa"/>
                  <w:tcBorders>
                    <w:tl2br w:val="nil"/>
                    <w:tr2bl w:val="nil"/>
                  </w:tcBorders>
                  <w:vAlign w:val="center"/>
                </w:tcPr>
                <w:p w14:paraId="6E847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项目选用低噪声设备，合理布局，主要产噪设备安装减振基础；建筑墙体隔声。</w:t>
                  </w:r>
                </w:p>
              </w:tc>
            </w:tr>
            <w:tr w14:paraId="7FD70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tcBorders>
                    <w:tl2br w:val="nil"/>
                    <w:tr2bl w:val="nil"/>
                  </w:tcBorders>
                  <w:vAlign w:val="center"/>
                </w:tcPr>
                <w:p w14:paraId="3B290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85" w:type="dxa"/>
                  <w:tcBorders>
                    <w:tl2br w:val="nil"/>
                    <w:tr2bl w:val="nil"/>
                  </w:tcBorders>
                  <w:vAlign w:val="center"/>
                </w:tcPr>
                <w:p w14:paraId="20016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固体废物</w:t>
                  </w:r>
                </w:p>
              </w:tc>
              <w:tc>
                <w:tcPr>
                  <w:tcW w:w="6098" w:type="dxa"/>
                  <w:tcBorders>
                    <w:tl2br w:val="nil"/>
                    <w:tr2bl w:val="nil"/>
                  </w:tcBorders>
                  <w:vAlign w:val="center"/>
                </w:tcPr>
                <w:p w14:paraId="42549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项目产生固体废物为生活垃圾、一般工业固体废物和医疗废物。生活垃圾集中收集，由环卫部门统一清运；一般工业固体废物为物品包装物、异味净化产生的废活性炭，交由废品回收站或材料生产厂家回收再利用；诊疗、手术产生的动物器官、组织、血液、组织液等；废手术刀、注射器和输液器针头；以及一次性医疗器械、废试纸、废试剂盒、废纱布、废口罩、废棉球、沾染了动物粪尿的尿垫和猫砂、污水处理设备（水池篦子）拦截物；过期药品等，均属于医疗废物。建设单位设置医疗废物暂存间对该类废物分类暂存，位于医院室内中东部，医疗废物定期交由具有相关资质的北京光凯祥瑞环保科技有限公司清运处置。</w:t>
                  </w:r>
                </w:p>
              </w:tc>
            </w:tr>
            <w:tr w14:paraId="34351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7A56D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依托工程</w:t>
                  </w:r>
                </w:p>
              </w:tc>
              <w:tc>
                <w:tcPr>
                  <w:tcW w:w="1185" w:type="dxa"/>
                  <w:tcBorders>
                    <w:tl2br w:val="nil"/>
                    <w:tr2bl w:val="nil"/>
                  </w:tcBorders>
                  <w:vAlign w:val="center"/>
                </w:tcPr>
                <w:p w14:paraId="73F21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3D79C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项目依托所在地区的市政供水、排水、供电、供暖等工程。</w:t>
                  </w:r>
                </w:p>
              </w:tc>
            </w:tr>
            <w:tr w14:paraId="27FCC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tcBorders>
                    <w:tl2br w:val="nil"/>
                    <w:tr2bl w:val="nil"/>
                  </w:tcBorders>
                  <w:vAlign w:val="center"/>
                </w:tcPr>
                <w:p w14:paraId="3D77C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储运工程</w:t>
                  </w:r>
                </w:p>
              </w:tc>
              <w:tc>
                <w:tcPr>
                  <w:tcW w:w="1185" w:type="dxa"/>
                  <w:tcBorders>
                    <w:tl2br w:val="nil"/>
                    <w:tr2bl w:val="nil"/>
                  </w:tcBorders>
                  <w:vAlign w:val="center"/>
                </w:tcPr>
                <w:p w14:paraId="24B8D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6098" w:type="dxa"/>
                  <w:tcBorders>
                    <w:tl2br w:val="nil"/>
                    <w:tr2bl w:val="nil"/>
                  </w:tcBorders>
                  <w:vAlign w:val="center"/>
                </w:tcPr>
                <w:p w14:paraId="707AD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项目设置1间医疗废物暂存间，位于医院室内中东部。</w:t>
                  </w:r>
                </w:p>
              </w:tc>
            </w:tr>
          </w:tbl>
          <w:p w14:paraId="4A27CED8">
            <w:pPr>
              <w:rPr>
                <w:rFonts w:hint="default"/>
                <w:vertAlign w:val="baseline"/>
                <w:lang w:val="en-US" w:eastAsia="zh-CN"/>
              </w:rPr>
            </w:pPr>
            <w:r>
              <w:rPr>
                <w:rFonts w:hint="eastAsia"/>
                <w:vertAlign w:val="baseline"/>
                <w:lang w:val="en-US" w:eastAsia="zh-CN"/>
              </w:rPr>
              <w:t>2、主要设备清单</w:t>
            </w:r>
          </w:p>
          <w:p w14:paraId="2FD00A9D">
            <w:pPr>
              <w:rPr>
                <w:rFonts w:hint="default"/>
                <w:vertAlign w:val="baseline"/>
                <w:lang w:val="en-US" w:eastAsia="zh-CN"/>
              </w:rPr>
            </w:pPr>
            <w:r>
              <w:rPr>
                <w:rFonts w:hint="eastAsia"/>
                <w:vertAlign w:val="baseline"/>
                <w:lang w:val="en-US" w:eastAsia="zh-CN"/>
              </w:rPr>
              <w:t>本项目主要设备情况见下表。</w:t>
            </w:r>
          </w:p>
          <w:p w14:paraId="4239A0FA">
            <w:pPr>
              <w:pStyle w:val="11"/>
              <w:bidi w:val="0"/>
              <w:rPr>
                <w:rFonts w:hint="default"/>
                <w:lang w:val="en-US" w:eastAsia="zh-CN"/>
              </w:rPr>
            </w:pPr>
            <w:r>
              <w:rPr>
                <w:rFonts w:hint="eastAsia"/>
                <w:lang w:val="en-US" w:eastAsia="zh-CN"/>
              </w:rPr>
              <w:t>表2-2 主要设备一览表</w:t>
            </w:r>
          </w:p>
          <w:tbl>
            <w:tblPr>
              <w:tblStyle w:val="9"/>
              <w:tblW w:w="80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655"/>
              <w:gridCol w:w="1785"/>
              <w:gridCol w:w="2505"/>
            </w:tblGrid>
            <w:tr w14:paraId="7D8B1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6D300E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2655" w:type="dxa"/>
                  <w:tcBorders>
                    <w:tl2br w:val="nil"/>
                    <w:tr2bl w:val="nil"/>
                  </w:tcBorders>
                  <w:vAlign w:val="center"/>
                </w:tcPr>
                <w:p w14:paraId="19020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设备名称</w:t>
                  </w:r>
                </w:p>
              </w:tc>
              <w:tc>
                <w:tcPr>
                  <w:tcW w:w="1785" w:type="dxa"/>
                  <w:tcBorders>
                    <w:tl2br w:val="nil"/>
                    <w:tr2bl w:val="nil"/>
                  </w:tcBorders>
                  <w:vAlign w:val="center"/>
                </w:tcPr>
                <w:p w14:paraId="4C0ED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数量（台）</w:t>
                  </w:r>
                </w:p>
              </w:tc>
              <w:tc>
                <w:tcPr>
                  <w:tcW w:w="2505" w:type="dxa"/>
                  <w:tcBorders>
                    <w:tl2br w:val="nil"/>
                    <w:tr2bl w:val="nil"/>
                  </w:tcBorders>
                  <w:vAlign w:val="center"/>
                </w:tcPr>
                <w:p w14:paraId="30C4D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安装位置</w:t>
                  </w:r>
                </w:p>
              </w:tc>
            </w:tr>
            <w:tr w14:paraId="042A4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4B19A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655" w:type="dxa"/>
                  <w:tcBorders>
                    <w:tl2br w:val="nil"/>
                    <w:tr2bl w:val="nil"/>
                  </w:tcBorders>
                  <w:vAlign w:val="center"/>
                </w:tcPr>
                <w:p w14:paraId="21515E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听诊器、体温计等医疗器械</w:t>
                  </w:r>
                </w:p>
              </w:tc>
              <w:tc>
                <w:tcPr>
                  <w:tcW w:w="1785" w:type="dxa"/>
                  <w:tcBorders>
                    <w:tl2br w:val="nil"/>
                    <w:tr2bl w:val="nil"/>
                  </w:tcBorders>
                  <w:vAlign w:val="center"/>
                </w:tcPr>
                <w:p w14:paraId="3C9543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505" w:type="dxa"/>
                  <w:tcBorders>
                    <w:tl2br w:val="nil"/>
                    <w:tr2bl w:val="nil"/>
                  </w:tcBorders>
                  <w:vAlign w:val="center"/>
                </w:tcPr>
                <w:p w14:paraId="3D836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63E7F5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CF2D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655" w:type="dxa"/>
                  <w:tcBorders>
                    <w:tl2br w:val="nil"/>
                    <w:tr2bl w:val="nil"/>
                  </w:tcBorders>
                  <w:vAlign w:val="center"/>
                </w:tcPr>
                <w:p w14:paraId="6D20C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双目显微镜</w:t>
                  </w:r>
                </w:p>
              </w:tc>
              <w:tc>
                <w:tcPr>
                  <w:tcW w:w="1785" w:type="dxa"/>
                  <w:tcBorders>
                    <w:tl2br w:val="nil"/>
                    <w:tr2bl w:val="nil"/>
                  </w:tcBorders>
                  <w:vAlign w:val="center"/>
                </w:tcPr>
                <w:p w14:paraId="7B0B8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8E37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348420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859B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655" w:type="dxa"/>
                  <w:tcBorders>
                    <w:tl2br w:val="nil"/>
                    <w:tr2bl w:val="nil"/>
                  </w:tcBorders>
                  <w:vAlign w:val="center"/>
                </w:tcPr>
                <w:p w14:paraId="318DE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生化分析仪</w:t>
                  </w:r>
                </w:p>
              </w:tc>
              <w:tc>
                <w:tcPr>
                  <w:tcW w:w="1785" w:type="dxa"/>
                  <w:tcBorders>
                    <w:tl2br w:val="nil"/>
                    <w:tr2bl w:val="nil"/>
                  </w:tcBorders>
                  <w:vAlign w:val="center"/>
                </w:tcPr>
                <w:p w14:paraId="77503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16551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5D5A0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4269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655" w:type="dxa"/>
                  <w:tcBorders>
                    <w:tl2br w:val="nil"/>
                    <w:tr2bl w:val="nil"/>
                  </w:tcBorders>
                  <w:vAlign w:val="center"/>
                </w:tcPr>
                <w:p w14:paraId="42D4F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血常规</w:t>
                  </w:r>
                </w:p>
              </w:tc>
              <w:tc>
                <w:tcPr>
                  <w:tcW w:w="1785" w:type="dxa"/>
                  <w:tcBorders>
                    <w:tl2br w:val="nil"/>
                    <w:tr2bl w:val="nil"/>
                  </w:tcBorders>
                  <w:vAlign w:val="center"/>
                </w:tcPr>
                <w:p w14:paraId="4B86C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2DE1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60AEC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44CBC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655" w:type="dxa"/>
                  <w:tcBorders>
                    <w:tl2br w:val="nil"/>
                    <w:tr2bl w:val="nil"/>
                  </w:tcBorders>
                  <w:vAlign w:val="center"/>
                </w:tcPr>
                <w:p w14:paraId="0B0DF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血球分析仪</w:t>
                  </w:r>
                </w:p>
              </w:tc>
              <w:tc>
                <w:tcPr>
                  <w:tcW w:w="1785" w:type="dxa"/>
                  <w:tcBorders>
                    <w:tl2br w:val="nil"/>
                    <w:tr2bl w:val="nil"/>
                  </w:tcBorders>
                  <w:vAlign w:val="center"/>
                </w:tcPr>
                <w:p w14:paraId="27BFE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6130F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2A7A5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79CCF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655" w:type="dxa"/>
                  <w:tcBorders>
                    <w:tl2br w:val="nil"/>
                    <w:tr2bl w:val="nil"/>
                  </w:tcBorders>
                  <w:vAlign w:val="center"/>
                </w:tcPr>
                <w:p w14:paraId="0EE0B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麻醉机</w:t>
                  </w:r>
                </w:p>
              </w:tc>
              <w:tc>
                <w:tcPr>
                  <w:tcW w:w="1785" w:type="dxa"/>
                  <w:tcBorders>
                    <w:tl2br w:val="nil"/>
                    <w:tr2bl w:val="nil"/>
                  </w:tcBorders>
                  <w:vAlign w:val="center"/>
                </w:tcPr>
                <w:p w14:paraId="7A847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F994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手术室</w:t>
                  </w:r>
                </w:p>
              </w:tc>
            </w:tr>
            <w:tr w14:paraId="600F35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1466A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2655" w:type="dxa"/>
                  <w:tcBorders>
                    <w:tl2br w:val="nil"/>
                    <w:tr2bl w:val="nil"/>
                  </w:tcBorders>
                  <w:vAlign w:val="center"/>
                </w:tcPr>
                <w:p w14:paraId="43DBD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手术无影灯</w:t>
                  </w:r>
                </w:p>
              </w:tc>
              <w:tc>
                <w:tcPr>
                  <w:tcW w:w="1785" w:type="dxa"/>
                  <w:tcBorders>
                    <w:tl2br w:val="nil"/>
                    <w:tr2bl w:val="nil"/>
                  </w:tcBorders>
                  <w:vAlign w:val="center"/>
                </w:tcPr>
                <w:p w14:paraId="4335A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04F6D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46272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0CDF4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2655" w:type="dxa"/>
                  <w:tcBorders>
                    <w:tl2br w:val="nil"/>
                    <w:tr2bl w:val="nil"/>
                  </w:tcBorders>
                  <w:vAlign w:val="center"/>
                </w:tcPr>
                <w:p w14:paraId="4AE4B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心电监护仪</w:t>
                  </w:r>
                </w:p>
              </w:tc>
              <w:tc>
                <w:tcPr>
                  <w:tcW w:w="1785" w:type="dxa"/>
                  <w:tcBorders>
                    <w:tl2br w:val="nil"/>
                    <w:tr2bl w:val="nil"/>
                  </w:tcBorders>
                  <w:vAlign w:val="center"/>
                </w:tcPr>
                <w:p w14:paraId="044AF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391C7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5BA89A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3E6B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2655" w:type="dxa"/>
                  <w:tcBorders>
                    <w:tl2br w:val="nil"/>
                    <w:tr2bl w:val="nil"/>
                  </w:tcBorders>
                  <w:vAlign w:val="center"/>
                </w:tcPr>
                <w:p w14:paraId="7BB9C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手术台</w:t>
                  </w:r>
                </w:p>
              </w:tc>
              <w:tc>
                <w:tcPr>
                  <w:tcW w:w="1785" w:type="dxa"/>
                  <w:tcBorders>
                    <w:tl2br w:val="nil"/>
                    <w:tr2bl w:val="nil"/>
                  </w:tcBorders>
                  <w:vAlign w:val="center"/>
                </w:tcPr>
                <w:p w14:paraId="08DC5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48AC1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19978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2C4A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2655" w:type="dxa"/>
                  <w:tcBorders>
                    <w:tl2br w:val="nil"/>
                    <w:tr2bl w:val="nil"/>
                  </w:tcBorders>
                  <w:vAlign w:val="center"/>
                </w:tcPr>
                <w:p w14:paraId="75CE7B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高压蒸汽灭菌锅</w:t>
                  </w:r>
                </w:p>
              </w:tc>
              <w:tc>
                <w:tcPr>
                  <w:tcW w:w="1785" w:type="dxa"/>
                  <w:tcBorders>
                    <w:tl2br w:val="nil"/>
                    <w:tr2bl w:val="nil"/>
                  </w:tcBorders>
                  <w:vAlign w:val="center"/>
                </w:tcPr>
                <w:p w14:paraId="06589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12EE9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r w14:paraId="1FE5A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410A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w:t>
                  </w:r>
                </w:p>
              </w:tc>
              <w:tc>
                <w:tcPr>
                  <w:tcW w:w="2655" w:type="dxa"/>
                  <w:tcBorders>
                    <w:tl2br w:val="nil"/>
                    <w:tr2bl w:val="nil"/>
                  </w:tcBorders>
                  <w:vAlign w:val="center"/>
                </w:tcPr>
                <w:p w14:paraId="187AD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牙科灯</w:t>
                  </w:r>
                </w:p>
              </w:tc>
              <w:tc>
                <w:tcPr>
                  <w:tcW w:w="1785" w:type="dxa"/>
                  <w:tcBorders>
                    <w:tl2br w:val="nil"/>
                    <w:tr2bl w:val="nil"/>
                  </w:tcBorders>
                  <w:vAlign w:val="center"/>
                </w:tcPr>
                <w:p w14:paraId="4CFB98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54243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7BC5E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758B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2655" w:type="dxa"/>
                  <w:tcBorders>
                    <w:tl2br w:val="nil"/>
                    <w:tr2bl w:val="nil"/>
                  </w:tcBorders>
                  <w:vAlign w:val="center"/>
                </w:tcPr>
                <w:p w14:paraId="4990F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紫外线消毒灯</w:t>
                  </w:r>
                </w:p>
              </w:tc>
              <w:tc>
                <w:tcPr>
                  <w:tcW w:w="1785" w:type="dxa"/>
                  <w:tcBorders>
                    <w:tl2br w:val="nil"/>
                    <w:tr2bl w:val="nil"/>
                  </w:tcBorders>
                  <w:vAlign w:val="center"/>
                </w:tcPr>
                <w:p w14:paraId="224C6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586D2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手术室</w:t>
                  </w:r>
                </w:p>
              </w:tc>
            </w:tr>
            <w:tr w14:paraId="070C74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1B4E0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w:t>
                  </w:r>
                </w:p>
              </w:tc>
              <w:tc>
                <w:tcPr>
                  <w:tcW w:w="2655" w:type="dxa"/>
                  <w:tcBorders>
                    <w:tl2br w:val="nil"/>
                    <w:tr2bl w:val="nil"/>
                  </w:tcBorders>
                  <w:vAlign w:val="center"/>
                </w:tcPr>
                <w:p w14:paraId="33F04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B超机</w:t>
                  </w:r>
                </w:p>
              </w:tc>
              <w:tc>
                <w:tcPr>
                  <w:tcW w:w="1785" w:type="dxa"/>
                  <w:tcBorders>
                    <w:tl2br w:val="nil"/>
                    <w:tr2bl w:val="nil"/>
                  </w:tcBorders>
                  <w:vAlign w:val="center"/>
                </w:tcPr>
                <w:p w14:paraId="7E610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70C81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超声室</w:t>
                  </w:r>
                </w:p>
              </w:tc>
            </w:tr>
            <w:tr w14:paraId="798C3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F103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14</w:t>
                  </w:r>
                </w:p>
              </w:tc>
              <w:tc>
                <w:tcPr>
                  <w:tcW w:w="2655" w:type="dxa"/>
                  <w:tcBorders>
                    <w:tl2br w:val="nil"/>
                    <w:tr2bl w:val="nil"/>
                  </w:tcBorders>
                  <w:vAlign w:val="center"/>
                </w:tcPr>
                <w:p w14:paraId="4B10E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冰箱</w:t>
                  </w:r>
                </w:p>
              </w:tc>
              <w:tc>
                <w:tcPr>
                  <w:tcW w:w="1785" w:type="dxa"/>
                  <w:tcBorders>
                    <w:tl2br w:val="nil"/>
                    <w:tr2bl w:val="nil"/>
                  </w:tcBorders>
                  <w:vAlign w:val="center"/>
                </w:tcPr>
                <w:p w14:paraId="5BBF0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343B8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药房、化验室</w:t>
                  </w:r>
                </w:p>
              </w:tc>
            </w:tr>
            <w:tr w14:paraId="1FA61F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7A01E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2655" w:type="dxa"/>
                  <w:tcBorders>
                    <w:tl2br w:val="nil"/>
                    <w:tr2bl w:val="nil"/>
                  </w:tcBorders>
                  <w:vAlign w:val="center"/>
                </w:tcPr>
                <w:p w14:paraId="78DCB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药品柜</w:t>
                  </w:r>
                </w:p>
              </w:tc>
              <w:tc>
                <w:tcPr>
                  <w:tcW w:w="1785" w:type="dxa"/>
                  <w:tcBorders>
                    <w:tl2br w:val="nil"/>
                    <w:tr2bl w:val="nil"/>
                  </w:tcBorders>
                  <w:vAlign w:val="center"/>
                </w:tcPr>
                <w:p w14:paraId="5682D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6E933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药房</w:t>
                  </w:r>
                </w:p>
              </w:tc>
            </w:tr>
            <w:tr w14:paraId="178A1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62B0B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16</w:t>
                  </w:r>
                </w:p>
              </w:tc>
              <w:tc>
                <w:tcPr>
                  <w:tcW w:w="2655" w:type="dxa"/>
                  <w:tcBorders>
                    <w:tl2br w:val="nil"/>
                    <w:tr2bl w:val="nil"/>
                  </w:tcBorders>
                  <w:vAlign w:val="center"/>
                </w:tcPr>
                <w:p w14:paraId="46A07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输液泵</w:t>
                  </w:r>
                </w:p>
              </w:tc>
              <w:tc>
                <w:tcPr>
                  <w:tcW w:w="1785" w:type="dxa"/>
                  <w:tcBorders>
                    <w:tl2br w:val="nil"/>
                    <w:tr2bl w:val="nil"/>
                  </w:tcBorders>
                  <w:vAlign w:val="center"/>
                </w:tcPr>
                <w:p w14:paraId="37E63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505" w:type="dxa"/>
                  <w:tcBorders>
                    <w:tl2br w:val="nil"/>
                    <w:tr2bl w:val="nil"/>
                  </w:tcBorders>
                  <w:vAlign w:val="center"/>
                </w:tcPr>
                <w:p w14:paraId="4D814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输液台</w:t>
                  </w:r>
                </w:p>
              </w:tc>
            </w:tr>
            <w:tr w14:paraId="2FBFF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4567A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17</w:t>
                  </w:r>
                </w:p>
              </w:tc>
              <w:tc>
                <w:tcPr>
                  <w:tcW w:w="2655" w:type="dxa"/>
                  <w:tcBorders>
                    <w:tl2br w:val="nil"/>
                    <w:tr2bl w:val="nil"/>
                  </w:tcBorders>
                  <w:vAlign w:val="center"/>
                </w:tcPr>
                <w:p w14:paraId="2BA2D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利器盒</w:t>
                  </w:r>
                </w:p>
              </w:tc>
              <w:tc>
                <w:tcPr>
                  <w:tcW w:w="1785" w:type="dxa"/>
                  <w:tcBorders>
                    <w:tl2br w:val="nil"/>
                    <w:tr2bl w:val="nil"/>
                  </w:tcBorders>
                  <w:vAlign w:val="center"/>
                </w:tcPr>
                <w:p w14:paraId="078C7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505" w:type="dxa"/>
                  <w:tcBorders>
                    <w:tl2br w:val="nil"/>
                    <w:tr2bl w:val="nil"/>
                  </w:tcBorders>
                  <w:vAlign w:val="center"/>
                </w:tcPr>
                <w:p w14:paraId="050074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药房</w:t>
                  </w:r>
                </w:p>
              </w:tc>
            </w:tr>
            <w:tr w14:paraId="10E36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5F7FD4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w:t>
                  </w:r>
                </w:p>
              </w:tc>
              <w:tc>
                <w:tcPr>
                  <w:tcW w:w="2655" w:type="dxa"/>
                  <w:tcBorders>
                    <w:tl2br w:val="nil"/>
                    <w:tr2bl w:val="nil"/>
                  </w:tcBorders>
                  <w:vAlign w:val="center"/>
                </w:tcPr>
                <w:p w14:paraId="4C609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处置台</w:t>
                  </w:r>
                </w:p>
              </w:tc>
              <w:tc>
                <w:tcPr>
                  <w:tcW w:w="1785" w:type="dxa"/>
                  <w:tcBorders>
                    <w:tl2br w:val="nil"/>
                    <w:tr2bl w:val="nil"/>
                  </w:tcBorders>
                  <w:vAlign w:val="center"/>
                </w:tcPr>
                <w:p w14:paraId="6F276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0E56B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处置台</w:t>
                  </w:r>
                </w:p>
              </w:tc>
            </w:tr>
            <w:tr w14:paraId="772189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100EF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2655" w:type="dxa"/>
                  <w:tcBorders>
                    <w:tl2br w:val="nil"/>
                    <w:tr2bl w:val="nil"/>
                  </w:tcBorders>
                  <w:vAlign w:val="center"/>
                </w:tcPr>
                <w:p w14:paraId="562C1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医疗废物箱</w:t>
                  </w:r>
                </w:p>
              </w:tc>
              <w:tc>
                <w:tcPr>
                  <w:tcW w:w="1785" w:type="dxa"/>
                  <w:tcBorders>
                    <w:tl2br w:val="nil"/>
                    <w:tr2bl w:val="nil"/>
                  </w:tcBorders>
                  <w:vAlign w:val="center"/>
                </w:tcPr>
                <w:p w14:paraId="30A38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505" w:type="dxa"/>
                  <w:tcBorders>
                    <w:tl2br w:val="nil"/>
                    <w:tr2bl w:val="nil"/>
                  </w:tcBorders>
                  <w:vAlign w:val="center"/>
                </w:tcPr>
                <w:p w14:paraId="2898F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室内各处</w:t>
                  </w:r>
                </w:p>
              </w:tc>
            </w:tr>
            <w:tr w14:paraId="3303E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23508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2655" w:type="dxa"/>
                  <w:tcBorders>
                    <w:tl2br w:val="nil"/>
                    <w:tr2bl w:val="nil"/>
                  </w:tcBorders>
                  <w:vAlign w:val="center"/>
                </w:tcPr>
                <w:p w14:paraId="0D229C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污水处理设备</w:t>
                  </w:r>
                </w:p>
              </w:tc>
              <w:tc>
                <w:tcPr>
                  <w:tcW w:w="1785" w:type="dxa"/>
                  <w:tcBorders>
                    <w:tl2br w:val="nil"/>
                    <w:tr2bl w:val="nil"/>
                  </w:tcBorders>
                  <w:vAlign w:val="center"/>
                </w:tcPr>
                <w:p w14:paraId="059C3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505" w:type="dxa"/>
                  <w:tcBorders>
                    <w:tl2br w:val="nil"/>
                    <w:tr2bl w:val="nil"/>
                  </w:tcBorders>
                  <w:vAlign w:val="center"/>
                </w:tcPr>
                <w:p w14:paraId="0577A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手术室、美容室、化验室</w:t>
                  </w:r>
                </w:p>
              </w:tc>
            </w:tr>
            <w:tr w14:paraId="445583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35E4D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21</w:t>
                  </w:r>
                </w:p>
              </w:tc>
              <w:tc>
                <w:tcPr>
                  <w:tcW w:w="2655" w:type="dxa"/>
                  <w:tcBorders>
                    <w:tl2br w:val="nil"/>
                    <w:tr2bl w:val="nil"/>
                  </w:tcBorders>
                  <w:vAlign w:val="center"/>
                </w:tcPr>
                <w:p w14:paraId="09662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离心机</w:t>
                  </w:r>
                </w:p>
              </w:tc>
              <w:tc>
                <w:tcPr>
                  <w:tcW w:w="1785" w:type="dxa"/>
                  <w:tcBorders>
                    <w:tl2br w:val="nil"/>
                    <w:tr2bl w:val="nil"/>
                  </w:tcBorders>
                  <w:vAlign w:val="center"/>
                </w:tcPr>
                <w:p w14:paraId="7FAFD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505" w:type="dxa"/>
                  <w:tcBorders>
                    <w:tl2br w:val="nil"/>
                    <w:tr2bl w:val="nil"/>
                  </w:tcBorders>
                  <w:vAlign w:val="center"/>
                </w:tcPr>
                <w:p w14:paraId="37D71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化验室</w:t>
                  </w:r>
                </w:p>
              </w:tc>
            </w:tr>
            <w:tr w14:paraId="79CC3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vAlign w:val="center"/>
                </w:tcPr>
                <w:p w14:paraId="15B0C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22</w:t>
                  </w:r>
                </w:p>
              </w:tc>
              <w:tc>
                <w:tcPr>
                  <w:tcW w:w="2655" w:type="dxa"/>
                  <w:tcBorders>
                    <w:tl2br w:val="nil"/>
                    <w:tr2bl w:val="nil"/>
                  </w:tcBorders>
                  <w:vAlign w:val="center"/>
                </w:tcPr>
                <w:p w14:paraId="2F027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血常规</w:t>
                  </w:r>
                </w:p>
              </w:tc>
              <w:tc>
                <w:tcPr>
                  <w:tcW w:w="1785" w:type="dxa"/>
                  <w:tcBorders>
                    <w:tl2br w:val="nil"/>
                    <w:tr2bl w:val="nil"/>
                  </w:tcBorders>
                  <w:vAlign w:val="center"/>
                </w:tcPr>
                <w:p w14:paraId="1C6BB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505" w:type="dxa"/>
                  <w:tcBorders>
                    <w:tl2br w:val="nil"/>
                    <w:tr2bl w:val="nil"/>
                  </w:tcBorders>
                  <w:vAlign w:val="center"/>
                </w:tcPr>
                <w:p w14:paraId="14E85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化验室</w:t>
                  </w:r>
                </w:p>
              </w:tc>
            </w:tr>
          </w:tbl>
          <w:p w14:paraId="49DB0F4D">
            <w:pPr>
              <w:rPr>
                <w:rFonts w:hint="default"/>
                <w:vertAlign w:val="baseline"/>
                <w:lang w:val="en-US" w:eastAsia="zh-CN"/>
              </w:rPr>
            </w:pPr>
            <w:r>
              <w:rPr>
                <w:rFonts w:hint="eastAsia"/>
                <w:vertAlign w:val="baseline"/>
                <w:lang w:val="en-US" w:eastAsia="zh-CN"/>
              </w:rPr>
              <w:t>3、原辅材料清单</w:t>
            </w:r>
          </w:p>
          <w:p w14:paraId="2F99A269">
            <w:pPr>
              <w:rPr>
                <w:rFonts w:hint="eastAsia"/>
                <w:vertAlign w:val="baseline"/>
                <w:lang w:val="en-US" w:eastAsia="zh-CN"/>
              </w:rPr>
            </w:pPr>
            <w:r>
              <w:rPr>
                <w:rFonts w:hint="eastAsia"/>
                <w:vertAlign w:val="baseline"/>
                <w:lang w:val="en-US" w:eastAsia="zh-CN"/>
              </w:rPr>
              <w:t>本项目主要原辅材料及消耗情况详见下表。</w:t>
            </w:r>
          </w:p>
          <w:p w14:paraId="4E76E297">
            <w:pPr>
              <w:pStyle w:val="11"/>
              <w:bidi w:val="0"/>
              <w:rPr>
                <w:rFonts w:hint="eastAsia"/>
                <w:lang w:val="en-US" w:eastAsia="zh-CN"/>
              </w:rPr>
            </w:pPr>
            <w:r>
              <w:rPr>
                <w:rFonts w:hint="eastAsia"/>
                <w:lang w:val="en-US" w:eastAsia="zh-CN"/>
              </w:rPr>
              <w:t>表2-2 主要原辅材料消耗情况一览表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485"/>
              <w:gridCol w:w="1080"/>
              <w:gridCol w:w="945"/>
              <w:gridCol w:w="1103"/>
              <w:gridCol w:w="1748"/>
            </w:tblGrid>
            <w:tr w14:paraId="7447D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B83F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485" w:type="dxa"/>
                  <w:tcBorders>
                    <w:tl2br w:val="nil"/>
                    <w:tr2bl w:val="nil"/>
                  </w:tcBorders>
                  <w:vAlign w:val="center"/>
                </w:tcPr>
                <w:p w14:paraId="44347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名称</w:t>
                  </w:r>
                </w:p>
              </w:tc>
              <w:tc>
                <w:tcPr>
                  <w:tcW w:w="1080" w:type="dxa"/>
                  <w:tcBorders>
                    <w:tl2br w:val="nil"/>
                    <w:tr2bl w:val="nil"/>
                  </w:tcBorders>
                  <w:vAlign w:val="center"/>
                </w:tcPr>
                <w:p w14:paraId="25F51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年用量</w:t>
                  </w:r>
                </w:p>
              </w:tc>
              <w:tc>
                <w:tcPr>
                  <w:tcW w:w="945" w:type="dxa"/>
                  <w:tcBorders>
                    <w:tl2br w:val="nil"/>
                    <w:tr2bl w:val="nil"/>
                  </w:tcBorders>
                  <w:vAlign w:val="center"/>
                </w:tcPr>
                <w:p w14:paraId="462D87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最大</w:t>
                  </w:r>
                </w:p>
                <w:p w14:paraId="602D91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储存量</w:t>
                  </w:r>
                </w:p>
              </w:tc>
              <w:tc>
                <w:tcPr>
                  <w:tcW w:w="1103" w:type="dxa"/>
                  <w:tcBorders>
                    <w:tl2br w:val="nil"/>
                    <w:tr2bl w:val="nil"/>
                  </w:tcBorders>
                  <w:vAlign w:val="center"/>
                </w:tcPr>
                <w:p w14:paraId="158F8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储存位置</w:t>
                  </w:r>
                </w:p>
              </w:tc>
              <w:tc>
                <w:tcPr>
                  <w:tcW w:w="1748" w:type="dxa"/>
                  <w:tcBorders>
                    <w:tl2br w:val="nil"/>
                    <w:tr2bl w:val="nil"/>
                  </w:tcBorders>
                  <w:vAlign w:val="center"/>
                </w:tcPr>
                <w:p w14:paraId="0A699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性状</w:t>
                  </w:r>
                </w:p>
              </w:tc>
            </w:tr>
            <w:tr w14:paraId="52E12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9B77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485" w:type="dxa"/>
                  <w:tcBorders>
                    <w:tl2br w:val="nil"/>
                    <w:tr2bl w:val="nil"/>
                  </w:tcBorders>
                  <w:shd w:val="clear" w:color="auto" w:fill="auto"/>
                  <w:vAlign w:val="center"/>
                </w:tcPr>
                <w:p w14:paraId="74A83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一次性医用装备（手套、帽子、口罩、手术衣等）</w:t>
                  </w:r>
                </w:p>
              </w:tc>
              <w:tc>
                <w:tcPr>
                  <w:tcW w:w="1080" w:type="dxa"/>
                  <w:tcBorders>
                    <w:tl2br w:val="nil"/>
                    <w:tr2bl w:val="nil"/>
                  </w:tcBorders>
                  <w:shd w:val="clear" w:color="auto" w:fill="auto"/>
                  <w:vAlign w:val="center"/>
                </w:tcPr>
                <w:p w14:paraId="2BD7E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75EF7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5EA1C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3E9A3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3AFAF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1392B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485" w:type="dxa"/>
                  <w:tcBorders>
                    <w:tl2br w:val="nil"/>
                    <w:tr2bl w:val="nil"/>
                  </w:tcBorders>
                  <w:shd w:val="clear" w:color="auto" w:fill="auto"/>
                  <w:vAlign w:val="center"/>
                </w:tcPr>
                <w:p w14:paraId="6FAFB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一次性医疗器械（注射器、冲洗器、输血器、输液器、输液壶、输液管）</w:t>
                  </w:r>
                </w:p>
              </w:tc>
              <w:tc>
                <w:tcPr>
                  <w:tcW w:w="1080" w:type="dxa"/>
                  <w:tcBorders>
                    <w:tl2br w:val="nil"/>
                    <w:tr2bl w:val="nil"/>
                  </w:tcBorders>
                  <w:shd w:val="clear" w:color="auto" w:fill="auto"/>
                  <w:vAlign w:val="center"/>
                </w:tcPr>
                <w:p w14:paraId="3C4FA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539ED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2186B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1E83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5ABD08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2396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485" w:type="dxa"/>
                  <w:tcBorders>
                    <w:tl2br w:val="nil"/>
                    <w:tr2bl w:val="nil"/>
                  </w:tcBorders>
                  <w:shd w:val="clear" w:color="auto" w:fill="auto"/>
                  <w:vAlign w:val="center"/>
                </w:tcPr>
                <w:p w14:paraId="5C264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一次性医疗用具（手术刀片等）</w:t>
                  </w:r>
                </w:p>
              </w:tc>
              <w:tc>
                <w:tcPr>
                  <w:tcW w:w="1080" w:type="dxa"/>
                  <w:tcBorders>
                    <w:tl2br w:val="nil"/>
                    <w:tr2bl w:val="nil"/>
                  </w:tcBorders>
                  <w:shd w:val="clear" w:color="auto" w:fill="auto"/>
                  <w:vAlign w:val="center"/>
                </w:tcPr>
                <w:p w14:paraId="5B449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6CB4A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3CB78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手术室</w:t>
                  </w:r>
                </w:p>
              </w:tc>
              <w:tc>
                <w:tcPr>
                  <w:tcW w:w="1748" w:type="dxa"/>
                  <w:tcBorders>
                    <w:tl2br w:val="nil"/>
                    <w:tr2bl w:val="nil"/>
                  </w:tcBorders>
                  <w:shd w:val="clear" w:color="auto" w:fill="auto"/>
                  <w:vAlign w:val="center"/>
                </w:tcPr>
                <w:p w14:paraId="19527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1895F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70F5B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485" w:type="dxa"/>
                  <w:tcBorders>
                    <w:tl2br w:val="nil"/>
                    <w:tr2bl w:val="nil"/>
                  </w:tcBorders>
                  <w:shd w:val="clear" w:color="auto" w:fill="auto"/>
                  <w:vAlign w:val="center"/>
                </w:tcPr>
                <w:p w14:paraId="47870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一次性尿片/尿垫</w:t>
                  </w:r>
                </w:p>
              </w:tc>
              <w:tc>
                <w:tcPr>
                  <w:tcW w:w="1080" w:type="dxa"/>
                  <w:tcBorders>
                    <w:tl2br w:val="nil"/>
                    <w:tr2bl w:val="nil"/>
                  </w:tcBorders>
                  <w:shd w:val="clear" w:color="auto" w:fill="auto"/>
                  <w:vAlign w:val="center"/>
                </w:tcPr>
                <w:p w14:paraId="36CBC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2E1E4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vAlign w:val="center"/>
                </w:tcPr>
                <w:p w14:paraId="729A6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vAlign w:val="center"/>
                </w:tcPr>
                <w:p w14:paraId="02A1A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vertAlign w:val="baseline"/>
                      <w:lang w:val="en-US" w:eastAsia="zh-CN"/>
                    </w:rPr>
                  </w:pPr>
                </w:p>
              </w:tc>
            </w:tr>
            <w:tr w14:paraId="45E71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704D0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485" w:type="dxa"/>
                  <w:tcBorders>
                    <w:tl2br w:val="nil"/>
                    <w:tr2bl w:val="nil"/>
                  </w:tcBorders>
                  <w:shd w:val="clear" w:color="auto" w:fill="auto"/>
                  <w:vAlign w:val="center"/>
                </w:tcPr>
                <w:p w14:paraId="35FE9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医用海绵</w:t>
                  </w:r>
                </w:p>
              </w:tc>
              <w:tc>
                <w:tcPr>
                  <w:tcW w:w="1080" w:type="dxa"/>
                  <w:tcBorders>
                    <w:tl2br w:val="nil"/>
                    <w:tr2bl w:val="nil"/>
                  </w:tcBorders>
                  <w:shd w:val="clear" w:color="auto" w:fill="auto"/>
                  <w:vAlign w:val="center"/>
                </w:tcPr>
                <w:p w14:paraId="29032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5494E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0B135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62117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52CC3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83D5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2485" w:type="dxa"/>
                  <w:tcBorders>
                    <w:tl2br w:val="nil"/>
                    <w:tr2bl w:val="nil"/>
                  </w:tcBorders>
                  <w:shd w:val="clear" w:color="auto" w:fill="auto"/>
                  <w:vAlign w:val="center"/>
                </w:tcPr>
                <w:p w14:paraId="2F85E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脱脂棉/棉块</w:t>
                  </w:r>
                </w:p>
              </w:tc>
              <w:tc>
                <w:tcPr>
                  <w:tcW w:w="1080" w:type="dxa"/>
                  <w:tcBorders>
                    <w:tl2br w:val="nil"/>
                    <w:tr2bl w:val="nil"/>
                  </w:tcBorders>
                  <w:shd w:val="clear" w:color="auto" w:fill="auto"/>
                  <w:vAlign w:val="center"/>
                </w:tcPr>
                <w:p w14:paraId="302DF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575C9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2F0D7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4ABB9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0B65AA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7D170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2485" w:type="dxa"/>
                  <w:tcBorders>
                    <w:tl2br w:val="nil"/>
                    <w:tr2bl w:val="nil"/>
                  </w:tcBorders>
                  <w:shd w:val="clear" w:color="auto" w:fill="auto"/>
                  <w:vAlign w:val="center"/>
                </w:tcPr>
                <w:p w14:paraId="65F69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棉签</w:t>
                  </w:r>
                </w:p>
              </w:tc>
              <w:tc>
                <w:tcPr>
                  <w:tcW w:w="1080" w:type="dxa"/>
                  <w:tcBorders>
                    <w:tl2br w:val="nil"/>
                    <w:tr2bl w:val="nil"/>
                  </w:tcBorders>
                  <w:shd w:val="clear" w:color="auto" w:fill="auto"/>
                  <w:vAlign w:val="center"/>
                </w:tcPr>
                <w:p w14:paraId="77B75C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7FD87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1378F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7391E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1DED8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02E6D0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c>
                <w:tcPr>
                  <w:tcW w:w="2485" w:type="dxa"/>
                  <w:tcBorders>
                    <w:tl2br w:val="nil"/>
                    <w:tr2bl w:val="nil"/>
                  </w:tcBorders>
                  <w:shd w:val="clear" w:color="auto" w:fill="auto"/>
                  <w:vAlign w:val="center"/>
                </w:tcPr>
                <w:p w14:paraId="62B5C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纱布</w:t>
                  </w:r>
                </w:p>
              </w:tc>
              <w:tc>
                <w:tcPr>
                  <w:tcW w:w="1080" w:type="dxa"/>
                  <w:tcBorders>
                    <w:tl2br w:val="nil"/>
                    <w:tr2bl w:val="nil"/>
                  </w:tcBorders>
                  <w:shd w:val="clear" w:color="auto" w:fill="auto"/>
                  <w:vAlign w:val="center"/>
                </w:tcPr>
                <w:p w14:paraId="16441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30892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10FCC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262DDA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20E0F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C393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9</w:t>
                  </w:r>
                </w:p>
              </w:tc>
              <w:tc>
                <w:tcPr>
                  <w:tcW w:w="2485" w:type="dxa"/>
                  <w:tcBorders>
                    <w:tl2br w:val="nil"/>
                    <w:tr2bl w:val="nil"/>
                  </w:tcBorders>
                  <w:shd w:val="clear" w:color="auto" w:fill="auto"/>
                  <w:vAlign w:val="center"/>
                </w:tcPr>
                <w:p w14:paraId="60125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碘伏</w:t>
                  </w:r>
                </w:p>
              </w:tc>
              <w:tc>
                <w:tcPr>
                  <w:tcW w:w="1080" w:type="dxa"/>
                  <w:tcBorders>
                    <w:tl2br w:val="nil"/>
                    <w:tr2bl w:val="nil"/>
                  </w:tcBorders>
                  <w:shd w:val="clear" w:color="auto" w:fill="auto"/>
                  <w:vAlign w:val="center"/>
                </w:tcPr>
                <w:p w14:paraId="7A0DB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0D5C69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01E9C0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3584B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3DDFE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6E6CB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2485" w:type="dxa"/>
                  <w:tcBorders>
                    <w:tl2br w:val="nil"/>
                    <w:tr2bl w:val="nil"/>
                  </w:tcBorders>
                  <w:shd w:val="clear" w:color="auto" w:fill="auto"/>
                  <w:vAlign w:val="center"/>
                </w:tcPr>
                <w:p w14:paraId="16B10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医用酒精</w:t>
                  </w:r>
                  <w:r>
                    <w:rPr>
                      <w:rFonts w:hint="eastAsia" w:cstheme="minorBidi"/>
                      <w:color w:val="auto"/>
                      <w:kern w:val="2"/>
                      <w:sz w:val="21"/>
                      <w:szCs w:val="21"/>
                      <w:vertAlign w:val="baseline"/>
                      <w:lang w:val="en-US" w:eastAsia="zh-CN" w:bidi="ar-SA"/>
                    </w:rPr>
                    <w:t>（乙醇）</w:t>
                  </w:r>
                </w:p>
              </w:tc>
              <w:tc>
                <w:tcPr>
                  <w:tcW w:w="1080" w:type="dxa"/>
                  <w:tcBorders>
                    <w:tl2br w:val="nil"/>
                    <w:tr2bl w:val="nil"/>
                  </w:tcBorders>
                  <w:shd w:val="clear" w:color="auto" w:fill="auto"/>
                  <w:vAlign w:val="center"/>
                </w:tcPr>
                <w:p w14:paraId="69098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0272D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12FFC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1BCA8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782A1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1579D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11</w:t>
                  </w:r>
                </w:p>
              </w:tc>
              <w:tc>
                <w:tcPr>
                  <w:tcW w:w="2485" w:type="dxa"/>
                  <w:tcBorders>
                    <w:tl2br w:val="nil"/>
                    <w:tr2bl w:val="nil"/>
                  </w:tcBorders>
                  <w:shd w:val="clear" w:color="auto" w:fill="auto"/>
                  <w:vAlign w:val="center"/>
                </w:tcPr>
                <w:p w14:paraId="62EFB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注射剂</w:t>
                  </w:r>
                </w:p>
              </w:tc>
              <w:tc>
                <w:tcPr>
                  <w:tcW w:w="1080" w:type="dxa"/>
                  <w:tcBorders>
                    <w:tl2br w:val="nil"/>
                    <w:tr2bl w:val="nil"/>
                  </w:tcBorders>
                  <w:shd w:val="clear" w:color="auto" w:fill="auto"/>
                  <w:vAlign w:val="center"/>
                </w:tcPr>
                <w:p w14:paraId="748C74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2F018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2C15A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7B13B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233107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64B44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12</w:t>
                  </w:r>
                </w:p>
              </w:tc>
              <w:tc>
                <w:tcPr>
                  <w:tcW w:w="2485" w:type="dxa"/>
                  <w:tcBorders>
                    <w:tl2br w:val="nil"/>
                    <w:tr2bl w:val="nil"/>
                  </w:tcBorders>
                  <w:shd w:val="clear" w:color="auto" w:fill="auto"/>
                  <w:vAlign w:val="center"/>
                </w:tcPr>
                <w:p w14:paraId="00763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检测试剂盘/试剂盒</w:t>
                  </w:r>
                </w:p>
              </w:tc>
              <w:tc>
                <w:tcPr>
                  <w:tcW w:w="1080" w:type="dxa"/>
                  <w:tcBorders>
                    <w:tl2br w:val="nil"/>
                    <w:tr2bl w:val="nil"/>
                  </w:tcBorders>
                  <w:shd w:val="clear" w:color="auto" w:fill="auto"/>
                  <w:vAlign w:val="center"/>
                </w:tcPr>
                <w:p w14:paraId="7726E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6DB3A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39597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748" w:type="dxa"/>
                  <w:tcBorders>
                    <w:tl2br w:val="nil"/>
                    <w:tr2bl w:val="nil"/>
                  </w:tcBorders>
                  <w:shd w:val="clear" w:color="auto" w:fill="auto"/>
                  <w:vAlign w:val="center"/>
                </w:tcPr>
                <w:p w14:paraId="479B1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2E6F81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6D581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13</w:t>
                  </w:r>
                </w:p>
              </w:tc>
              <w:tc>
                <w:tcPr>
                  <w:tcW w:w="2485" w:type="dxa"/>
                  <w:tcBorders>
                    <w:tl2br w:val="nil"/>
                    <w:tr2bl w:val="nil"/>
                  </w:tcBorders>
                  <w:shd w:val="clear" w:color="auto" w:fill="auto"/>
                  <w:vAlign w:val="center"/>
                </w:tcPr>
                <w:p w14:paraId="3C91C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检测卡</w:t>
                  </w:r>
                </w:p>
              </w:tc>
              <w:tc>
                <w:tcPr>
                  <w:tcW w:w="1080" w:type="dxa"/>
                  <w:tcBorders>
                    <w:tl2br w:val="nil"/>
                    <w:tr2bl w:val="nil"/>
                  </w:tcBorders>
                  <w:shd w:val="clear" w:color="auto" w:fill="auto"/>
                  <w:vAlign w:val="center"/>
                </w:tcPr>
                <w:p w14:paraId="11E4E5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1FDFE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6AD6E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748" w:type="dxa"/>
                  <w:tcBorders>
                    <w:tl2br w:val="nil"/>
                    <w:tr2bl w:val="nil"/>
                  </w:tcBorders>
                  <w:shd w:val="clear" w:color="auto" w:fill="auto"/>
                  <w:vAlign w:val="center"/>
                </w:tcPr>
                <w:p w14:paraId="49EB8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105B9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CD28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14</w:t>
                  </w:r>
                </w:p>
              </w:tc>
              <w:tc>
                <w:tcPr>
                  <w:tcW w:w="2485" w:type="dxa"/>
                  <w:tcBorders>
                    <w:tl2br w:val="nil"/>
                    <w:tr2bl w:val="nil"/>
                  </w:tcBorders>
                  <w:shd w:val="clear" w:color="auto" w:fill="auto"/>
                  <w:vAlign w:val="center"/>
                </w:tcPr>
                <w:p w14:paraId="3229A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检测试纸</w:t>
                  </w:r>
                </w:p>
              </w:tc>
              <w:tc>
                <w:tcPr>
                  <w:tcW w:w="1080" w:type="dxa"/>
                  <w:tcBorders>
                    <w:tl2br w:val="nil"/>
                    <w:tr2bl w:val="nil"/>
                  </w:tcBorders>
                  <w:shd w:val="clear" w:color="auto" w:fill="auto"/>
                  <w:vAlign w:val="center"/>
                </w:tcPr>
                <w:p w14:paraId="2ACCC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21283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7553D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化验室</w:t>
                  </w:r>
                </w:p>
              </w:tc>
              <w:tc>
                <w:tcPr>
                  <w:tcW w:w="1748" w:type="dxa"/>
                  <w:tcBorders>
                    <w:tl2br w:val="nil"/>
                    <w:tr2bl w:val="nil"/>
                  </w:tcBorders>
                  <w:shd w:val="clear" w:color="auto" w:fill="auto"/>
                  <w:vAlign w:val="center"/>
                </w:tcPr>
                <w:p w14:paraId="5FB61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0ABEE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F8AD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2485" w:type="dxa"/>
                  <w:tcBorders>
                    <w:tl2br w:val="nil"/>
                    <w:tr2bl w:val="nil"/>
                  </w:tcBorders>
                  <w:shd w:val="clear" w:color="auto" w:fill="auto"/>
                  <w:vAlign w:val="center"/>
                </w:tcPr>
                <w:p w14:paraId="6A1E2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兽用药品</w:t>
                  </w:r>
                </w:p>
              </w:tc>
              <w:tc>
                <w:tcPr>
                  <w:tcW w:w="1080" w:type="dxa"/>
                  <w:tcBorders>
                    <w:tl2br w:val="nil"/>
                    <w:tr2bl w:val="nil"/>
                  </w:tcBorders>
                  <w:shd w:val="clear" w:color="auto" w:fill="auto"/>
                  <w:vAlign w:val="center"/>
                </w:tcPr>
                <w:p w14:paraId="03E7D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7872B6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688C2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7A2EB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75859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3EB0A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16</w:t>
                  </w:r>
                </w:p>
              </w:tc>
              <w:tc>
                <w:tcPr>
                  <w:tcW w:w="2485" w:type="dxa"/>
                  <w:tcBorders>
                    <w:tl2br w:val="nil"/>
                    <w:tr2bl w:val="nil"/>
                  </w:tcBorders>
                  <w:shd w:val="clear" w:color="auto" w:fill="auto"/>
                  <w:vAlign w:val="center"/>
                </w:tcPr>
                <w:p w14:paraId="5E926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84消毒液（次氯酸钠）</w:t>
                  </w:r>
                </w:p>
              </w:tc>
              <w:tc>
                <w:tcPr>
                  <w:tcW w:w="1080" w:type="dxa"/>
                  <w:tcBorders>
                    <w:tl2br w:val="nil"/>
                    <w:tr2bl w:val="nil"/>
                  </w:tcBorders>
                  <w:shd w:val="clear" w:color="auto" w:fill="auto"/>
                  <w:vAlign w:val="center"/>
                </w:tcPr>
                <w:p w14:paraId="715E1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2216A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7C941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6841D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4A0AE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2037D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17</w:t>
                  </w:r>
                </w:p>
              </w:tc>
              <w:tc>
                <w:tcPr>
                  <w:tcW w:w="2485" w:type="dxa"/>
                  <w:tcBorders>
                    <w:tl2br w:val="nil"/>
                    <w:tr2bl w:val="nil"/>
                  </w:tcBorders>
                  <w:shd w:val="clear" w:color="auto" w:fill="auto"/>
                  <w:vAlign w:val="center"/>
                </w:tcPr>
                <w:p w14:paraId="128EC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次氯酸钠</w:t>
                  </w:r>
                  <w:r>
                    <w:rPr>
                      <w:rFonts w:hint="eastAsia" w:cstheme="minorBidi"/>
                      <w:color w:val="auto"/>
                      <w:kern w:val="2"/>
                      <w:sz w:val="21"/>
                      <w:szCs w:val="21"/>
                      <w:vertAlign w:val="baseline"/>
                      <w:lang w:val="en-US" w:eastAsia="zh-CN" w:bidi="ar-SA"/>
                    </w:rPr>
                    <w:t>消毒剂</w:t>
                  </w:r>
                </w:p>
              </w:tc>
              <w:tc>
                <w:tcPr>
                  <w:tcW w:w="1080" w:type="dxa"/>
                  <w:tcBorders>
                    <w:tl2br w:val="nil"/>
                    <w:tr2bl w:val="nil"/>
                  </w:tcBorders>
                  <w:shd w:val="clear" w:color="auto" w:fill="auto"/>
                  <w:vAlign w:val="center"/>
                </w:tcPr>
                <w:p w14:paraId="37BA76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76F3B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20A7C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1C7F3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5DA69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00541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w:t>
                  </w:r>
                </w:p>
              </w:tc>
              <w:tc>
                <w:tcPr>
                  <w:tcW w:w="2485" w:type="dxa"/>
                  <w:tcBorders>
                    <w:tl2br w:val="nil"/>
                    <w:tr2bl w:val="nil"/>
                  </w:tcBorders>
                  <w:shd w:val="clear" w:color="auto" w:fill="auto"/>
                  <w:vAlign w:val="center"/>
                </w:tcPr>
                <w:p w14:paraId="4B45F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活性炭</w:t>
                  </w:r>
                </w:p>
              </w:tc>
              <w:tc>
                <w:tcPr>
                  <w:tcW w:w="1080" w:type="dxa"/>
                  <w:tcBorders>
                    <w:tl2br w:val="nil"/>
                    <w:tr2bl w:val="nil"/>
                  </w:tcBorders>
                  <w:shd w:val="clear" w:color="auto" w:fill="auto"/>
                  <w:vAlign w:val="center"/>
                </w:tcPr>
                <w:p w14:paraId="18D61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6FDC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61B18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5633F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r w14:paraId="7A968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vAlign w:val="center"/>
                </w:tcPr>
                <w:p w14:paraId="5E45F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19</w:t>
                  </w:r>
                </w:p>
              </w:tc>
              <w:tc>
                <w:tcPr>
                  <w:tcW w:w="2485" w:type="dxa"/>
                  <w:tcBorders>
                    <w:tl2br w:val="nil"/>
                    <w:tr2bl w:val="nil"/>
                  </w:tcBorders>
                  <w:shd w:val="clear" w:color="auto" w:fill="auto"/>
                  <w:vAlign w:val="center"/>
                </w:tcPr>
                <w:p w14:paraId="073AB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stheme="minorBidi"/>
                      <w:color w:val="auto"/>
                      <w:kern w:val="2"/>
                      <w:sz w:val="21"/>
                      <w:szCs w:val="21"/>
                      <w:vertAlign w:val="baseline"/>
                      <w:lang w:val="en-US" w:eastAsia="zh-CN" w:bidi="ar-SA"/>
                    </w:rPr>
                    <w:t>猫砂</w:t>
                  </w:r>
                </w:p>
              </w:tc>
              <w:tc>
                <w:tcPr>
                  <w:tcW w:w="1080" w:type="dxa"/>
                  <w:tcBorders>
                    <w:tl2br w:val="nil"/>
                    <w:tr2bl w:val="nil"/>
                  </w:tcBorders>
                  <w:shd w:val="clear" w:color="auto" w:fill="auto"/>
                  <w:vAlign w:val="center"/>
                </w:tcPr>
                <w:p w14:paraId="1502B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945" w:type="dxa"/>
                  <w:tcBorders>
                    <w:tl2br w:val="nil"/>
                    <w:tr2bl w:val="nil"/>
                  </w:tcBorders>
                  <w:shd w:val="clear" w:color="auto" w:fill="auto"/>
                  <w:vAlign w:val="center"/>
                </w:tcPr>
                <w:p w14:paraId="19AED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p>
              </w:tc>
              <w:tc>
                <w:tcPr>
                  <w:tcW w:w="1103" w:type="dxa"/>
                  <w:tcBorders>
                    <w:tl2br w:val="nil"/>
                    <w:tr2bl w:val="nil"/>
                  </w:tcBorders>
                  <w:shd w:val="clear" w:color="auto" w:fill="auto"/>
                  <w:vAlign w:val="center"/>
                </w:tcPr>
                <w:p w14:paraId="3283C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stheme="minorBidi"/>
                      <w:color w:val="auto"/>
                      <w:kern w:val="2"/>
                      <w:sz w:val="21"/>
                      <w:szCs w:val="21"/>
                      <w:vertAlign w:val="baseline"/>
                      <w:lang w:val="en-US" w:eastAsia="zh-CN" w:bidi="ar-SA"/>
                    </w:rPr>
                    <w:t>药房</w:t>
                  </w:r>
                </w:p>
              </w:tc>
              <w:tc>
                <w:tcPr>
                  <w:tcW w:w="1748" w:type="dxa"/>
                  <w:tcBorders>
                    <w:tl2br w:val="nil"/>
                    <w:tr2bl w:val="nil"/>
                  </w:tcBorders>
                  <w:shd w:val="clear" w:color="auto" w:fill="auto"/>
                  <w:vAlign w:val="center"/>
                </w:tcPr>
                <w:p w14:paraId="1FF16C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p>
              </w:tc>
            </w:tr>
          </w:tbl>
          <w:p w14:paraId="04CFA181">
            <w:pPr>
              <w:pStyle w:val="11"/>
              <w:bidi w:val="0"/>
              <w:rPr>
                <w:rFonts w:hint="eastAsia"/>
                <w:lang w:val="en-US" w:eastAsia="zh-CN"/>
              </w:rPr>
            </w:pPr>
            <w:r>
              <w:rPr>
                <w:rFonts w:hint="eastAsia"/>
                <w:lang w:val="en-US" w:eastAsia="zh-CN"/>
              </w:rPr>
              <w:t>表2-3 主要原辅材料理化性质一览表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94"/>
              <w:gridCol w:w="6066"/>
            </w:tblGrid>
            <w:tr w14:paraId="29B24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681333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806" w:type="pct"/>
                  <w:tcBorders>
                    <w:tl2br w:val="nil"/>
                    <w:tr2bl w:val="nil"/>
                  </w:tcBorders>
                  <w:vAlign w:val="center"/>
                </w:tcPr>
                <w:p w14:paraId="75A93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3780" w:type="pct"/>
                  <w:tcBorders>
                    <w:tl2br w:val="nil"/>
                    <w:tr2bl w:val="nil"/>
                  </w:tcBorders>
                  <w:vAlign w:val="center"/>
                </w:tcPr>
                <w:p w14:paraId="3F663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主要成分及理化性质</w:t>
                  </w:r>
                </w:p>
              </w:tc>
            </w:tr>
            <w:tr w14:paraId="177900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tcBorders>
                    <w:tl2br w:val="nil"/>
                    <w:tr2bl w:val="nil"/>
                  </w:tcBorders>
                  <w:vAlign w:val="center"/>
                </w:tcPr>
                <w:p w14:paraId="02BAA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p>
              </w:tc>
              <w:tc>
                <w:tcPr>
                  <w:tcW w:w="806" w:type="pct"/>
                  <w:tcBorders>
                    <w:tl2br w:val="nil"/>
                    <w:tr2bl w:val="nil"/>
                  </w:tcBorders>
                  <w:shd w:val="clear" w:color="auto" w:fill="auto"/>
                  <w:vAlign w:val="center"/>
                </w:tcPr>
                <w:p w14:paraId="12486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医用酒精（乙醇）</w:t>
                  </w:r>
                </w:p>
              </w:tc>
              <w:tc>
                <w:tcPr>
                  <w:tcW w:w="3780" w:type="pct"/>
                  <w:tcBorders>
                    <w:tl2br w:val="nil"/>
                    <w:tr2bl w:val="nil"/>
                  </w:tcBorders>
                  <w:vAlign w:val="center"/>
                </w:tcPr>
                <w:p w14:paraId="13EB4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次氯酸钠是一种无机物，化学式为NaClO，是最普通的家庭洗涤</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氯</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漂白剂。分子量74.44，熔点-6℃，沸点102.2℃，水溶性：可溶，密度：1.2g/cm</w:t>
                  </w:r>
                  <w:r>
                    <w:rPr>
                      <w:rFonts w:hint="eastAsia"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外观为微黄色溶液，有似氯气的气味。应用：水的净化，及作消毒剂、纸浆漂白，医药工业中用制氯胺。危险性类别：腐蚀品，侵入途径：吸入、食入、皮肤接触吸收。健康危害：经常用手接触本品的工人，手掌大量出汗，指甲变薄，毛发脱落。本品有致敏作用。本品与盐酸混合放出的氯气有可能引起中毒。环境危害：无明显污染。燃爆危险：本品不燃，具腐蚀性，可致人体灼伤，具有致敏性。</w:t>
                  </w:r>
                </w:p>
              </w:tc>
            </w:tr>
            <w:tr w14:paraId="33D6E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tcBorders>
                    <w:tl2br w:val="nil"/>
                    <w:tr2bl w:val="nil"/>
                  </w:tcBorders>
                  <w:shd w:val="clear" w:color="auto" w:fill="auto"/>
                  <w:vAlign w:val="center"/>
                </w:tcPr>
                <w:p w14:paraId="1E863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p>
              </w:tc>
              <w:tc>
                <w:tcPr>
                  <w:tcW w:w="806" w:type="pct"/>
                  <w:tcBorders>
                    <w:tl2br w:val="nil"/>
                    <w:tr2bl w:val="nil"/>
                  </w:tcBorders>
                  <w:shd w:val="clear" w:color="auto" w:fill="auto"/>
                  <w:vAlign w:val="center"/>
                </w:tcPr>
                <w:p w14:paraId="3E7FC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次氯酸钠</w:t>
                  </w:r>
                </w:p>
              </w:tc>
              <w:tc>
                <w:tcPr>
                  <w:tcW w:w="3780" w:type="pct"/>
                  <w:tcBorders>
                    <w:tl2br w:val="nil"/>
                    <w:tr2bl w:val="nil"/>
                  </w:tcBorders>
                  <w:vAlign w:val="center"/>
                </w:tcPr>
                <w:p w14:paraId="0491D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分子式：C</w:t>
                  </w:r>
                  <w:r>
                    <w:rPr>
                      <w:rFonts w:hint="eastAsia" w:cs="Times New Roman"/>
                      <w:color w:val="auto"/>
                      <w:sz w:val="21"/>
                      <w:szCs w:val="21"/>
                      <w:vertAlign w:val="subscript"/>
                      <w:lang w:val="en-US" w:eastAsia="zh-CN"/>
                    </w:rPr>
                    <w:t>4</w:t>
                  </w:r>
                  <w:r>
                    <w:rPr>
                      <w:rFonts w:hint="eastAsia" w:cs="Times New Roman"/>
                      <w:color w:val="auto"/>
                      <w:sz w:val="21"/>
                      <w:szCs w:val="21"/>
                      <w:vertAlign w:val="baseline"/>
                      <w:lang w:val="en-US" w:eastAsia="zh-CN"/>
                    </w:rPr>
                    <w:t>H</w:t>
                  </w:r>
                  <w:r>
                    <w:rPr>
                      <w:rFonts w:hint="eastAsia" w:cs="Times New Roman"/>
                      <w:color w:val="auto"/>
                      <w:sz w:val="21"/>
                      <w:szCs w:val="21"/>
                      <w:vertAlign w:val="subscript"/>
                      <w:lang w:val="en-US" w:eastAsia="zh-CN"/>
                    </w:rPr>
                    <w:t>8</w:t>
                  </w:r>
                  <w:r>
                    <w:rPr>
                      <w:rFonts w:hint="eastAsia" w:cs="Times New Roman"/>
                      <w:color w:val="auto"/>
                      <w:sz w:val="21"/>
                      <w:szCs w:val="21"/>
                      <w:vertAlign w:val="baseline"/>
                      <w:lang w:val="en-US" w:eastAsia="zh-CN"/>
                    </w:rPr>
                    <w:t>O</w:t>
                  </w:r>
                  <w:r>
                    <w:rPr>
                      <w:rFonts w:hint="eastAsia" w:cs="Times New Roman"/>
                      <w:color w:val="auto"/>
                      <w:sz w:val="21"/>
                      <w:szCs w:val="21"/>
                      <w:vertAlign w:val="subscript"/>
                      <w:lang w:val="en-US" w:eastAsia="zh-CN"/>
                    </w:rPr>
                    <w:t>2</w:t>
                  </w:r>
                  <w:r>
                    <w:rPr>
                      <w:rFonts w:hint="eastAsia" w:cs="Times New Roman"/>
                      <w:color w:val="auto"/>
                      <w:sz w:val="21"/>
                      <w:szCs w:val="21"/>
                      <w:vertAlign w:val="baseline"/>
                      <w:lang w:val="en-US" w:eastAsia="zh-CN"/>
                    </w:rPr>
                    <w:t>；分子量：88.10；</w:t>
                  </w:r>
                  <w:r>
                    <w:rPr>
                      <w:rFonts w:hint="default" w:ascii="Times New Roman" w:hAnsi="Times New Roman" w:cs="Times New Roman"/>
                      <w:color w:val="auto"/>
                      <w:sz w:val="21"/>
                      <w:szCs w:val="21"/>
                      <w:vertAlign w:val="baseline"/>
                      <w:lang w:val="en-US" w:eastAsia="zh-CN"/>
                    </w:rPr>
                    <w:t>CAS号：</w:t>
                  </w:r>
                  <w:r>
                    <w:rPr>
                      <w:rFonts w:hint="eastAsia" w:cs="Times New Roman"/>
                      <w:color w:val="auto"/>
                      <w:sz w:val="21"/>
                      <w:szCs w:val="21"/>
                      <w:vertAlign w:val="baseline"/>
                      <w:lang w:val="en-US" w:eastAsia="zh-CN"/>
                    </w:rPr>
                    <w:t>141</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78</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6</w:t>
                  </w:r>
                  <w:r>
                    <w:rPr>
                      <w:rFonts w:hint="default" w:ascii="Times New Roman" w:hAnsi="Times New Roman" w:cs="Times New Roman"/>
                      <w:color w:val="auto"/>
                      <w:sz w:val="21"/>
                      <w:szCs w:val="21"/>
                      <w:vertAlign w:val="baseline"/>
                      <w:lang w:val="en-US" w:eastAsia="zh-CN"/>
                    </w:rPr>
                    <w:t>。</w:t>
                  </w:r>
                </w:p>
                <w:p w14:paraId="09374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外观与性状：无色</w:t>
                  </w:r>
                  <w:r>
                    <w:rPr>
                      <w:rFonts w:hint="eastAsia" w:cs="Times New Roman"/>
                      <w:color w:val="auto"/>
                      <w:sz w:val="21"/>
                      <w:szCs w:val="21"/>
                      <w:vertAlign w:val="baseline"/>
                      <w:lang w:val="en-US" w:eastAsia="zh-CN"/>
                    </w:rPr>
                    <w:t>透明水样</w:t>
                  </w:r>
                  <w:r>
                    <w:rPr>
                      <w:rFonts w:hint="default" w:ascii="Times New Roman" w:hAnsi="Times New Roman" w:cs="Times New Roman"/>
                      <w:color w:val="auto"/>
                      <w:sz w:val="21"/>
                      <w:szCs w:val="21"/>
                      <w:vertAlign w:val="baseline"/>
                      <w:lang w:val="en-US" w:eastAsia="zh-CN"/>
                    </w:rPr>
                    <w:t>液体，</w:t>
                  </w:r>
                  <w:r>
                    <w:rPr>
                      <w:rFonts w:hint="eastAsia" w:cs="Times New Roman"/>
                      <w:color w:val="auto"/>
                      <w:sz w:val="21"/>
                      <w:szCs w:val="21"/>
                      <w:vertAlign w:val="baseline"/>
                      <w:lang w:val="en-US" w:eastAsia="zh-CN"/>
                    </w:rPr>
                    <w:t>易挥发，有水果香味</w:t>
                  </w:r>
                  <w:r>
                    <w:rPr>
                      <w:rFonts w:hint="default" w:ascii="Times New Roman" w:hAnsi="Times New Roman" w:cs="Times New Roman"/>
                      <w:color w:val="auto"/>
                      <w:sz w:val="21"/>
                      <w:szCs w:val="21"/>
                      <w:vertAlign w:val="baseline"/>
                      <w:lang w:val="en-US" w:eastAsia="zh-CN"/>
                    </w:rPr>
                    <w:t>。</w:t>
                  </w:r>
                </w:p>
                <w:p w14:paraId="4118D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熔点：-</w:t>
                  </w:r>
                  <w:r>
                    <w:rPr>
                      <w:rFonts w:hint="eastAsia" w:cs="Times New Roman"/>
                      <w:color w:val="auto"/>
                      <w:sz w:val="21"/>
                      <w:szCs w:val="21"/>
                      <w:vertAlign w:val="baseline"/>
                      <w:lang w:val="en-US" w:eastAsia="zh-CN"/>
                    </w:rPr>
                    <w:t>83.6</w:t>
                  </w:r>
                  <w:r>
                    <w:rPr>
                      <w:rFonts w:hint="default" w:ascii="Times New Roman" w:hAnsi="Times New Roman" w:cs="Times New Roman"/>
                      <w:color w:val="auto"/>
                      <w:sz w:val="21"/>
                      <w:szCs w:val="21"/>
                      <w:vertAlign w:val="baseline"/>
                      <w:lang w:val="en-US" w:eastAsia="zh-CN"/>
                    </w:rPr>
                    <w:t>℃；沸点：</w:t>
                  </w:r>
                  <w:r>
                    <w:rPr>
                      <w:rFonts w:hint="eastAsia" w:cs="Times New Roman"/>
                      <w:color w:val="auto"/>
                      <w:sz w:val="21"/>
                      <w:szCs w:val="21"/>
                      <w:vertAlign w:val="baseline"/>
                      <w:lang w:val="en-US" w:eastAsia="zh-CN"/>
                    </w:rPr>
                    <w:t>77.15</w:t>
                  </w:r>
                  <w:r>
                    <w:rPr>
                      <w:rFonts w:hint="default" w:ascii="Times New Roman" w:hAnsi="Times New Roman" w:cs="Times New Roman"/>
                      <w:color w:val="auto"/>
                      <w:sz w:val="21"/>
                      <w:szCs w:val="21"/>
                      <w:vertAlign w:val="baseline"/>
                      <w:lang w:val="en-US" w:eastAsia="zh-CN"/>
                    </w:rPr>
                    <w:t>℃；相对密度（水=1）：</w:t>
                  </w:r>
                  <w:r>
                    <w:rPr>
                      <w:rFonts w:hint="eastAsia" w:cs="Times New Roman"/>
                      <w:color w:val="auto"/>
                      <w:sz w:val="21"/>
                      <w:szCs w:val="21"/>
                      <w:vertAlign w:val="baseline"/>
                      <w:lang w:val="en-US" w:eastAsia="zh-CN"/>
                    </w:rPr>
                    <w:t>0.90。</w:t>
                  </w:r>
                </w:p>
                <w:p w14:paraId="30A6E9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溶解性：</w:t>
                  </w:r>
                  <w:r>
                    <w:rPr>
                      <w:rFonts w:hint="eastAsia" w:cs="Times New Roman"/>
                      <w:color w:val="auto"/>
                      <w:sz w:val="21"/>
                      <w:szCs w:val="21"/>
                      <w:vertAlign w:val="baseline"/>
                      <w:lang w:val="en-US" w:eastAsia="zh-CN"/>
                    </w:rPr>
                    <w:t>与乙醇、丙酮、氯仿、乙醚混溶</w:t>
                  </w:r>
                  <w:r>
                    <w:rPr>
                      <w:rFonts w:hint="default" w:ascii="Times New Roman" w:hAnsi="Times New Roman" w:cs="Times New Roman"/>
                      <w:color w:val="auto"/>
                      <w:sz w:val="21"/>
                      <w:szCs w:val="21"/>
                      <w:vertAlign w:val="baseline"/>
                      <w:lang w:val="en-US" w:eastAsia="zh-CN"/>
                    </w:rPr>
                    <w:t>。</w:t>
                  </w:r>
                </w:p>
                <w:p w14:paraId="76F840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LD</w:t>
                  </w:r>
                  <w:r>
                    <w:rPr>
                      <w:rFonts w:hint="default" w:ascii="Times New Roman" w:hAnsi="Times New Roman" w:cs="Times New Roman"/>
                      <w:color w:val="auto"/>
                      <w:sz w:val="21"/>
                      <w:szCs w:val="21"/>
                      <w:vertAlign w:val="subscript"/>
                      <w:lang w:val="en-US" w:eastAsia="zh-CN"/>
                    </w:rPr>
                    <w:t>50</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5620</w:t>
                  </w:r>
                  <w:r>
                    <w:rPr>
                      <w:rFonts w:hint="default" w:ascii="Times New Roman" w:hAnsi="Times New Roman" w:cs="Times New Roman"/>
                      <w:color w:val="auto"/>
                      <w:sz w:val="21"/>
                      <w:szCs w:val="21"/>
                      <w:vertAlign w:val="baseline"/>
                      <w:lang w:val="en-US" w:eastAsia="zh-CN"/>
                    </w:rPr>
                    <w:t>mg/kg（</w:t>
                  </w:r>
                  <w:r>
                    <w:rPr>
                      <w:rFonts w:hint="eastAsia" w:cs="Times New Roman"/>
                      <w:color w:val="auto"/>
                      <w:sz w:val="21"/>
                      <w:szCs w:val="21"/>
                      <w:vertAlign w:val="baseline"/>
                      <w:lang w:val="en-US" w:eastAsia="zh-CN"/>
                    </w:rPr>
                    <w:t>大鼠经口</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，4940</w:t>
                  </w:r>
                  <w:r>
                    <w:rPr>
                      <w:rFonts w:hint="default" w:ascii="Times New Roman" w:hAnsi="Times New Roman" w:cs="Times New Roman"/>
                      <w:color w:val="auto"/>
                      <w:sz w:val="21"/>
                      <w:szCs w:val="21"/>
                      <w:vertAlign w:val="baseline"/>
                      <w:lang w:val="en-US" w:eastAsia="zh-CN"/>
                    </w:rPr>
                    <w:t>mg/kg（</w:t>
                  </w:r>
                  <w:r>
                    <w:rPr>
                      <w:rFonts w:hint="eastAsia" w:cs="Times New Roman"/>
                      <w:color w:val="auto"/>
                      <w:sz w:val="21"/>
                      <w:szCs w:val="21"/>
                      <w:vertAlign w:val="baseline"/>
                      <w:lang w:val="en-US" w:eastAsia="zh-CN"/>
                    </w:rPr>
                    <w:t>兔经口</w:t>
                  </w:r>
                  <w:r>
                    <w:rPr>
                      <w:rFonts w:hint="default" w:ascii="Times New Roman" w:hAnsi="Times New Roman" w:cs="Times New Roman"/>
                      <w:color w:val="auto"/>
                      <w:sz w:val="21"/>
                      <w:szCs w:val="21"/>
                      <w:vertAlign w:val="baseline"/>
                      <w:lang w:val="en-US" w:eastAsia="zh-CN"/>
                    </w:rPr>
                    <w:t>）；LC</w:t>
                  </w:r>
                  <w:r>
                    <w:rPr>
                      <w:rFonts w:hint="default" w:ascii="Times New Roman" w:hAnsi="Times New Roman" w:cs="Times New Roman"/>
                      <w:color w:val="auto"/>
                      <w:sz w:val="21"/>
                      <w:szCs w:val="21"/>
                      <w:vertAlign w:val="subscript"/>
                      <w:lang w:val="en-US" w:eastAsia="zh-CN"/>
                    </w:rPr>
                    <w:t>50</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5760</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（大鼠吸入，</w:t>
                  </w:r>
                  <w:r>
                    <w:rPr>
                      <w:rFonts w:hint="eastAsia"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h）。</w:t>
                  </w:r>
                </w:p>
              </w:tc>
            </w:tr>
          </w:tbl>
          <w:p w14:paraId="425047EC">
            <w:pPr>
              <w:rPr>
                <w:rFonts w:hint="default"/>
                <w:vertAlign w:val="baseline"/>
                <w:lang w:val="en-US" w:eastAsia="zh-CN"/>
              </w:rPr>
            </w:pPr>
            <w:r>
              <w:rPr>
                <w:rFonts w:hint="eastAsia"/>
                <w:vertAlign w:val="baseline"/>
                <w:lang w:val="en-US" w:eastAsia="zh-CN"/>
              </w:rPr>
              <w:t>4、</w:t>
            </w:r>
            <w:r>
              <w:rPr>
                <w:rFonts w:hint="eastAsia"/>
                <w:highlight w:val="none"/>
                <w:vertAlign w:val="baseline"/>
                <w:lang w:val="en-US" w:eastAsia="zh-CN"/>
              </w:rPr>
              <w:t>平面布置</w:t>
            </w:r>
          </w:p>
          <w:p w14:paraId="2E4A50FB">
            <w:pPr>
              <w:rPr>
                <w:rFonts w:hint="eastAsia"/>
                <w:vertAlign w:val="baseline"/>
                <w:lang w:val="en-US" w:eastAsia="zh-CN"/>
              </w:rPr>
            </w:pPr>
            <w:r>
              <w:rPr>
                <w:rFonts w:hint="eastAsia"/>
                <w:vertAlign w:val="baseline"/>
                <w:lang w:val="en-US" w:eastAsia="zh-CN"/>
              </w:rPr>
              <w:t>本项目租用北京市丰台区怡海路2号5幢一层2-2室，总建筑面积247.00m</w:t>
            </w:r>
            <w:r>
              <w:rPr>
                <w:rFonts w:hint="eastAsia"/>
                <w:vertAlign w:val="superscript"/>
                <w:lang w:val="en-US" w:eastAsia="zh-CN"/>
              </w:rPr>
              <w:t>2</w:t>
            </w:r>
            <w:r>
              <w:rPr>
                <w:rFonts w:hint="eastAsia"/>
                <w:vertAlign w:val="baseline"/>
                <w:lang w:val="en-US" w:eastAsia="zh-CN"/>
              </w:rPr>
              <w:t>，房屋经营动物医院，其室内功能包括：美容室、诊室、免疫室、超声室、药房、DR室、化验室、医疗废物暂存间、手术室、住院房、休息室。其中医疗废物暂存间位于室内中东部，污水处理设备安装在医院手术室、美容室、化验室内，活性炭净化装置安装在医院西南侧猫住院房上方的吊顶内。</w:t>
            </w:r>
          </w:p>
          <w:p w14:paraId="2C6092C6">
            <w:pPr>
              <w:rPr>
                <w:rFonts w:hint="default"/>
                <w:vertAlign w:val="baseline"/>
                <w:lang w:val="en-US" w:eastAsia="zh-CN"/>
              </w:rPr>
            </w:pPr>
            <w:r>
              <w:rPr>
                <w:rFonts w:hint="default" w:ascii="Times New Roman" w:hAnsi="Times New Roman" w:cs="Times New Roman"/>
                <w:vertAlign w:val="baseline"/>
                <w:lang w:val="en-US" w:eastAsia="zh-CN"/>
              </w:rPr>
              <w:t>项目</w:t>
            </w:r>
            <w:r>
              <w:rPr>
                <w:rFonts w:hint="eastAsia"/>
                <w:vertAlign w:val="baseline"/>
                <w:lang w:val="en-US" w:eastAsia="zh-CN"/>
              </w:rPr>
              <w:t>平面布置详见附图3。</w:t>
            </w:r>
          </w:p>
          <w:p w14:paraId="6C7AB2B8">
            <w:pPr>
              <w:rPr>
                <w:rFonts w:hint="default"/>
                <w:vertAlign w:val="baseline"/>
                <w:lang w:val="en-US" w:eastAsia="zh-CN"/>
              </w:rPr>
            </w:pPr>
            <w:r>
              <w:rPr>
                <w:rFonts w:hint="eastAsia"/>
                <w:vertAlign w:val="baseline"/>
                <w:lang w:val="en-US" w:eastAsia="zh-CN"/>
              </w:rPr>
              <w:t>5、地理位置及周边关系</w:t>
            </w:r>
          </w:p>
          <w:p w14:paraId="3A6E843D">
            <w:pPr>
              <w:rPr>
                <w:rFonts w:hint="default"/>
                <w:vertAlign w:val="baseline"/>
                <w:lang w:val="en-US" w:eastAsia="zh-CN"/>
              </w:rPr>
            </w:pPr>
            <w:r>
              <w:rPr>
                <w:rFonts w:hint="eastAsia"/>
                <w:vertAlign w:val="baseline"/>
                <w:lang w:val="en-US" w:eastAsia="zh-CN"/>
              </w:rPr>
              <w:t>（1）地理位置</w:t>
            </w:r>
          </w:p>
          <w:p w14:paraId="7C8A8FB7">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本项目建设地点为北京市丰台区怡海路2号5幢一层2-2室，地理坐标为东经116°17′41.412″，北纬39°49′55.896″。</w:t>
            </w:r>
          </w:p>
          <w:p w14:paraId="11A84DE4">
            <w:pPr>
              <w:rPr>
                <w:rFonts w:hint="default"/>
                <w:vertAlign w:val="baseline"/>
                <w:lang w:val="en-US" w:eastAsia="zh-CN"/>
              </w:rPr>
            </w:pPr>
            <w:r>
              <w:rPr>
                <w:rFonts w:hint="default" w:ascii="Times New Roman" w:hAnsi="Times New Roman" w:cs="Times New Roman"/>
                <w:vertAlign w:val="baseline"/>
                <w:lang w:val="en-US" w:eastAsia="zh-CN"/>
              </w:rPr>
              <w:t>项目</w:t>
            </w:r>
            <w:r>
              <w:rPr>
                <w:rFonts w:hint="eastAsia"/>
                <w:vertAlign w:val="baseline"/>
                <w:lang w:val="en-US" w:eastAsia="zh-CN"/>
              </w:rPr>
              <w:t>地理位置详见附图1。</w:t>
            </w:r>
          </w:p>
          <w:p w14:paraId="34118705">
            <w:pPr>
              <w:rPr>
                <w:rFonts w:hint="default"/>
                <w:highlight w:val="none"/>
                <w:vertAlign w:val="baseline"/>
                <w:lang w:val="en-US" w:eastAsia="zh-CN"/>
              </w:rPr>
            </w:pPr>
            <w:r>
              <w:rPr>
                <w:rFonts w:hint="eastAsia"/>
                <w:highlight w:val="none"/>
                <w:vertAlign w:val="baseline"/>
                <w:lang w:val="en-US" w:eastAsia="zh-CN"/>
              </w:rPr>
              <w:t>（2）周边关系</w:t>
            </w:r>
          </w:p>
          <w:p w14:paraId="7E1D02A9">
            <w:pPr>
              <w:rPr>
                <w:rFonts w:hint="default"/>
                <w:vertAlign w:val="baseline"/>
                <w:lang w:val="en-US" w:eastAsia="zh-CN"/>
              </w:rPr>
            </w:pPr>
            <w:r>
              <w:rPr>
                <w:rFonts w:hint="eastAsia"/>
                <w:vertAlign w:val="baseline"/>
                <w:lang w:val="en-US" w:eastAsia="zh-CN"/>
              </w:rPr>
              <w:t>项目租用北京市丰台区怡海路2号5幢一层2-2室。本项目西侧紧邻街道办事处，33m处为怡海花园</w:t>
            </w:r>
            <w:r>
              <w:rPr>
                <w:rFonts w:hint="default" w:ascii="Times New Roman" w:hAnsi="Times New Roman" w:cs="Times New Roman"/>
                <w:vertAlign w:val="baseline"/>
                <w:lang w:val="en-US" w:eastAsia="zh-CN"/>
              </w:rPr>
              <w:t>·</w:t>
            </w:r>
            <w:r>
              <w:rPr>
                <w:rFonts w:hint="eastAsia"/>
                <w:vertAlign w:val="baseline"/>
                <w:lang w:val="en-US" w:eastAsia="zh-CN"/>
              </w:rPr>
              <w:t>富泽园6号楼；东侧为商业店铺；北侧为怡海商业街，隔路53m为怡海花园</w:t>
            </w:r>
            <w:r>
              <w:rPr>
                <w:rFonts w:hint="default" w:ascii="Times New Roman" w:hAnsi="Times New Roman" w:cs="Times New Roman"/>
                <w:vertAlign w:val="baseline"/>
                <w:lang w:val="en-US" w:eastAsia="zh-CN"/>
              </w:rPr>
              <w:t>·</w:t>
            </w:r>
            <w:r>
              <w:rPr>
                <w:rFonts w:hint="eastAsia"/>
                <w:vertAlign w:val="baseline"/>
                <w:lang w:val="en-US" w:eastAsia="zh-CN"/>
              </w:rPr>
              <w:t>恒泰园3号楼；南侧为怡海花园</w:t>
            </w:r>
            <w:r>
              <w:rPr>
                <w:rFonts w:hint="default" w:ascii="Times New Roman" w:hAnsi="Times New Roman" w:cs="Times New Roman"/>
                <w:vertAlign w:val="baseline"/>
                <w:lang w:val="en-US" w:eastAsia="zh-CN"/>
              </w:rPr>
              <w:t>·</w:t>
            </w:r>
            <w:r>
              <w:rPr>
                <w:rFonts w:hint="eastAsia"/>
                <w:vertAlign w:val="baseline"/>
                <w:lang w:val="en-US" w:eastAsia="zh-CN"/>
              </w:rPr>
              <w:t>富泽园小区内部道路，22m为怡海花园</w:t>
            </w:r>
            <w:r>
              <w:rPr>
                <w:rFonts w:hint="default" w:ascii="Times New Roman" w:hAnsi="Times New Roman" w:cs="Times New Roman"/>
                <w:vertAlign w:val="baseline"/>
                <w:lang w:val="en-US" w:eastAsia="zh-CN"/>
              </w:rPr>
              <w:t>·</w:t>
            </w:r>
            <w:r>
              <w:rPr>
                <w:rFonts w:hint="eastAsia"/>
                <w:vertAlign w:val="baseline"/>
                <w:lang w:val="en-US" w:eastAsia="zh-CN"/>
              </w:rPr>
              <w:t>富泽园8号楼。</w:t>
            </w:r>
          </w:p>
          <w:p w14:paraId="53DDF200">
            <w:pPr>
              <w:rPr>
                <w:rFonts w:hint="default"/>
                <w:vertAlign w:val="baseline"/>
                <w:lang w:val="en-US" w:eastAsia="zh-CN"/>
              </w:rPr>
            </w:pPr>
            <w:r>
              <w:rPr>
                <w:rFonts w:hint="eastAsia"/>
                <w:vertAlign w:val="baseline"/>
                <w:lang w:val="en-US" w:eastAsia="zh-CN"/>
              </w:rPr>
              <w:t>项目楼上为怡海花园</w:t>
            </w:r>
            <w:r>
              <w:rPr>
                <w:rFonts w:hint="default" w:ascii="Times New Roman" w:hAnsi="Times New Roman" w:cs="Times New Roman"/>
                <w:vertAlign w:val="baseline"/>
                <w:lang w:val="en-US" w:eastAsia="zh-CN"/>
              </w:rPr>
              <w:t>·</w:t>
            </w:r>
            <w:r>
              <w:rPr>
                <w:rFonts w:hint="eastAsia"/>
                <w:vertAlign w:val="baseline"/>
                <w:lang w:val="en-US" w:eastAsia="zh-CN"/>
              </w:rPr>
              <w:t>富泽园5号楼住宅。</w:t>
            </w:r>
          </w:p>
          <w:p w14:paraId="7ECE8B9A">
            <w:pPr>
              <w:rPr>
                <w:rFonts w:hint="default"/>
                <w:vertAlign w:val="baseline"/>
                <w:lang w:val="en-US" w:eastAsia="zh-CN"/>
              </w:rPr>
            </w:pPr>
            <w:r>
              <w:rPr>
                <w:rFonts w:hint="eastAsia"/>
                <w:vertAlign w:val="baseline"/>
                <w:lang w:val="en-US" w:eastAsia="zh-CN"/>
              </w:rPr>
              <w:t>项目周边关系详见附图2。</w:t>
            </w:r>
          </w:p>
          <w:p w14:paraId="27E13063">
            <w:pPr>
              <w:rPr>
                <w:rFonts w:hint="default" w:eastAsia="宋体"/>
                <w:vertAlign w:val="baseline"/>
                <w:lang w:val="en-US" w:eastAsia="zh-CN"/>
              </w:rPr>
            </w:pPr>
            <w:r>
              <w:rPr>
                <w:rFonts w:hint="eastAsia"/>
                <w:vertAlign w:val="baseline"/>
                <w:lang w:val="en-US" w:eastAsia="zh-CN"/>
              </w:rPr>
              <w:t>6、劳动定员及工作制度</w:t>
            </w:r>
          </w:p>
          <w:p w14:paraId="0D1242A1">
            <w:pPr>
              <w:rPr>
                <w:rFonts w:hint="eastAsia"/>
                <w:vertAlign w:val="baseline"/>
                <w:lang w:val="en-US" w:eastAsia="zh-CN"/>
              </w:rPr>
            </w:pPr>
            <w:r>
              <w:rPr>
                <w:rFonts w:hint="eastAsia"/>
                <w:vertAlign w:val="baseline"/>
                <w:lang w:val="en-US" w:eastAsia="zh-CN"/>
              </w:rPr>
              <w:t>本项目劳动定员8人，年工作240天，工作时间9:00-21:00。</w:t>
            </w:r>
          </w:p>
          <w:p w14:paraId="267F4E1C">
            <w:pPr>
              <w:rPr>
                <w:rFonts w:hint="default"/>
                <w:vertAlign w:val="baseline"/>
                <w:lang w:val="en-US" w:eastAsia="zh-CN"/>
              </w:rPr>
            </w:pPr>
            <w:r>
              <w:rPr>
                <w:rFonts w:hint="eastAsia"/>
                <w:vertAlign w:val="baseline"/>
                <w:lang w:val="en-US" w:eastAsia="zh-CN"/>
              </w:rPr>
              <w:t>7、公用工程</w:t>
            </w:r>
          </w:p>
          <w:p w14:paraId="4AFCFC33">
            <w:pPr>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1</w:t>
            </w:r>
            <w:r>
              <w:rPr>
                <w:rFonts w:hint="eastAsia"/>
                <w:vertAlign w:val="baseline"/>
                <w:lang w:eastAsia="zh-CN"/>
              </w:rPr>
              <w:t>）</w:t>
            </w:r>
            <w:r>
              <w:rPr>
                <w:rFonts w:hint="eastAsia"/>
                <w:vertAlign w:val="baseline"/>
                <w:lang w:val="en-US" w:eastAsia="zh-CN"/>
              </w:rPr>
              <w:t>给排水</w:t>
            </w:r>
          </w:p>
          <w:p w14:paraId="4E5C3D2E">
            <w:pPr>
              <w:rPr>
                <w:rFonts w:hint="default" w:eastAsia="宋体"/>
                <w:vertAlign w:val="baseline"/>
                <w:lang w:val="en-US" w:eastAsia="zh-CN"/>
              </w:rPr>
            </w:pPr>
            <w:r>
              <w:rPr>
                <w:rFonts w:hint="eastAsia"/>
                <w:vertAlign w:val="baseline"/>
                <w:lang w:val="en-US" w:eastAsia="zh-CN"/>
              </w:rPr>
              <w:t>1</w:t>
            </w:r>
            <w:r>
              <w:rPr>
                <w:rFonts w:hint="eastAsia"/>
                <w:vertAlign w:val="baseline"/>
                <w:lang w:eastAsia="zh-CN"/>
              </w:rPr>
              <w:t>）</w:t>
            </w:r>
            <w:r>
              <w:rPr>
                <w:rFonts w:hint="eastAsia"/>
                <w:vertAlign w:val="baseline"/>
                <w:lang w:val="en-US" w:eastAsia="zh-CN"/>
              </w:rPr>
              <w:t>给水</w:t>
            </w:r>
          </w:p>
          <w:p w14:paraId="422235C4">
            <w:pPr>
              <w:rPr>
                <w:rFonts w:hint="eastAsia"/>
                <w:vertAlign w:val="baseline"/>
                <w:lang w:val="en-US" w:eastAsia="zh-CN"/>
              </w:rPr>
            </w:pPr>
            <w:r>
              <w:rPr>
                <w:rFonts w:hint="eastAsia"/>
                <w:vertAlign w:val="baseline"/>
                <w:lang w:val="en-US" w:eastAsia="zh-CN"/>
              </w:rPr>
              <w:t>本项目用水由丰台区市政自来水管网提供，用于动物诊疗用水、美容洗浴用水及生活用水。其中诊疗用水包括动物诊疗、手术过程中用水、医疗器械清洁用水等；美容洗浴用水为动物洗浴清洁用水；生活用水包括人员如厕、盥洗等日常用水等。</w:t>
            </w:r>
          </w:p>
          <w:p w14:paraId="11FBC489">
            <w:pPr>
              <w:rPr>
                <w:rFonts w:hint="default"/>
                <w:vertAlign w:val="baseline"/>
                <w:lang w:val="en-US" w:eastAsia="zh-CN"/>
              </w:rPr>
            </w:pPr>
            <w:r>
              <w:rPr>
                <w:rFonts w:hint="default"/>
                <w:vertAlign w:val="baseline"/>
                <w:lang w:val="en-US" w:eastAsia="zh-CN"/>
              </w:rPr>
              <w:t>①</w:t>
            </w:r>
            <w:r>
              <w:rPr>
                <w:rFonts w:hint="eastAsia"/>
                <w:vertAlign w:val="baseline"/>
                <w:lang w:val="en-US" w:eastAsia="zh-CN"/>
              </w:rPr>
              <w:t>诊疗用水</w:t>
            </w:r>
          </w:p>
          <w:p w14:paraId="075DFB3D">
            <w:pPr>
              <w:rPr>
                <w:rFonts w:hint="default"/>
                <w:vertAlign w:val="baseline"/>
                <w:lang w:val="en-US" w:eastAsia="zh-CN"/>
              </w:rPr>
            </w:pPr>
            <w:r>
              <w:rPr>
                <w:rFonts w:hint="eastAsia"/>
                <w:vertAlign w:val="baseline"/>
                <w:lang w:val="en-US" w:eastAsia="zh-CN"/>
              </w:rPr>
              <w:t>参照《建筑给水排水设计标准》（GB50015-2019），本次评价动物诊疗、手术，以及器械清洗等用水量按15L/例</w:t>
            </w:r>
            <w:r>
              <w:rPr>
                <w:rFonts w:hint="default" w:ascii="Times New Roman" w:hAnsi="Times New Roman" w:cs="Times New Roman"/>
                <w:vertAlign w:val="baseline"/>
                <w:lang w:val="en-US" w:eastAsia="zh-CN"/>
              </w:rPr>
              <w:t>·</w:t>
            </w:r>
            <w:r>
              <w:rPr>
                <w:rFonts w:hint="eastAsia"/>
                <w:vertAlign w:val="baseline"/>
                <w:lang w:val="en-US" w:eastAsia="zh-CN"/>
              </w:rPr>
              <w:t>d计，项目年运行240天，年接待普通诊疗及手术病患动物3650例，即日均接待约16例。则项目诊疗用水量为0.24m</w:t>
            </w:r>
            <w:r>
              <w:rPr>
                <w:rFonts w:hint="eastAsia"/>
                <w:vertAlign w:val="superscript"/>
                <w:lang w:val="en-US" w:eastAsia="zh-CN"/>
              </w:rPr>
              <w:t>3</w:t>
            </w:r>
            <w:r>
              <w:rPr>
                <w:rFonts w:hint="eastAsia"/>
                <w:vertAlign w:val="baseline"/>
                <w:lang w:val="en-US" w:eastAsia="zh-CN"/>
              </w:rPr>
              <w:t>/d，57.60m</w:t>
            </w:r>
            <w:r>
              <w:rPr>
                <w:rFonts w:hint="eastAsia"/>
                <w:vertAlign w:val="superscript"/>
                <w:lang w:val="en-US" w:eastAsia="zh-CN"/>
              </w:rPr>
              <w:t>3</w:t>
            </w:r>
            <w:r>
              <w:rPr>
                <w:rFonts w:hint="eastAsia"/>
                <w:vertAlign w:val="baseline"/>
                <w:lang w:val="en-US" w:eastAsia="zh-CN"/>
              </w:rPr>
              <w:t>/a。</w:t>
            </w:r>
          </w:p>
          <w:p w14:paraId="54F18D97">
            <w:pPr>
              <w:rPr>
                <w:rFonts w:hint="default"/>
                <w:vertAlign w:val="baseline"/>
                <w:lang w:val="en-US" w:eastAsia="zh-CN"/>
              </w:rPr>
            </w:pPr>
            <w:r>
              <w:rPr>
                <w:rFonts w:hint="default"/>
                <w:vertAlign w:val="baseline"/>
                <w:lang w:val="en-US" w:eastAsia="zh-CN"/>
              </w:rPr>
              <w:t>②</w:t>
            </w:r>
            <w:r>
              <w:rPr>
                <w:rFonts w:hint="eastAsia"/>
                <w:vertAlign w:val="baseline"/>
                <w:lang w:val="en-US" w:eastAsia="zh-CN"/>
              </w:rPr>
              <w:t>美容洗浴用水</w:t>
            </w:r>
          </w:p>
          <w:p w14:paraId="47894688">
            <w:pPr>
              <w:rPr>
                <w:rFonts w:hint="default"/>
                <w:vertAlign w:val="baseline"/>
                <w:lang w:val="en-US" w:eastAsia="zh-CN"/>
              </w:rPr>
            </w:pPr>
            <w:r>
              <w:rPr>
                <w:rFonts w:hint="eastAsia"/>
                <w:vertAlign w:val="baseline"/>
                <w:lang w:val="en-US" w:eastAsia="zh-CN"/>
              </w:rPr>
              <w:t>根据对动物医院的调查数据，动物美容洗浴平均用水量约为60L/例</w:t>
            </w:r>
            <w:r>
              <w:rPr>
                <w:rFonts w:hint="default" w:ascii="Times New Roman" w:hAnsi="Times New Roman" w:cs="Times New Roman"/>
                <w:vertAlign w:val="baseline"/>
                <w:lang w:val="en-US" w:eastAsia="zh-CN"/>
              </w:rPr>
              <w:t>·</w:t>
            </w:r>
            <w:r>
              <w:rPr>
                <w:rFonts w:hint="eastAsia"/>
                <w:vertAlign w:val="baseline"/>
                <w:lang w:val="en-US" w:eastAsia="zh-CN"/>
              </w:rPr>
              <w:t>d，项目年运行240天，年接待美容洗浴动物730例，即日均接待约3例。则项目美容洗浴用水量为0.18m</w:t>
            </w:r>
            <w:r>
              <w:rPr>
                <w:rFonts w:hint="eastAsia"/>
                <w:vertAlign w:val="superscript"/>
                <w:lang w:val="en-US" w:eastAsia="zh-CN"/>
              </w:rPr>
              <w:t>3</w:t>
            </w:r>
            <w:r>
              <w:rPr>
                <w:rFonts w:hint="eastAsia"/>
                <w:vertAlign w:val="baseline"/>
                <w:lang w:val="en-US" w:eastAsia="zh-CN"/>
              </w:rPr>
              <w:t>/d，43.20m</w:t>
            </w:r>
            <w:r>
              <w:rPr>
                <w:rFonts w:hint="eastAsia"/>
                <w:vertAlign w:val="superscript"/>
                <w:lang w:val="en-US" w:eastAsia="zh-CN"/>
              </w:rPr>
              <w:t>3</w:t>
            </w:r>
            <w:r>
              <w:rPr>
                <w:rFonts w:hint="eastAsia"/>
                <w:vertAlign w:val="baseline"/>
                <w:lang w:val="en-US" w:eastAsia="zh-CN"/>
              </w:rPr>
              <w:t>/a。</w:t>
            </w:r>
          </w:p>
          <w:p w14:paraId="12F050DA">
            <w:pPr>
              <w:rPr>
                <w:rFonts w:hint="default"/>
                <w:vertAlign w:val="baseline"/>
                <w:lang w:val="en-US" w:eastAsia="zh-CN"/>
              </w:rPr>
            </w:pPr>
            <w:r>
              <w:rPr>
                <w:rFonts w:hint="default"/>
                <w:vertAlign w:val="baseline"/>
                <w:lang w:val="en-US" w:eastAsia="zh-CN"/>
              </w:rPr>
              <w:t>③</w:t>
            </w:r>
            <w:r>
              <w:rPr>
                <w:rFonts w:hint="eastAsia"/>
                <w:vertAlign w:val="baseline"/>
                <w:lang w:val="en-US" w:eastAsia="zh-CN"/>
              </w:rPr>
              <w:t>生活用水</w:t>
            </w:r>
          </w:p>
          <w:p w14:paraId="3ECF6232">
            <w:pPr>
              <w:rPr>
                <w:rFonts w:hint="default"/>
                <w:vertAlign w:val="baseline"/>
                <w:lang w:val="en-US" w:eastAsia="zh-CN"/>
              </w:rPr>
            </w:pPr>
            <w:r>
              <w:rPr>
                <w:rFonts w:hint="eastAsia"/>
                <w:vertAlign w:val="baseline"/>
                <w:lang w:val="en-US" w:eastAsia="zh-CN"/>
              </w:rPr>
              <w:t>项目生活用水依据《建筑给水排水设计标准》（GB50015-2019）中数据，门诊部、诊疗所医护人员平均日用水量约为60L/人</w:t>
            </w:r>
            <w:r>
              <w:rPr>
                <w:rFonts w:hint="default" w:ascii="Times New Roman" w:hAnsi="Times New Roman" w:cs="Times New Roman"/>
                <w:vertAlign w:val="baseline"/>
                <w:lang w:val="en-US" w:eastAsia="zh-CN"/>
              </w:rPr>
              <w:t>·</w:t>
            </w:r>
            <w:r>
              <w:rPr>
                <w:rFonts w:hint="eastAsia"/>
                <w:vertAlign w:val="baseline"/>
                <w:lang w:val="en-US" w:eastAsia="zh-CN"/>
              </w:rPr>
              <w:t>d，项目劳动定员8人，年运行240天，则项目生活用水量为0.48m</w:t>
            </w:r>
            <w:r>
              <w:rPr>
                <w:rFonts w:hint="eastAsia"/>
                <w:vertAlign w:val="superscript"/>
                <w:lang w:val="en-US" w:eastAsia="zh-CN"/>
              </w:rPr>
              <w:t>3</w:t>
            </w:r>
            <w:r>
              <w:rPr>
                <w:rFonts w:hint="eastAsia"/>
                <w:vertAlign w:val="baseline"/>
                <w:lang w:val="en-US" w:eastAsia="zh-CN"/>
              </w:rPr>
              <w:t>/d，115.20m</w:t>
            </w:r>
            <w:r>
              <w:rPr>
                <w:rFonts w:hint="eastAsia"/>
                <w:vertAlign w:val="superscript"/>
                <w:lang w:val="en-US" w:eastAsia="zh-CN"/>
              </w:rPr>
              <w:t>3</w:t>
            </w:r>
            <w:r>
              <w:rPr>
                <w:rFonts w:hint="eastAsia"/>
                <w:vertAlign w:val="baseline"/>
                <w:lang w:val="en-US" w:eastAsia="zh-CN"/>
              </w:rPr>
              <w:t>/a。</w:t>
            </w:r>
          </w:p>
          <w:p w14:paraId="0B9553B4">
            <w:pPr>
              <w:rPr>
                <w:rFonts w:hint="default"/>
                <w:vertAlign w:val="baseline"/>
                <w:lang w:val="en-US" w:eastAsia="zh-CN"/>
              </w:rPr>
            </w:pPr>
            <w:r>
              <w:rPr>
                <w:rFonts w:hint="eastAsia"/>
                <w:vertAlign w:val="baseline"/>
                <w:lang w:val="en-US" w:eastAsia="zh-CN"/>
              </w:rPr>
              <w:t>综上，本项目用水总量为0.90m</w:t>
            </w:r>
            <w:r>
              <w:rPr>
                <w:rFonts w:hint="eastAsia"/>
                <w:vertAlign w:val="superscript"/>
                <w:lang w:val="en-US" w:eastAsia="zh-CN"/>
              </w:rPr>
              <w:t>3</w:t>
            </w:r>
            <w:r>
              <w:rPr>
                <w:rFonts w:hint="eastAsia"/>
                <w:vertAlign w:val="baseline"/>
                <w:lang w:val="en-US" w:eastAsia="zh-CN"/>
              </w:rPr>
              <w:t>/d，216.00m</w:t>
            </w:r>
            <w:r>
              <w:rPr>
                <w:rFonts w:hint="eastAsia"/>
                <w:vertAlign w:val="superscript"/>
                <w:lang w:val="en-US" w:eastAsia="zh-CN"/>
              </w:rPr>
              <w:t>3</w:t>
            </w:r>
            <w:r>
              <w:rPr>
                <w:rFonts w:hint="eastAsia"/>
                <w:vertAlign w:val="baseline"/>
                <w:lang w:val="en-US" w:eastAsia="zh-CN"/>
              </w:rPr>
              <w:t>/a。</w:t>
            </w:r>
          </w:p>
          <w:p w14:paraId="09161C9E">
            <w:pPr>
              <w:rPr>
                <w:rFonts w:hint="default"/>
                <w:highlight w:val="none"/>
                <w:vertAlign w:val="baseline"/>
                <w:lang w:val="en-US" w:eastAsia="zh-CN"/>
              </w:rPr>
            </w:pPr>
            <w:r>
              <w:rPr>
                <w:rFonts w:hint="eastAsia"/>
                <w:highlight w:val="none"/>
                <w:vertAlign w:val="baseline"/>
                <w:lang w:val="en-US" w:eastAsia="zh-CN"/>
              </w:rPr>
              <w:t>2）排水</w:t>
            </w:r>
          </w:p>
          <w:p w14:paraId="4A4A9E04">
            <w:pPr>
              <w:rPr>
                <w:rFonts w:hint="eastAsia"/>
                <w:vertAlign w:val="baseline"/>
                <w:lang w:val="en-US" w:eastAsia="zh-CN"/>
              </w:rPr>
            </w:pPr>
            <w:r>
              <w:rPr>
                <w:rFonts w:hint="eastAsia"/>
                <w:vertAlign w:val="baseline"/>
                <w:lang w:val="en-US" w:eastAsia="zh-CN"/>
              </w:rPr>
              <w:t>本项目排水包括诊疗废水、美容洗浴废水和生活废水。具体如下：</w:t>
            </w:r>
          </w:p>
          <w:p w14:paraId="4F188ACE">
            <w:pPr>
              <w:rPr>
                <w:rFonts w:hint="default"/>
                <w:vertAlign w:val="baseline"/>
                <w:lang w:val="en-US" w:eastAsia="zh-CN"/>
              </w:rPr>
            </w:pPr>
            <w:r>
              <w:rPr>
                <w:rFonts w:hint="default"/>
                <w:vertAlign w:val="baseline"/>
                <w:lang w:val="en-US" w:eastAsia="zh-CN"/>
              </w:rPr>
              <w:t>①</w:t>
            </w:r>
            <w:r>
              <w:rPr>
                <w:rFonts w:hint="eastAsia"/>
                <w:vertAlign w:val="baseline"/>
                <w:lang w:val="en-US" w:eastAsia="zh-CN"/>
              </w:rPr>
              <w:t>诊疗废水</w:t>
            </w:r>
          </w:p>
          <w:p w14:paraId="6102E43D">
            <w:pPr>
              <w:rPr>
                <w:rFonts w:hint="eastAsia"/>
                <w:vertAlign w:val="baseline"/>
                <w:lang w:val="en-US" w:eastAsia="zh-CN"/>
              </w:rPr>
            </w:pPr>
            <w:r>
              <w:rPr>
                <w:rFonts w:hint="eastAsia"/>
                <w:vertAlign w:val="baseline"/>
                <w:lang w:val="en-US" w:eastAsia="zh-CN"/>
              </w:rPr>
              <w:t>根据《建筑中水设计标准》（GB50336-2018）中“建筑物按给水量计算排水量的折减系数，一般取0.85~0.95”，诊疗废水量按用水量90%计，即废水排放量0.22m</w:t>
            </w:r>
            <w:r>
              <w:rPr>
                <w:rFonts w:hint="eastAsia"/>
                <w:vertAlign w:val="superscript"/>
                <w:lang w:val="en-US" w:eastAsia="zh-CN"/>
              </w:rPr>
              <w:t>3</w:t>
            </w:r>
            <w:r>
              <w:rPr>
                <w:rFonts w:hint="eastAsia"/>
                <w:vertAlign w:val="baseline"/>
                <w:lang w:val="en-US" w:eastAsia="zh-CN"/>
              </w:rPr>
              <w:t>/d，51.84m</w:t>
            </w:r>
            <w:r>
              <w:rPr>
                <w:rFonts w:hint="eastAsia"/>
                <w:vertAlign w:val="superscript"/>
                <w:lang w:val="en-US" w:eastAsia="zh-CN"/>
              </w:rPr>
              <w:t>3</w:t>
            </w:r>
            <w:r>
              <w:rPr>
                <w:rFonts w:hint="eastAsia"/>
                <w:vertAlign w:val="baseline"/>
                <w:lang w:val="en-US" w:eastAsia="zh-CN"/>
              </w:rPr>
              <w:t>/a。</w:t>
            </w:r>
          </w:p>
          <w:p w14:paraId="37CE5877">
            <w:pPr>
              <w:rPr>
                <w:rFonts w:hint="eastAsia"/>
                <w:highlight w:val="none"/>
                <w:vertAlign w:val="baseline"/>
                <w:lang w:val="en-US" w:eastAsia="zh-CN"/>
              </w:rPr>
            </w:pPr>
            <w:r>
              <w:rPr>
                <w:rFonts w:hint="default"/>
                <w:highlight w:val="none"/>
                <w:vertAlign w:val="baseline"/>
                <w:lang w:val="en-US" w:eastAsia="zh-CN"/>
              </w:rPr>
              <w:t>②</w:t>
            </w:r>
            <w:r>
              <w:rPr>
                <w:rFonts w:hint="eastAsia"/>
                <w:highlight w:val="none"/>
                <w:vertAlign w:val="baseline"/>
                <w:lang w:val="en-US" w:eastAsia="zh-CN"/>
              </w:rPr>
              <w:t>美容洗浴废水</w:t>
            </w:r>
          </w:p>
          <w:p w14:paraId="2CA80261">
            <w:pPr>
              <w:rPr>
                <w:rFonts w:hint="default"/>
                <w:vertAlign w:val="baseline"/>
                <w:lang w:val="en-US" w:eastAsia="zh-CN"/>
              </w:rPr>
            </w:pPr>
            <w:r>
              <w:rPr>
                <w:rFonts w:hint="eastAsia"/>
                <w:vertAlign w:val="baseline"/>
                <w:lang w:val="en-US" w:eastAsia="zh-CN"/>
              </w:rPr>
              <w:t>根据《建筑中水设计标准》（GB50336-2018）中“建筑物按给水量计算排水量的折减系数，一般取0.85~0.95”，美容洗浴废水排水量按用水量90%计，即废水排放量为0.16m</w:t>
            </w:r>
            <w:r>
              <w:rPr>
                <w:rFonts w:hint="eastAsia"/>
                <w:vertAlign w:val="superscript"/>
                <w:lang w:val="en-US" w:eastAsia="zh-CN"/>
              </w:rPr>
              <w:t>3</w:t>
            </w:r>
            <w:r>
              <w:rPr>
                <w:rFonts w:hint="eastAsia"/>
                <w:vertAlign w:val="baseline"/>
                <w:lang w:val="en-US" w:eastAsia="zh-CN"/>
              </w:rPr>
              <w:t>/d，38.88m</w:t>
            </w:r>
            <w:r>
              <w:rPr>
                <w:rFonts w:hint="eastAsia"/>
                <w:vertAlign w:val="superscript"/>
                <w:lang w:val="en-US" w:eastAsia="zh-CN"/>
              </w:rPr>
              <w:t>3</w:t>
            </w:r>
            <w:r>
              <w:rPr>
                <w:rFonts w:hint="eastAsia"/>
                <w:vertAlign w:val="baseline"/>
                <w:lang w:val="en-US" w:eastAsia="zh-CN"/>
              </w:rPr>
              <w:t>/a。</w:t>
            </w:r>
          </w:p>
          <w:p w14:paraId="7790EA17">
            <w:pPr>
              <w:rPr>
                <w:rFonts w:hint="eastAsia"/>
                <w:vertAlign w:val="baseline"/>
                <w:lang w:val="en-US" w:eastAsia="zh-CN"/>
              </w:rPr>
            </w:pPr>
            <w:r>
              <w:rPr>
                <w:rFonts w:hint="eastAsia"/>
                <w:vertAlign w:val="baseline"/>
                <w:lang w:val="en-US" w:eastAsia="zh-CN"/>
              </w:rPr>
              <w:t>③生活废水</w:t>
            </w:r>
          </w:p>
          <w:p w14:paraId="36D3A391">
            <w:pPr>
              <w:rPr>
                <w:rFonts w:hint="default"/>
                <w:vertAlign w:val="baseline"/>
                <w:lang w:val="en-US" w:eastAsia="zh-CN"/>
              </w:rPr>
            </w:pPr>
            <w:r>
              <w:rPr>
                <w:rFonts w:hint="eastAsia"/>
                <w:vertAlign w:val="baseline"/>
                <w:lang w:val="en-US" w:eastAsia="zh-CN"/>
              </w:rPr>
              <w:t>根据《建筑中水设计标准》（GB50336-2018）中“建筑物按给水量计算排水量的折减系数，一般取0.85~0.95”，项目生活废水排放量按用水量的85%计，即废水排放量为0.41m</w:t>
            </w:r>
            <w:r>
              <w:rPr>
                <w:rFonts w:hint="eastAsia"/>
                <w:vertAlign w:val="superscript"/>
                <w:lang w:val="en-US" w:eastAsia="zh-CN"/>
              </w:rPr>
              <w:t>3</w:t>
            </w:r>
            <w:r>
              <w:rPr>
                <w:rFonts w:hint="eastAsia"/>
                <w:vertAlign w:val="baseline"/>
                <w:lang w:val="en-US" w:eastAsia="zh-CN"/>
              </w:rPr>
              <w:t>/d，97.92m</w:t>
            </w:r>
            <w:r>
              <w:rPr>
                <w:rFonts w:hint="eastAsia"/>
                <w:vertAlign w:val="superscript"/>
                <w:lang w:val="en-US" w:eastAsia="zh-CN"/>
              </w:rPr>
              <w:t>3</w:t>
            </w:r>
            <w:r>
              <w:rPr>
                <w:rFonts w:hint="eastAsia"/>
                <w:vertAlign w:val="baseline"/>
                <w:lang w:val="en-US" w:eastAsia="zh-CN"/>
              </w:rPr>
              <w:t>/a。</w:t>
            </w:r>
          </w:p>
          <w:p w14:paraId="7C1E5AD5">
            <w:pPr>
              <w:rPr>
                <w:rFonts w:hint="default"/>
                <w:vertAlign w:val="baseline"/>
                <w:lang w:val="en-US" w:eastAsia="zh-CN"/>
              </w:rPr>
            </w:pPr>
            <w:r>
              <w:rPr>
                <w:rFonts w:hint="eastAsia"/>
                <w:vertAlign w:val="baseline"/>
                <w:lang w:val="en-US" w:eastAsia="zh-CN"/>
              </w:rPr>
              <w:t>综上，项目总排水量为0.79m</w:t>
            </w:r>
            <w:r>
              <w:rPr>
                <w:rFonts w:hint="eastAsia"/>
                <w:vertAlign w:val="superscript"/>
                <w:lang w:val="en-US" w:eastAsia="zh-CN"/>
              </w:rPr>
              <w:t>3</w:t>
            </w:r>
            <w:r>
              <w:rPr>
                <w:rFonts w:hint="eastAsia"/>
                <w:vertAlign w:val="baseline"/>
                <w:lang w:val="en-US" w:eastAsia="zh-CN"/>
              </w:rPr>
              <w:t>/d，188.64m</w:t>
            </w:r>
            <w:r>
              <w:rPr>
                <w:rFonts w:hint="eastAsia"/>
                <w:vertAlign w:val="superscript"/>
                <w:lang w:val="en-US" w:eastAsia="zh-CN"/>
              </w:rPr>
              <w:t>3</w:t>
            </w:r>
            <w:r>
              <w:rPr>
                <w:rFonts w:hint="eastAsia"/>
                <w:vertAlign w:val="baseline"/>
                <w:lang w:val="en-US" w:eastAsia="zh-CN"/>
              </w:rPr>
              <w:t>/a。其中诊疗废水与美容洗浴废水经自建污水处理设备消毒处理后，同生活废水一同排入所在建筑集中化粪池预处理，最终通过市政污水管网汇入小红门再生水厂。</w:t>
            </w:r>
          </w:p>
          <w:p w14:paraId="3D48113A">
            <w:pPr>
              <w:rPr>
                <w:rFonts w:hint="eastAsia"/>
                <w:vertAlign w:val="baseline"/>
                <w:lang w:val="en-US" w:eastAsia="zh-CN"/>
              </w:rPr>
            </w:pPr>
            <w:r>
              <w:rPr>
                <w:rFonts w:hint="eastAsia"/>
                <w:vertAlign w:val="baseline"/>
                <w:lang w:val="en-US" w:eastAsia="zh-CN"/>
              </w:rPr>
              <w:t>本项目具体给排水情况详见下表。</w:t>
            </w:r>
          </w:p>
          <w:p w14:paraId="56F9D6BC">
            <w:pPr>
              <w:pStyle w:val="11"/>
              <w:bidi w:val="0"/>
              <w:rPr>
                <w:rFonts w:hint="eastAsia"/>
                <w:lang w:val="en-US" w:eastAsia="zh-CN"/>
              </w:rPr>
            </w:pPr>
            <w:r>
              <w:rPr>
                <w:rFonts w:hint="eastAsia"/>
                <w:lang w:val="en-US" w:eastAsia="zh-CN"/>
              </w:rPr>
              <w:t>表2-5 本项目给排水情况一览表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41"/>
              <w:gridCol w:w="1091"/>
              <w:gridCol w:w="1091"/>
              <w:gridCol w:w="1268"/>
              <w:gridCol w:w="1132"/>
              <w:gridCol w:w="1229"/>
            </w:tblGrid>
            <w:tr w14:paraId="7D102B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6DBCA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541" w:type="dxa"/>
                  <w:tcBorders>
                    <w:tl2br w:val="nil"/>
                    <w:tr2bl w:val="nil"/>
                  </w:tcBorders>
                  <w:vAlign w:val="center"/>
                </w:tcPr>
                <w:p w14:paraId="7BAB7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用水项目</w:t>
                  </w:r>
                </w:p>
              </w:tc>
              <w:tc>
                <w:tcPr>
                  <w:tcW w:w="1091" w:type="dxa"/>
                  <w:tcBorders>
                    <w:tl2br w:val="nil"/>
                    <w:tr2bl w:val="nil"/>
                  </w:tcBorders>
                  <w:vAlign w:val="center"/>
                </w:tcPr>
                <w:p w14:paraId="4E345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用水定额</w:t>
                  </w:r>
                </w:p>
              </w:tc>
              <w:tc>
                <w:tcPr>
                  <w:tcW w:w="1091" w:type="dxa"/>
                  <w:tcBorders>
                    <w:tl2br w:val="nil"/>
                    <w:tr2bl w:val="nil"/>
                  </w:tcBorders>
                  <w:vAlign w:val="center"/>
                </w:tcPr>
                <w:p w14:paraId="7331C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规模</w:t>
                  </w:r>
                </w:p>
              </w:tc>
              <w:tc>
                <w:tcPr>
                  <w:tcW w:w="1268" w:type="dxa"/>
                  <w:tcBorders>
                    <w:tl2br w:val="nil"/>
                    <w:tr2bl w:val="nil"/>
                  </w:tcBorders>
                  <w:vAlign w:val="center"/>
                </w:tcPr>
                <w:p w14:paraId="2FC3D7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用水量</w:t>
                  </w:r>
                </w:p>
              </w:tc>
              <w:tc>
                <w:tcPr>
                  <w:tcW w:w="1132" w:type="dxa"/>
                  <w:tcBorders>
                    <w:tl2br w:val="nil"/>
                    <w:tr2bl w:val="nil"/>
                  </w:tcBorders>
                  <w:vAlign w:val="center"/>
                </w:tcPr>
                <w:p w14:paraId="72712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排放系数</w:t>
                  </w:r>
                </w:p>
              </w:tc>
              <w:tc>
                <w:tcPr>
                  <w:tcW w:w="1229" w:type="dxa"/>
                  <w:tcBorders>
                    <w:tl2br w:val="nil"/>
                    <w:tr2bl w:val="nil"/>
                  </w:tcBorders>
                  <w:vAlign w:val="center"/>
                </w:tcPr>
                <w:p w14:paraId="12A2C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排水量</w:t>
                  </w:r>
                </w:p>
              </w:tc>
            </w:tr>
            <w:tr w14:paraId="79F6F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62812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541" w:type="dxa"/>
                  <w:tcBorders>
                    <w:tl2br w:val="nil"/>
                    <w:tr2bl w:val="nil"/>
                  </w:tcBorders>
                  <w:vAlign w:val="center"/>
                </w:tcPr>
                <w:p w14:paraId="2D819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诊疗用水</w:t>
                  </w:r>
                </w:p>
              </w:tc>
              <w:tc>
                <w:tcPr>
                  <w:tcW w:w="1091" w:type="dxa"/>
                  <w:tcBorders>
                    <w:tl2br w:val="nil"/>
                    <w:tr2bl w:val="nil"/>
                  </w:tcBorders>
                  <w:vAlign w:val="center"/>
                </w:tcPr>
                <w:p w14:paraId="26B60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15L/例·d</w:t>
                  </w:r>
                </w:p>
              </w:tc>
              <w:tc>
                <w:tcPr>
                  <w:tcW w:w="1091" w:type="dxa"/>
                  <w:tcBorders>
                    <w:tl2br w:val="nil"/>
                    <w:tr2bl w:val="nil"/>
                  </w:tcBorders>
                  <w:vAlign w:val="center"/>
                </w:tcPr>
                <w:p w14:paraId="5B4FE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16例/d</w:t>
                  </w:r>
                </w:p>
                <w:p w14:paraId="6CB43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240d</w:t>
                  </w:r>
                </w:p>
              </w:tc>
              <w:tc>
                <w:tcPr>
                  <w:tcW w:w="1268" w:type="dxa"/>
                  <w:tcBorders>
                    <w:tl2br w:val="nil"/>
                    <w:tr2bl w:val="nil"/>
                  </w:tcBorders>
                  <w:vAlign w:val="center"/>
                </w:tcPr>
                <w:p w14:paraId="61F3F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0.24</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431F9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57.60m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0E54E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1229" w:type="dxa"/>
                  <w:tcBorders>
                    <w:tl2br w:val="nil"/>
                    <w:tr2bl w:val="nil"/>
                  </w:tcBorders>
                  <w:vAlign w:val="center"/>
                </w:tcPr>
                <w:p w14:paraId="14844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0.22</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30B13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51.84</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r w14:paraId="22442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1AD9A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541" w:type="dxa"/>
                  <w:tcBorders>
                    <w:tl2br w:val="nil"/>
                    <w:tr2bl w:val="nil"/>
                  </w:tcBorders>
                  <w:vAlign w:val="center"/>
                </w:tcPr>
                <w:p w14:paraId="7A1A5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美容洗浴用水</w:t>
                  </w:r>
                </w:p>
              </w:tc>
              <w:tc>
                <w:tcPr>
                  <w:tcW w:w="1091" w:type="dxa"/>
                  <w:tcBorders>
                    <w:tl2br w:val="nil"/>
                    <w:tr2bl w:val="nil"/>
                  </w:tcBorders>
                  <w:vAlign w:val="center"/>
                </w:tcPr>
                <w:p w14:paraId="48EFC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60L/例</w:t>
                  </w:r>
                  <w:r>
                    <w:rPr>
                      <w:rFonts w:hint="default" w:ascii="Times New Roman" w:hAnsi="Times New Roman" w:cs="Times New Roman"/>
                      <w:sz w:val="21"/>
                      <w:szCs w:val="21"/>
                      <w:vertAlign w:val="baseline"/>
                      <w:lang w:val="en-US" w:eastAsia="zh-CN"/>
                    </w:rPr>
                    <w:t>·</w:t>
                  </w:r>
                  <w:r>
                    <w:rPr>
                      <w:rFonts w:hint="eastAsia"/>
                      <w:sz w:val="21"/>
                      <w:szCs w:val="21"/>
                      <w:vertAlign w:val="baseline"/>
                      <w:lang w:val="en-US" w:eastAsia="zh-CN"/>
                    </w:rPr>
                    <w:t>d</w:t>
                  </w:r>
                </w:p>
              </w:tc>
              <w:tc>
                <w:tcPr>
                  <w:tcW w:w="1091" w:type="dxa"/>
                  <w:tcBorders>
                    <w:tl2br w:val="nil"/>
                    <w:tr2bl w:val="nil"/>
                  </w:tcBorders>
                  <w:vAlign w:val="center"/>
                </w:tcPr>
                <w:p w14:paraId="7923A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3例/d</w:t>
                  </w:r>
                </w:p>
                <w:p w14:paraId="52B4C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240d</w:t>
                  </w:r>
                </w:p>
              </w:tc>
              <w:tc>
                <w:tcPr>
                  <w:tcW w:w="1268" w:type="dxa"/>
                  <w:tcBorders>
                    <w:tl2br w:val="nil"/>
                    <w:tr2bl w:val="nil"/>
                  </w:tcBorders>
                  <w:vAlign w:val="center"/>
                </w:tcPr>
                <w:p w14:paraId="52F5E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0.18</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0879E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43.20m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5F27C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90%</w:t>
                  </w:r>
                </w:p>
              </w:tc>
              <w:tc>
                <w:tcPr>
                  <w:tcW w:w="1229" w:type="dxa"/>
                  <w:tcBorders>
                    <w:tl2br w:val="nil"/>
                    <w:tr2bl w:val="nil"/>
                  </w:tcBorders>
                  <w:vAlign w:val="center"/>
                </w:tcPr>
                <w:p w14:paraId="5D1C0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0.16</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662FA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38.88</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r w14:paraId="03E7E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9C66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541" w:type="dxa"/>
                  <w:tcBorders>
                    <w:tl2br w:val="nil"/>
                    <w:tr2bl w:val="nil"/>
                  </w:tcBorders>
                  <w:vAlign w:val="center"/>
                </w:tcPr>
                <w:p w14:paraId="6CAB3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生活用水</w:t>
                  </w:r>
                </w:p>
              </w:tc>
              <w:tc>
                <w:tcPr>
                  <w:tcW w:w="1091" w:type="dxa"/>
                  <w:tcBorders>
                    <w:tl2br w:val="nil"/>
                    <w:tr2bl w:val="nil"/>
                  </w:tcBorders>
                  <w:vAlign w:val="center"/>
                </w:tcPr>
                <w:p w14:paraId="7946F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60L/人</w:t>
                  </w:r>
                  <w:r>
                    <w:rPr>
                      <w:rFonts w:hint="default" w:ascii="Times New Roman" w:hAnsi="Times New Roman" w:cs="Times New Roman"/>
                      <w:sz w:val="21"/>
                      <w:szCs w:val="21"/>
                      <w:vertAlign w:val="baseline"/>
                      <w:lang w:val="en-US" w:eastAsia="zh-CN"/>
                    </w:rPr>
                    <w:t>·</w:t>
                  </w:r>
                  <w:r>
                    <w:rPr>
                      <w:rFonts w:hint="eastAsia"/>
                      <w:sz w:val="21"/>
                      <w:szCs w:val="21"/>
                      <w:vertAlign w:val="baseline"/>
                      <w:lang w:val="en-US" w:eastAsia="zh-CN"/>
                    </w:rPr>
                    <w:t>d</w:t>
                  </w:r>
                </w:p>
              </w:tc>
              <w:tc>
                <w:tcPr>
                  <w:tcW w:w="1091" w:type="dxa"/>
                  <w:tcBorders>
                    <w:tl2br w:val="nil"/>
                    <w:tr2bl w:val="nil"/>
                  </w:tcBorders>
                  <w:vAlign w:val="center"/>
                </w:tcPr>
                <w:p w14:paraId="75EE37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8人</w:t>
                  </w:r>
                </w:p>
                <w:p w14:paraId="50ED4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240d</w:t>
                  </w:r>
                </w:p>
              </w:tc>
              <w:tc>
                <w:tcPr>
                  <w:tcW w:w="1268" w:type="dxa"/>
                  <w:tcBorders>
                    <w:tl2br w:val="nil"/>
                    <w:tr2bl w:val="nil"/>
                  </w:tcBorders>
                  <w:vAlign w:val="center"/>
                </w:tcPr>
                <w:p w14:paraId="7D426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0.48m</w:t>
                  </w:r>
                  <w:r>
                    <w:rPr>
                      <w:rFonts w:hint="eastAsia"/>
                      <w:sz w:val="21"/>
                      <w:szCs w:val="21"/>
                      <w:vertAlign w:val="superscript"/>
                      <w:lang w:val="en-US" w:eastAsia="zh-CN"/>
                    </w:rPr>
                    <w:t>3</w:t>
                  </w:r>
                  <w:r>
                    <w:rPr>
                      <w:rFonts w:hint="eastAsia"/>
                      <w:sz w:val="21"/>
                      <w:szCs w:val="21"/>
                      <w:vertAlign w:val="baseline"/>
                      <w:lang w:val="en-US" w:eastAsia="zh-CN"/>
                    </w:rPr>
                    <w:t>/d</w:t>
                  </w:r>
                </w:p>
                <w:p w14:paraId="0859F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115.20m</w:t>
                  </w:r>
                  <w:r>
                    <w:rPr>
                      <w:rFonts w:hint="eastAsia"/>
                      <w:sz w:val="21"/>
                      <w:szCs w:val="21"/>
                      <w:vertAlign w:val="superscript"/>
                      <w:lang w:val="en-US" w:eastAsia="zh-CN"/>
                    </w:rPr>
                    <w:t>3</w:t>
                  </w:r>
                  <w:r>
                    <w:rPr>
                      <w:rFonts w:hint="eastAsia"/>
                      <w:sz w:val="21"/>
                      <w:szCs w:val="21"/>
                      <w:vertAlign w:val="baseline"/>
                      <w:lang w:val="en-US" w:eastAsia="zh-CN"/>
                    </w:rPr>
                    <w:t>/a</w:t>
                  </w:r>
                </w:p>
              </w:tc>
              <w:tc>
                <w:tcPr>
                  <w:tcW w:w="1132" w:type="dxa"/>
                  <w:tcBorders>
                    <w:tl2br w:val="nil"/>
                    <w:tr2bl w:val="nil"/>
                  </w:tcBorders>
                  <w:vAlign w:val="center"/>
                </w:tcPr>
                <w:p w14:paraId="5F14C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85%</w:t>
                  </w:r>
                </w:p>
              </w:tc>
              <w:tc>
                <w:tcPr>
                  <w:tcW w:w="1229" w:type="dxa"/>
                  <w:tcBorders>
                    <w:tl2br w:val="nil"/>
                    <w:tr2bl w:val="nil"/>
                  </w:tcBorders>
                  <w:vAlign w:val="center"/>
                </w:tcPr>
                <w:p w14:paraId="5E87A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0.41</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/d</w:t>
                  </w:r>
                </w:p>
                <w:p w14:paraId="216C2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97.92m</w:t>
                  </w:r>
                  <w:r>
                    <w:rPr>
                      <w:rFonts w:hint="eastAsia"/>
                      <w:sz w:val="21"/>
                      <w:szCs w:val="21"/>
                      <w:vertAlign w:val="superscript"/>
                      <w:lang w:val="en-US" w:eastAsia="zh-CN"/>
                    </w:rPr>
                    <w:t>3</w:t>
                  </w:r>
                  <w:r>
                    <w:rPr>
                      <w:rFonts w:hint="eastAsia"/>
                      <w:sz w:val="21"/>
                      <w:szCs w:val="21"/>
                      <w:vertAlign w:val="baseline"/>
                      <w:lang w:val="en-US" w:eastAsia="zh-CN"/>
                    </w:rPr>
                    <w:t>/a</w:t>
                  </w:r>
                </w:p>
              </w:tc>
            </w:tr>
            <w:tr w14:paraId="72B260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4" w:type="dxa"/>
                  <w:gridSpan w:val="4"/>
                  <w:tcBorders>
                    <w:tl2br w:val="nil"/>
                    <w:tr2bl w:val="nil"/>
                  </w:tcBorders>
                  <w:vAlign w:val="center"/>
                </w:tcPr>
                <w:p w14:paraId="200CD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1268" w:type="dxa"/>
                  <w:tcBorders>
                    <w:tl2br w:val="nil"/>
                    <w:tr2bl w:val="nil"/>
                  </w:tcBorders>
                  <w:vAlign w:val="center"/>
                </w:tcPr>
                <w:p w14:paraId="5C51F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0.90m</w:t>
                  </w:r>
                  <w:r>
                    <w:rPr>
                      <w:rFonts w:hint="eastAsia"/>
                      <w:sz w:val="21"/>
                      <w:szCs w:val="21"/>
                      <w:vertAlign w:val="superscript"/>
                      <w:lang w:val="en-US" w:eastAsia="zh-CN"/>
                    </w:rPr>
                    <w:t>3</w:t>
                  </w:r>
                  <w:r>
                    <w:rPr>
                      <w:rFonts w:hint="eastAsia"/>
                      <w:sz w:val="21"/>
                      <w:szCs w:val="21"/>
                      <w:vertAlign w:val="baseline"/>
                      <w:lang w:val="en-US" w:eastAsia="zh-CN"/>
                    </w:rPr>
                    <w:t>/d</w:t>
                  </w:r>
                </w:p>
                <w:p w14:paraId="5E1CD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216.00</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c>
                <w:tcPr>
                  <w:tcW w:w="1132" w:type="dxa"/>
                  <w:tcBorders>
                    <w:tl2br w:val="nil"/>
                    <w:tr2bl w:val="nil"/>
                  </w:tcBorders>
                  <w:vAlign w:val="center"/>
                </w:tcPr>
                <w:p w14:paraId="46C76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229" w:type="dxa"/>
                  <w:tcBorders>
                    <w:tl2br w:val="nil"/>
                    <w:tr2bl w:val="nil"/>
                  </w:tcBorders>
                  <w:vAlign w:val="center"/>
                </w:tcPr>
                <w:p w14:paraId="06F06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0.79m</w:t>
                  </w:r>
                  <w:r>
                    <w:rPr>
                      <w:rFonts w:hint="eastAsia"/>
                      <w:sz w:val="21"/>
                      <w:szCs w:val="21"/>
                      <w:vertAlign w:val="superscript"/>
                      <w:lang w:val="en-US" w:eastAsia="zh-CN"/>
                    </w:rPr>
                    <w:t>3</w:t>
                  </w:r>
                  <w:r>
                    <w:rPr>
                      <w:rFonts w:hint="eastAsia"/>
                      <w:sz w:val="21"/>
                      <w:szCs w:val="21"/>
                      <w:vertAlign w:val="baseline"/>
                      <w:lang w:val="en-US" w:eastAsia="zh-CN"/>
                    </w:rPr>
                    <w:t>/d</w:t>
                  </w:r>
                </w:p>
                <w:p w14:paraId="199EB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188.64</w:t>
                  </w:r>
                  <w:r>
                    <w:rPr>
                      <w:rFonts w:hint="default"/>
                      <w:sz w:val="21"/>
                      <w:szCs w:val="21"/>
                      <w:vertAlign w:val="baseline"/>
                      <w:lang w:val="en-US" w:eastAsia="zh-CN"/>
                    </w:rPr>
                    <w:t>m</w:t>
                  </w:r>
                  <w:r>
                    <w:rPr>
                      <w:rFonts w:hint="default"/>
                      <w:sz w:val="21"/>
                      <w:szCs w:val="21"/>
                      <w:vertAlign w:val="superscript"/>
                      <w:lang w:val="en-US" w:eastAsia="zh-CN"/>
                    </w:rPr>
                    <w:t>3</w:t>
                  </w:r>
                  <w:r>
                    <w:rPr>
                      <w:rFonts w:hint="default"/>
                      <w:sz w:val="21"/>
                      <w:szCs w:val="21"/>
                      <w:vertAlign w:val="baseline"/>
                      <w:lang w:val="en-US" w:eastAsia="zh-CN"/>
                    </w:rPr>
                    <w:t>/a</w:t>
                  </w:r>
                </w:p>
              </w:tc>
            </w:tr>
          </w:tbl>
          <w:p w14:paraId="44003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3599815" cy="2466340"/>
                  <wp:effectExtent l="0" t="0" r="0" b="0"/>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16"/>
                          <a:stretch>
                            <a:fillRect/>
                          </a:stretch>
                        </pic:blipFill>
                        <pic:spPr>
                          <a:xfrm>
                            <a:off x="0" y="0"/>
                            <a:ext cx="3599815" cy="2466340"/>
                          </a:xfrm>
                          <a:prstGeom prst="rect">
                            <a:avLst/>
                          </a:prstGeom>
                        </pic:spPr>
                      </pic:pic>
                    </a:graphicData>
                  </a:graphic>
                </wp:inline>
              </w:drawing>
            </w:r>
          </w:p>
          <w:p w14:paraId="0B0191FC">
            <w:pPr>
              <w:pStyle w:val="11"/>
              <w:bidi w:val="0"/>
              <w:rPr>
                <w:rFonts w:hint="default"/>
                <w:vertAlign w:val="baseline"/>
                <w:lang w:val="en-US" w:eastAsia="zh-CN"/>
              </w:rPr>
            </w:pPr>
            <w:r>
              <w:rPr>
                <w:rFonts w:hint="eastAsia"/>
                <w:vertAlign w:val="baseline"/>
                <w:lang w:val="en-US" w:eastAsia="zh-CN"/>
              </w:rPr>
              <w:t>图2-1 本项目水平衡图  单位：m</w:t>
            </w:r>
            <w:r>
              <w:rPr>
                <w:rFonts w:hint="eastAsia"/>
                <w:vertAlign w:val="superscript"/>
                <w:lang w:val="en-US" w:eastAsia="zh-CN"/>
              </w:rPr>
              <w:t>3</w:t>
            </w:r>
            <w:r>
              <w:rPr>
                <w:rFonts w:hint="eastAsia"/>
                <w:vertAlign w:val="baseline"/>
                <w:lang w:val="en-US" w:eastAsia="zh-CN"/>
              </w:rPr>
              <w:t>/a</w:t>
            </w:r>
          </w:p>
          <w:p w14:paraId="7C05D9E4">
            <w:pPr>
              <w:rPr>
                <w:rFonts w:hint="default" w:eastAsia="宋体"/>
                <w:vertAlign w:val="baseline"/>
                <w:lang w:val="en-US" w:eastAsia="zh-CN"/>
              </w:rPr>
            </w:pPr>
            <w:r>
              <w:rPr>
                <w:rFonts w:hint="eastAsia"/>
                <w:vertAlign w:val="baseline"/>
                <w:lang w:eastAsia="zh-CN"/>
              </w:rPr>
              <w:t>（</w:t>
            </w:r>
            <w:r>
              <w:rPr>
                <w:rFonts w:hint="eastAsia"/>
                <w:vertAlign w:val="baseline"/>
                <w:lang w:val="en-US" w:eastAsia="zh-CN"/>
              </w:rPr>
              <w:t>2</w:t>
            </w:r>
            <w:r>
              <w:rPr>
                <w:rFonts w:hint="eastAsia"/>
                <w:vertAlign w:val="baseline"/>
                <w:lang w:eastAsia="zh-CN"/>
              </w:rPr>
              <w:t>）</w:t>
            </w:r>
            <w:r>
              <w:rPr>
                <w:rFonts w:hint="eastAsia"/>
                <w:vertAlign w:val="baseline"/>
                <w:lang w:val="en-US" w:eastAsia="zh-CN"/>
              </w:rPr>
              <w:t>供电</w:t>
            </w:r>
          </w:p>
          <w:p w14:paraId="4D91CE65">
            <w:pPr>
              <w:rPr>
                <w:vertAlign w:val="baseline"/>
              </w:rPr>
            </w:pPr>
            <w:r>
              <w:rPr>
                <w:rFonts w:hint="eastAsia"/>
                <w:vertAlign w:val="baseline"/>
              </w:rPr>
              <w:t>本项目用电引自园区市政电网，电力供应充足，可以满足项目需求。</w:t>
            </w:r>
          </w:p>
          <w:p w14:paraId="254B9329">
            <w:pPr>
              <w:rPr>
                <w:rFonts w:hint="eastAsia" w:eastAsia="宋体"/>
                <w:vertAlign w:val="baseline"/>
                <w:lang w:eastAsia="zh-CN"/>
              </w:rPr>
            </w:pPr>
            <w:r>
              <w:rPr>
                <w:rFonts w:hint="eastAsia"/>
                <w:vertAlign w:val="baseline"/>
                <w:lang w:eastAsia="zh-CN"/>
              </w:rPr>
              <w:t>（</w:t>
            </w:r>
            <w:r>
              <w:rPr>
                <w:rFonts w:hint="eastAsia"/>
                <w:vertAlign w:val="baseline"/>
                <w:lang w:val="en-US" w:eastAsia="zh-CN"/>
              </w:rPr>
              <w:t>3</w:t>
            </w:r>
            <w:r>
              <w:rPr>
                <w:rFonts w:hint="eastAsia"/>
                <w:vertAlign w:val="baseline"/>
                <w:lang w:eastAsia="zh-CN"/>
              </w:rPr>
              <w:t>）供暖、制冷</w:t>
            </w:r>
          </w:p>
          <w:p w14:paraId="28DFCBB2">
            <w:pPr>
              <w:rPr>
                <w:rFonts w:hint="eastAsia"/>
                <w:vertAlign w:val="baseline"/>
              </w:rPr>
            </w:pPr>
            <w:r>
              <w:rPr>
                <w:rFonts w:hint="eastAsia"/>
                <w:vertAlign w:val="baseline"/>
              </w:rPr>
              <w:t>本项目冬季供暖</w:t>
            </w:r>
            <w:r>
              <w:rPr>
                <w:rFonts w:hint="eastAsia"/>
                <w:vertAlign w:val="baseline"/>
                <w:lang w:val="en-US" w:eastAsia="zh-CN"/>
              </w:rPr>
              <w:t>由市政集中供暖提供，夏季制冷</w:t>
            </w:r>
            <w:r>
              <w:rPr>
                <w:rFonts w:hint="eastAsia"/>
                <w:vertAlign w:val="baseline"/>
              </w:rPr>
              <w:t>使用空调。</w:t>
            </w:r>
          </w:p>
        </w:tc>
      </w:tr>
      <w:tr w14:paraId="4C25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6CA8C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工艺流程和产排污环节</w:t>
            </w:r>
          </w:p>
        </w:tc>
        <w:tc>
          <w:tcPr>
            <w:tcW w:w="8239" w:type="dxa"/>
            <w:vAlign w:val="center"/>
          </w:tcPr>
          <w:p w14:paraId="5B7F1E78">
            <w:pPr>
              <w:rPr>
                <w:rFonts w:hint="default" w:eastAsia="宋体"/>
                <w:vertAlign w:val="baseline"/>
                <w:lang w:val="en-US" w:eastAsia="zh-CN"/>
              </w:rPr>
            </w:pPr>
            <w:r>
              <w:rPr>
                <w:rFonts w:hint="eastAsia"/>
                <w:vertAlign w:val="baseline"/>
                <w:lang w:val="en-US" w:eastAsia="zh-CN"/>
              </w:rPr>
              <w:t>1、施工期</w:t>
            </w:r>
          </w:p>
          <w:p w14:paraId="669402A3">
            <w:pPr>
              <w:rPr>
                <w:rFonts w:hint="eastAsia"/>
                <w:vertAlign w:val="baseline"/>
                <w:lang w:val="en-US" w:eastAsia="zh-CN"/>
              </w:rPr>
            </w:pPr>
            <w:r>
              <w:rPr>
                <w:rFonts w:hint="eastAsia"/>
                <w:vertAlign w:val="baseline"/>
                <w:lang w:val="en-US" w:eastAsia="zh-CN"/>
              </w:rPr>
              <w:t>本项目施工期主要为设备安装调试和购置办公家具，施工期工艺流程图及产排污环节详见下图。</w:t>
            </w:r>
          </w:p>
          <w:p w14:paraId="5E9B2B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3599815" cy="930275"/>
                  <wp:effectExtent l="0" t="0" r="0" b="0"/>
                  <wp:docPr id="13"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wps"/>
                          <pic:cNvPicPr>
                            <a:picLocks noChangeAspect="1"/>
                          </pic:cNvPicPr>
                        </pic:nvPicPr>
                        <pic:blipFill>
                          <a:blip r:embed="rId17"/>
                          <a:stretch>
                            <a:fillRect/>
                          </a:stretch>
                        </pic:blipFill>
                        <pic:spPr>
                          <a:xfrm>
                            <a:off x="0" y="0"/>
                            <a:ext cx="3599815" cy="930275"/>
                          </a:xfrm>
                          <a:prstGeom prst="rect">
                            <a:avLst/>
                          </a:prstGeom>
                        </pic:spPr>
                      </pic:pic>
                    </a:graphicData>
                  </a:graphic>
                </wp:inline>
              </w:drawing>
            </w:r>
          </w:p>
          <w:p w14:paraId="469DC336">
            <w:pPr>
              <w:pStyle w:val="11"/>
              <w:bidi w:val="0"/>
              <w:rPr>
                <w:rFonts w:hint="eastAsia"/>
                <w:lang w:val="en-US" w:eastAsia="zh-CN"/>
              </w:rPr>
            </w:pPr>
            <w:r>
              <w:rPr>
                <w:rFonts w:hint="eastAsia"/>
                <w:lang w:val="en-US" w:eastAsia="zh-CN"/>
              </w:rPr>
              <w:t>图2-2 施工期工艺流程及产排污节点图</w:t>
            </w:r>
          </w:p>
          <w:p w14:paraId="484E57E9">
            <w:pPr>
              <w:rPr>
                <w:rFonts w:hint="default"/>
                <w:vertAlign w:val="baseline"/>
                <w:lang w:val="en-US" w:eastAsia="zh-CN"/>
              </w:rPr>
            </w:pPr>
            <w:r>
              <w:rPr>
                <w:rFonts w:hint="eastAsia"/>
                <w:vertAlign w:val="baseline"/>
                <w:lang w:val="en-US" w:eastAsia="zh-CN"/>
              </w:rPr>
              <w:t>（1）废气</w:t>
            </w:r>
          </w:p>
          <w:p w14:paraId="37E06C80">
            <w:pPr>
              <w:rPr>
                <w:rFonts w:hint="eastAsia"/>
                <w:vertAlign w:val="baseline"/>
                <w:lang w:val="en-US" w:eastAsia="zh-CN"/>
              </w:rPr>
            </w:pPr>
            <w:r>
              <w:rPr>
                <w:rFonts w:hint="eastAsia"/>
                <w:vertAlign w:val="baseline"/>
                <w:lang w:val="en-US" w:eastAsia="zh-CN"/>
              </w:rPr>
              <w:t>施工期间，废气主要为装修产生的扬尘，影响范围局限在室内，对外环境影响较小。</w:t>
            </w:r>
          </w:p>
          <w:p w14:paraId="7C4B82A3">
            <w:pPr>
              <w:rPr>
                <w:rFonts w:hint="default"/>
                <w:vertAlign w:val="baseline"/>
                <w:lang w:val="en-US" w:eastAsia="zh-CN"/>
              </w:rPr>
            </w:pPr>
            <w:r>
              <w:rPr>
                <w:rFonts w:hint="eastAsia"/>
                <w:vertAlign w:val="baseline"/>
                <w:lang w:val="en-US" w:eastAsia="zh-CN"/>
              </w:rPr>
              <w:t>（2）废水</w:t>
            </w:r>
          </w:p>
          <w:p w14:paraId="1B153DD4">
            <w:pPr>
              <w:rPr>
                <w:rFonts w:hint="eastAsia"/>
                <w:vertAlign w:val="baseline"/>
                <w:lang w:val="en-US" w:eastAsia="zh-CN"/>
              </w:rPr>
            </w:pPr>
            <w:r>
              <w:rPr>
                <w:rFonts w:hint="eastAsia"/>
                <w:vertAlign w:val="baseline"/>
                <w:lang w:val="en-US" w:eastAsia="zh-CN"/>
              </w:rPr>
              <w:t>施工期间，项目经营场所内不设食宿及卫生间，施工人员日常生活依托附近配套设施，施工期无废水排放。</w:t>
            </w:r>
          </w:p>
          <w:p w14:paraId="64745169">
            <w:pPr>
              <w:rPr>
                <w:rFonts w:hint="default"/>
                <w:vertAlign w:val="baseline"/>
                <w:lang w:val="en-US" w:eastAsia="zh-CN"/>
              </w:rPr>
            </w:pPr>
            <w:r>
              <w:rPr>
                <w:rFonts w:hint="eastAsia"/>
                <w:vertAlign w:val="baseline"/>
                <w:lang w:val="en-US" w:eastAsia="zh-CN"/>
              </w:rPr>
              <w:t>（3）噪声</w:t>
            </w:r>
          </w:p>
          <w:p w14:paraId="7A74B4A4">
            <w:pPr>
              <w:rPr>
                <w:rFonts w:hint="eastAsia"/>
                <w:vertAlign w:val="baseline"/>
                <w:lang w:val="en-US" w:eastAsia="zh-CN"/>
              </w:rPr>
            </w:pPr>
            <w:r>
              <w:rPr>
                <w:rFonts w:hint="eastAsia"/>
                <w:vertAlign w:val="baseline"/>
                <w:lang w:val="en-US" w:eastAsia="zh-CN"/>
              </w:rPr>
              <w:t>施工期间，噪声主要来自于施工机械设备（如电钻、电锯）使用过程产生的噪声，部分设备噪声值较高，但属于间歇性噪声。</w:t>
            </w:r>
          </w:p>
          <w:p w14:paraId="2A2EC610">
            <w:pPr>
              <w:rPr>
                <w:rFonts w:hint="default"/>
                <w:vertAlign w:val="baseline"/>
                <w:lang w:val="en-US" w:eastAsia="zh-CN"/>
              </w:rPr>
            </w:pPr>
            <w:r>
              <w:rPr>
                <w:rFonts w:hint="eastAsia"/>
                <w:vertAlign w:val="baseline"/>
                <w:lang w:val="en-US" w:eastAsia="zh-CN"/>
              </w:rPr>
              <w:t>（4）固体废物</w:t>
            </w:r>
          </w:p>
          <w:p w14:paraId="2B709998">
            <w:pPr>
              <w:rPr>
                <w:rFonts w:hint="eastAsia"/>
                <w:vertAlign w:val="baseline"/>
                <w:lang w:val="en-US" w:eastAsia="zh-CN"/>
              </w:rPr>
            </w:pPr>
            <w:r>
              <w:rPr>
                <w:rFonts w:hint="eastAsia"/>
                <w:vertAlign w:val="baseline"/>
                <w:lang w:val="en-US" w:eastAsia="zh-CN"/>
              </w:rPr>
              <w:t>施工期间，固体废物主要来自于施工过程产生的装修垃圾，以砂砾和混凝土废物为主。</w:t>
            </w:r>
          </w:p>
          <w:p w14:paraId="31B3F745">
            <w:pPr>
              <w:rPr>
                <w:rFonts w:hint="default"/>
                <w:vertAlign w:val="baseline"/>
                <w:lang w:val="en-US" w:eastAsia="zh-CN"/>
              </w:rPr>
            </w:pPr>
            <w:r>
              <w:rPr>
                <w:rFonts w:hint="eastAsia"/>
                <w:vertAlign w:val="baseline"/>
                <w:lang w:val="en-US" w:eastAsia="zh-CN"/>
              </w:rPr>
              <w:t>2、运营期</w:t>
            </w:r>
          </w:p>
          <w:p w14:paraId="47F3C541">
            <w:pPr>
              <w:rPr>
                <w:rFonts w:hint="eastAsia"/>
                <w:vertAlign w:val="baseline"/>
                <w:lang w:val="en-US" w:eastAsia="zh-CN"/>
              </w:rPr>
            </w:pPr>
            <w:r>
              <w:rPr>
                <w:rFonts w:hint="eastAsia"/>
                <w:vertAlign w:val="baseline"/>
                <w:lang w:val="en-US" w:eastAsia="zh-CN"/>
              </w:rPr>
              <w:t>本项目开展动物美容洗浴，以及动物疾病预防、诊疗、治疗和绝育手术。工艺流程及产污环节如下：</w:t>
            </w:r>
          </w:p>
          <w:p w14:paraId="3BE48063">
            <w:pPr>
              <w:rPr>
                <w:rFonts w:hint="eastAsia"/>
                <w:vertAlign w:val="baseline"/>
                <w:lang w:val="en-US" w:eastAsia="zh-CN"/>
              </w:rPr>
            </w:pPr>
          </w:p>
          <w:p w14:paraId="275D362A">
            <w:pPr>
              <w:rPr>
                <w:rFonts w:hint="eastAsia"/>
                <w:vertAlign w:val="baseline"/>
                <w:lang w:val="en-US" w:eastAsia="zh-CN"/>
              </w:rPr>
            </w:pPr>
          </w:p>
          <w:p w14:paraId="64B19D00">
            <w:pPr>
              <w:rPr>
                <w:rFonts w:hint="eastAsia"/>
                <w:vertAlign w:val="baseline"/>
                <w:lang w:val="en-US" w:eastAsia="zh-CN"/>
              </w:rPr>
            </w:pPr>
          </w:p>
          <w:p w14:paraId="73EB6E0D">
            <w:pPr>
              <w:rPr>
                <w:rFonts w:hint="eastAsia"/>
                <w:vertAlign w:val="baseline"/>
                <w:lang w:val="en-US" w:eastAsia="zh-CN"/>
              </w:rPr>
            </w:pPr>
          </w:p>
          <w:p w14:paraId="79274DA7">
            <w:pPr>
              <w:rPr>
                <w:rFonts w:hint="eastAsia"/>
                <w:vertAlign w:val="baseline"/>
                <w:lang w:val="en-US" w:eastAsia="zh-CN"/>
              </w:rPr>
            </w:pPr>
          </w:p>
          <w:p w14:paraId="1192E6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vertAlign w:val="baseline"/>
                <w:lang w:val="en-US" w:eastAsia="zh-CN"/>
              </w:rPr>
            </w:pPr>
            <w:r>
              <w:drawing>
                <wp:inline distT="0" distB="0" distL="114300" distR="114300">
                  <wp:extent cx="5092065" cy="3358515"/>
                  <wp:effectExtent l="0" t="0" r="133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092065" cy="3358515"/>
                          </a:xfrm>
                          <a:prstGeom prst="rect">
                            <a:avLst/>
                          </a:prstGeom>
                          <a:noFill/>
                          <a:ln>
                            <a:noFill/>
                          </a:ln>
                        </pic:spPr>
                      </pic:pic>
                    </a:graphicData>
                  </a:graphic>
                </wp:inline>
              </w:drawing>
            </w:r>
          </w:p>
          <w:p w14:paraId="544B61F3">
            <w:pPr>
              <w:pStyle w:val="11"/>
              <w:bidi w:val="0"/>
              <w:rPr>
                <w:rFonts w:hint="default"/>
                <w:lang w:val="en-US" w:eastAsia="zh-CN"/>
              </w:rPr>
            </w:pPr>
            <w:r>
              <w:rPr>
                <w:rFonts w:hint="eastAsia"/>
                <w:lang w:val="en-US" w:eastAsia="zh-CN"/>
              </w:rPr>
              <w:t>图2-2 营运期工艺流程和产排污环节图</w:t>
            </w:r>
          </w:p>
          <w:p w14:paraId="23DF54BB">
            <w:pPr>
              <w:rPr>
                <w:rFonts w:hint="default"/>
                <w:vertAlign w:val="baseline"/>
                <w:lang w:val="en-US" w:eastAsia="zh-CN"/>
              </w:rPr>
            </w:pPr>
            <w:r>
              <w:rPr>
                <w:rFonts w:hint="default"/>
                <w:vertAlign w:val="baseline"/>
                <w:lang w:val="en-US" w:eastAsia="zh-CN"/>
              </w:rPr>
              <w:t>动物入院挂号后，到诊室进行检查，视患病动物病情的严重程度，选择对其进行不同的治疗方式。打疫苗及其他病情较轻的病例进行免疫处置及简单处理，取药后离院；若病情较重则需进行手术等，术后病状态较好的动物，由主人直接接回自家。项目夜间不接诊，不寄养动物。项目设有住院服务留宿术后重症动物，故项目有夜间运行。</w:t>
            </w:r>
          </w:p>
          <w:p w14:paraId="39172EF3">
            <w:pPr>
              <w:rPr>
                <w:rFonts w:hint="default"/>
                <w:vertAlign w:val="baseline"/>
                <w:lang w:val="en-US" w:eastAsia="zh-CN"/>
              </w:rPr>
            </w:pPr>
            <w:r>
              <w:rPr>
                <w:rFonts w:hint="default"/>
                <w:vertAlign w:val="baseline"/>
                <w:lang w:val="en-US" w:eastAsia="zh-CN"/>
              </w:rPr>
              <w:t>本项目所使用的检验耗材为试纸或常规的一次性检验试剂盒，使用后按医疗废物回收处理，诊疗废水中不含强酸、强碱、重金属、剧毒物质。</w:t>
            </w:r>
          </w:p>
          <w:p w14:paraId="4E23CB7C">
            <w:pPr>
              <w:rPr>
                <w:rFonts w:hint="default"/>
                <w:vertAlign w:val="baseline"/>
                <w:lang w:val="en-US" w:eastAsia="zh-CN"/>
              </w:rPr>
            </w:pPr>
            <w:r>
              <w:rPr>
                <w:rFonts w:hint="default"/>
                <w:vertAlign w:val="baseline"/>
                <w:lang w:val="en-US" w:eastAsia="zh-CN"/>
              </w:rPr>
              <w:t>项目动物诊疗及手术等过程中产生诊疗废水及医疗废物；动物诊疗废水及美容洗浴废水中的动物毛发应属于感染性废物，被水池篦子等拦截后收集暂存；人员日常办公生活过程产生生活</w:t>
            </w:r>
            <w:r>
              <w:rPr>
                <w:rFonts w:hint="eastAsia"/>
                <w:vertAlign w:val="baseline"/>
                <w:lang w:val="en-US" w:eastAsia="zh-CN"/>
              </w:rPr>
              <w:t>废水</w:t>
            </w:r>
            <w:r>
              <w:rPr>
                <w:rFonts w:hint="default"/>
                <w:vertAlign w:val="baseline"/>
                <w:lang w:val="en-US" w:eastAsia="zh-CN"/>
              </w:rPr>
              <w:t>和生活垃圾。医院使用的原辅材料外包装物、医疗器械等的外包装物，以及动物异味净化设施中产生的废饱和活性炭，均为一般工业固体废物；动物诊疗过程中医疗设备和污水处理设备运行中产生噪声，以及就诊动物发出叫声；动物自身产生异味废气等。</w:t>
            </w:r>
          </w:p>
          <w:p w14:paraId="5948DF5F">
            <w:pPr>
              <w:rPr>
                <w:rFonts w:hint="default"/>
                <w:vertAlign w:val="baseline"/>
                <w:lang w:val="en-US" w:eastAsia="zh-CN"/>
              </w:rPr>
            </w:pPr>
            <w:r>
              <w:rPr>
                <w:rFonts w:hint="default"/>
                <w:vertAlign w:val="baseline"/>
                <w:lang w:val="en-US" w:eastAsia="zh-CN"/>
              </w:rPr>
              <w:t>项目主要产污环节见下表。</w:t>
            </w:r>
          </w:p>
          <w:p w14:paraId="6234EFA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表2-8 项目污染源与污染因子识别</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348"/>
              <w:gridCol w:w="2051"/>
              <w:gridCol w:w="645"/>
              <w:gridCol w:w="2501"/>
            </w:tblGrid>
            <w:tr w14:paraId="5A0269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tcBorders>
                    <w:tl2br w:val="nil"/>
                    <w:tr2bl w:val="nil"/>
                  </w:tcBorders>
                  <w:vAlign w:val="center"/>
                </w:tcPr>
                <w:p w14:paraId="38D1C77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类别</w:t>
                  </w:r>
                </w:p>
              </w:tc>
              <w:tc>
                <w:tcPr>
                  <w:tcW w:w="2348" w:type="dxa"/>
                  <w:tcBorders>
                    <w:tl2br w:val="nil"/>
                    <w:tr2bl w:val="nil"/>
                  </w:tcBorders>
                  <w:vAlign w:val="center"/>
                </w:tcPr>
                <w:p w14:paraId="024FB46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污染源</w:t>
                  </w:r>
                </w:p>
              </w:tc>
              <w:tc>
                <w:tcPr>
                  <w:tcW w:w="2051" w:type="dxa"/>
                  <w:tcBorders>
                    <w:tl2br w:val="nil"/>
                    <w:tr2bl w:val="nil"/>
                  </w:tcBorders>
                  <w:vAlign w:val="center"/>
                </w:tcPr>
                <w:p w14:paraId="2A97156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污染因子</w:t>
                  </w:r>
                </w:p>
              </w:tc>
              <w:tc>
                <w:tcPr>
                  <w:tcW w:w="645" w:type="dxa"/>
                  <w:tcBorders>
                    <w:tl2br w:val="nil"/>
                    <w:tr2bl w:val="nil"/>
                  </w:tcBorders>
                  <w:vAlign w:val="center"/>
                </w:tcPr>
                <w:p w14:paraId="5911061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产生特征</w:t>
                  </w:r>
                </w:p>
              </w:tc>
              <w:tc>
                <w:tcPr>
                  <w:tcW w:w="2501" w:type="dxa"/>
                  <w:tcBorders>
                    <w:tl2br w:val="nil"/>
                    <w:tr2bl w:val="nil"/>
                  </w:tcBorders>
                  <w:vAlign w:val="center"/>
                </w:tcPr>
                <w:p w14:paraId="239D704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eastAsia" w:ascii="Times New Roman" w:hAnsi="Times New Roman" w:cs="Times New Roman" w:eastAsiaTheme="minorEastAsia"/>
                      <w:b/>
                      <w:bCs/>
                      <w:color w:val="auto"/>
                      <w:sz w:val="21"/>
                      <w:szCs w:val="21"/>
                      <w:highlight w:val="none"/>
                      <w:vertAlign w:val="baseline"/>
                      <w:lang w:val="en-US" w:eastAsia="zh-CN"/>
                    </w:rPr>
                    <w:t>治理设施</w:t>
                  </w:r>
                </w:p>
              </w:tc>
            </w:tr>
            <w:tr w14:paraId="1E39BB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tcBorders>
                    <w:tl2br w:val="nil"/>
                    <w:tr2bl w:val="nil"/>
                  </w:tcBorders>
                  <w:vAlign w:val="center"/>
                </w:tcPr>
                <w:p w14:paraId="2CC366D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废气</w:t>
                  </w:r>
                </w:p>
              </w:tc>
              <w:tc>
                <w:tcPr>
                  <w:tcW w:w="2348" w:type="dxa"/>
                  <w:tcBorders>
                    <w:tl2br w:val="nil"/>
                    <w:tr2bl w:val="nil"/>
                  </w:tcBorders>
                  <w:vAlign w:val="center"/>
                </w:tcPr>
                <w:p w14:paraId="72CFA56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动物产生的异味废气</w:t>
                  </w:r>
                </w:p>
              </w:tc>
              <w:tc>
                <w:tcPr>
                  <w:tcW w:w="2051" w:type="dxa"/>
                  <w:tcBorders>
                    <w:tl2br w:val="nil"/>
                    <w:tr2bl w:val="nil"/>
                  </w:tcBorders>
                  <w:vAlign w:val="center"/>
                </w:tcPr>
                <w:p w14:paraId="4938F93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H</w:t>
                  </w:r>
                  <w:r>
                    <w:rPr>
                      <w:rFonts w:hint="default" w:ascii="Times New Roman" w:hAnsi="Times New Roman" w:cs="Times New Roman" w:eastAsiaTheme="minorEastAsia"/>
                      <w:b w:val="0"/>
                      <w:bCs w:val="0"/>
                      <w:color w:val="auto"/>
                      <w:sz w:val="21"/>
                      <w:szCs w:val="21"/>
                      <w:highlight w:val="none"/>
                      <w:vertAlign w:val="subscript"/>
                      <w:lang w:val="en-US" w:eastAsia="zh-CN"/>
                    </w:rPr>
                    <w:t>2</w:t>
                  </w:r>
                  <w:r>
                    <w:rPr>
                      <w:rFonts w:hint="default" w:ascii="Times New Roman" w:hAnsi="Times New Roman" w:cs="Times New Roman" w:eastAsiaTheme="minorEastAsia"/>
                      <w:b w:val="0"/>
                      <w:bCs w:val="0"/>
                      <w:color w:val="auto"/>
                      <w:sz w:val="21"/>
                      <w:szCs w:val="21"/>
                      <w:highlight w:val="none"/>
                      <w:vertAlign w:val="baseline"/>
                      <w:lang w:val="en-US" w:eastAsia="zh-CN"/>
                    </w:rPr>
                    <w:t>S、NH</w:t>
                  </w:r>
                  <w:r>
                    <w:rPr>
                      <w:rFonts w:hint="default" w:ascii="Times New Roman" w:hAnsi="Times New Roman" w:cs="Times New Roman" w:eastAsiaTheme="minorEastAsia"/>
                      <w:b w:val="0"/>
                      <w:bCs w:val="0"/>
                      <w:color w:val="auto"/>
                      <w:sz w:val="21"/>
                      <w:szCs w:val="21"/>
                      <w:highlight w:val="none"/>
                      <w:vertAlign w:val="subscript"/>
                      <w:lang w:val="en-US" w:eastAsia="zh-CN"/>
                    </w:rPr>
                    <w:t>3</w:t>
                  </w:r>
                  <w:r>
                    <w:rPr>
                      <w:rFonts w:hint="default" w:ascii="Times New Roman" w:hAnsi="Times New Roman" w:cs="Times New Roman" w:eastAsiaTheme="minorEastAsia"/>
                      <w:b w:val="0"/>
                      <w:bCs w:val="0"/>
                      <w:color w:val="auto"/>
                      <w:sz w:val="21"/>
                      <w:szCs w:val="21"/>
                      <w:highlight w:val="none"/>
                      <w:vertAlign w:val="baseline"/>
                      <w:lang w:val="en-US" w:eastAsia="zh-CN"/>
                    </w:rPr>
                    <w:t>、臭气浓度</w:t>
                  </w:r>
                </w:p>
              </w:tc>
              <w:tc>
                <w:tcPr>
                  <w:tcW w:w="645" w:type="dxa"/>
                  <w:tcBorders>
                    <w:tl2br w:val="nil"/>
                    <w:tr2bl w:val="nil"/>
                  </w:tcBorders>
                  <w:vAlign w:val="center"/>
                </w:tcPr>
                <w:p w14:paraId="3F2B84EF">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46FF798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各房间吊顶上方的排风管道设置吸风口，主管道内安装活性炭净化装置及排风机（位于医院东北侧手术室吊顶内），异味经吸附净化后通过位于东侧外墙的排风口排放。</w:t>
                  </w:r>
                </w:p>
              </w:tc>
            </w:tr>
            <w:tr w14:paraId="5FED3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582A312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废水</w:t>
                  </w:r>
                </w:p>
              </w:tc>
              <w:tc>
                <w:tcPr>
                  <w:tcW w:w="2348" w:type="dxa"/>
                  <w:tcBorders>
                    <w:tl2br w:val="nil"/>
                    <w:tr2bl w:val="nil"/>
                  </w:tcBorders>
                  <w:vAlign w:val="center"/>
                </w:tcPr>
                <w:p w14:paraId="2C1F35A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诊疗废水</w:t>
                  </w:r>
                </w:p>
              </w:tc>
              <w:tc>
                <w:tcPr>
                  <w:tcW w:w="2051" w:type="dxa"/>
                  <w:vMerge w:val="restart"/>
                  <w:tcBorders>
                    <w:tl2br w:val="nil"/>
                    <w:tr2bl w:val="nil"/>
                  </w:tcBorders>
                  <w:vAlign w:val="center"/>
                </w:tcPr>
                <w:p w14:paraId="3B7E474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pH值、COD</w:t>
                  </w:r>
                  <w:r>
                    <w:rPr>
                      <w:rFonts w:hint="eastAsia" w:ascii="Times New Roman" w:hAnsi="Times New Roman" w:cs="Times New Roman" w:eastAsiaTheme="minorEastAsia"/>
                      <w:b w:val="0"/>
                      <w:bCs w:val="0"/>
                      <w:color w:val="auto"/>
                      <w:sz w:val="21"/>
                      <w:szCs w:val="21"/>
                      <w:highlight w:val="none"/>
                      <w:vertAlign w:val="baseline"/>
                      <w:lang w:val="en-US" w:eastAsia="zh-CN"/>
                    </w:rPr>
                    <w:t>cr</w:t>
                  </w:r>
                  <w:r>
                    <w:rPr>
                      <w:rFonts w:hint="default" w:ascii="Times New Roman" w:hAnsi="Times New Roman" w:cs="Times New Roman" w:eastAsiaTheme="minorEastAsia"/>
                      <w:b w:val="0"/>
                      <w:bCs w:val="0"/>
                      <w:color w:val="auto"/>
                      <w:sz w:val="21"/>
                      <w:szCs w:val="21"/>
                      <w:highlight w:val="none"/>
                      <w:vertAlign w:val="baseline"/>
                      <w:lang w:val="en-US" w:eastAsia="zh-CN"/>
                    </w:rPr>
                    <w:t>、BOD</w:t>
                  </w:r>
                  <w:r>
                    <w:rPr>
                      <w:rFonts w:hint="default" w:ascii="Times New Roman" w:hAnsi="Times New Roman" w:cs="Times New Roman" w:eastAsiaTheme="minorEastAsia"/>
                      <w:b w:val="0"/>
                      <w:bCs w:val="0"/>
                      <w:color w:val="auto"/>
                      <w:sz w:val="21"/>
                      <w:szCs w:val="21"/>
                      <w:highlight w:val="none"/>
                      <w:vertAlign w:val="subscript"/>
                      <w:lang w:val="en-US" w:eastAsia="zh-CN"/>
                    </w:rPr>
                    <w:t>5</w:t>
                  </w:r>
                  <w:r>
                    <w:rPr>
                      <w:rFonts w:hint="default" w:ascii="Times New Roman" w:hAnsi="Times New Roman" w:cs="Times New Roman" w:eastAsiaTheme="minorEastAsia"/>
                      <w:b w:val="0"/>
                      <w:bCs w:val="0"/>
                      <w:color w:val="auto"/>
                      <w:sz w:val="21"/>
                      <w:szCs w:val="21"/>
                      <w:highlight w:val="none"/>
                      <w:vertAlign w:val="baseline"/>
                      <w:lang w:val="en-US" w:eastAsia="zh-CN"/>
                    </w:rPr>
                    <w:t>、SS、</w:t>
                  </w:r>
                  <w:r>
                    <w:rPr>
                      <w:rFonts w:hint="eastAsia" w:ascii="Times New Roman" w:hAnsi="Times New Roman" w:cs="Times New Roman" w:eastAsiaTheme="minorEastAsia"/>
                      <w:b w:val="0"/>
                      <w:bCs w:val="0"/>
                      <w:color w:val="auto"/>
                      <w:sz w:val="21"/>
                      <w:szCs w:val="21"/>
                      <w:highlight w:val="none"/>
                      <w:vertAlign w:val="baseline"/>
                      <w:lang w:val="en-US" w:eastAsia="zh-CN"/>
                    </w:rPr>
                    <w:t>氨氮、总余氯、粪大肠菌群</w:t>
                  </w:r>
                </w:p>
              </w:tc>
              <w:tc>
                <w:tcPr>
                  <w:tcW w:w="645" w:type="dxa"/>
                  <w:tcBorders>
                    <w:tl2br w:val="nil"/>
                    <w:tr2bl w:val="nil"/>
                  </w:tcBorders>
                  <w:vAlign w:val="center"/>
                </w:tcPr>
                <w:p w14:paraId="12AA61A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restart"/>
                  <w:tcBorders>
                    <w:tl2br w:val="nil"/>
                    <w:tr2bl w:val="nil"/>
                  </w:tcBorders>
                  <w:vAlign w:val="center"/>
                </w:tcPr>
                <w:p w14:paraId="660ED7E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动物诊疗废水经污水处理设备消毒后，与</w:t>
                  </w:r>
                  <w:r>
                    <w:rPr>
                      <w:rFonts w:hint="eastAsia" w:ascii="Times New Roman" w:hAnsi="Times New Roman" w:cs="Times New Roman" w:eastAsiaTheme="minorEastAsia"/>
                      <w:b w:val="0"/>
                      <w:bCs w:val="0"/>
                      <w:color w:val="auto"/>
                      <w:sz w:val="21"/>
                      <w:szCs w:val="21"/>
                      <w:highlight w:val="none"/>
                      <w:vertAlign w:val="baseline"/>
                      <w:lang w:val="en-US" w:eastAsia="zh-CN"/>
                    </w:rPr>
                    <w:t>生活废水</w:t>
                  </w:r>
                  <w:r>
                    <w:rPr>
                      <w:rFonts w:hint="default" w:ascii="Times New Roman" w:hAnsi="Times New Roman" w:cs="Times New Roman" w:eastAsiaTheme="minorEastAsia"/>
                      <w:b w:val="0"/>
                      <w:bCs w:val="0"/>
                      <w:color w:val="auto"/>
                      <w:sz w:val="21"/>
                      <w:szCs w:val="21"/>
                      <w:highlight w:val="none"/>
                      <w:vertAlign w:val="baseline"/>
                      <w:lang w:val="en-US" w:eastAsia="zh-CN"/>
                    </w:rPr>
                    <w:t>一同排入所在建筑集中化粪池预处理，最终通过市政污水管网汇入小红门再生水厂</w:t>
                  </w:r>
                </w:p>
              </w:tc>
            </w:tr>
            <w:tr w14:paraId="73DC3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0E228A53">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633F7F5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美容洗浴废水</w:t>
                  </w:r>
                </w:p>
              </w:tc>
              <w:tc>
                <w:tcPr>
                  <w:tcW w:w="2051" w:type="dxa"/>
                  <w:vMerge w:val="continue"/>
                  <w:tcBorders>
                    <w:tl2br w:val="nil"/>
                    <w:tr2bl w:val="nil"/>
                  </w:tcBorders>
                  <w:vAlign w:val="center"/>
                </w:tcPr>
                <w:p w14:paraId="4BBC43C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645" w:type="dxa"/>
                  <w:tcBorders>
                    <w:tl2br w:val="nil"/>
                    <w:tr2bl w:val="nil"/>
                  </w:tcBorders>
                  <w:vAlign w:val="center"/>
                </w:tcPr>
                <w:p w14:paraId="0B88BA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6F32473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6A8A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36EA50D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6AE4B9D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生活废水</w:t>
                  </w:r>
                </w:p>
              </w:tc>
              <w:tc>
                <w:tcPr>
                  <w:tcW w:w="2051" w:type="dxa"/>
                  <w:vMerge w:val="continue"/>
                  <w:tcBorders>
                    <w:tl2br w:val="nil"/>
                    <w:tr2bl w:val="nil"/>
                  </w:tcBorders>
                  <w:vAlign w:val="center"/>
                </w:tcPr>
                <w:p w14:paraId="70D0AE5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645" w:type="dxa"/>
                  <w:tcBorders>
                    <w:tl2br w:val="nil"/>
                    <w:tr2bl w:val="nil"/>
                  </w:tcBorders>
                  <w:vAlign w:val="center"/>
                </w:tcPr>
                <w:p w14:paraId="0B9D486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48F5BC5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1B26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45EB642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2348" w:type="dxa"/>
                  <w:tcBorders>
                    <w:tl2br w:val="nil"/>
                    <w:tr2bl w:val="nil"/>
                  </w:tcBorders>
                  <w:vAlign w:val="center"/>
                </w:tcPr>
                <w:p w14:paraId="2D1FA13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医疗设备</w:t>
                  </w:r>
                </w:p>
              </w:tc>
              <w:tc>
                <w:tcPr>
                  <w:tcW w:w="2051" w:type="dxa"/>
                  <w:tcBorders>
                    <w:tl2br w:val="nil"/>
                    <w:tr2bl w:val="nil"/>
                  </w:tcBorders>
                  <w:vAlign w:val="center"/>
                </w:tcPr>
                <w:p w14:paraId="212669D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3C32C35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restart"/>
                  <w:tcBorders>
                    <w:tl2br w:val="nil"/>
                    <w:tr2bl w:val="nil"/>
                  </w:tcBorders>
                  <w:vAlign w:val="center"/>
                </w:tcPr>
                <w:p w14:paraId="58B7654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选用低噪声设备，基础减振，距离衰减等</w:t>
                  </w:r>
                </w:p>
              </w:tc>
            </w:tr>
            <w:tr w14:paraId="704F77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04434E4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4B3600B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污水处理设备</w:t>
                  </w:r>
                </w:p>
              </w:tc>
              <w:tc>
                <w:tcPr>
                  <w:tcW w:w="2051" w:type="dxa"/>
                  <w:tcBorders>
                    <w:tl2br w:val="nil"/>
                    <w:tr2bl w:val="nil"/>
                  </w:tcBorders>
                  <w:vAlign w:val="center"/>
                </w:tcPr>
                <w:p w14:paraId="56CB2EC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28B808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5648ED4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40AB8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7D524BA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52ED952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动物吠叫</w:t>
                  </w:r>
                </w:p>
              </w:tc>
              <w:tc>
                <w:tcPr>
                  <w:tcW w:w="2051" w:type="dxa"/>
                  <w:tcBorders>
                    <w:tl2br w:val="nil"/>
                    <w:tr2bl w:val="nil"/>
                  </w:tcBorders>
                  <w:vAlign w:val="center"/>
                </w:tcPr>
                <w:p w14:paraId="24F464B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噪声</w:t>
                  </w:r>
                </w:p>
              </w:tc>
              <w:tc>
                <w:tcPr>
                  <w:tcW w:w="645" w:type="dxa"/>
                  <w:tcBorders>
                    <w:tl2br w:val="nil"/>
                    <w:tr2bl w:val="nil"/>
                  </w:tcBorders>
                  <w:vAlign w:val="center"/>
                </w:tcPr>
                <w:p w14:paraId="2B74C11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vMerge w:val="continue"/>
                  <w:tcBorders>
                    <w:tl2br w:val="nil"/>
                    <w:tr2bl w:val="nil"/>
                  </w:tcBorders>
                  <w:vAlign w:val="center"/>
                </w:tcPr>
                <w:p w14:paraId="28DD3D2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r>
            <w:tr w14:paraId="0D9C1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restart"/>
                  <w:tcBorders>
                    <w:tl2br w:val="nil"/>
                    <w:tr2bl w:val="nil"/>
                  </w:tcBorders>
                  <w:vAlign w:val="center"/>
                </w:tcPr>
                <w:p w14:paraId="15C5E27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固体</w:t>
                  </w:r>
                </w:p>
                <w:p w14:paraId="666D03C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废物</w:t>
                  </w:r>
                </w:p>
              </w:tc>
              <w:tc>
                <w:tcPr>
                  <w:tcW w:w="2348" w:type="dxa"/>
                  <w:tcBorders>
                    <w:tl2br w:val="nil"/>
                    <w:tr2bl w:val="nil"/>
                  </w:tcBorders>
                  <w:vAlign w:val="center"/>
                </w:tcPr>
                <w:p w14:paraId="426570E3">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生活办公</w:t>
                  </w:r>
                </w:p>
              </w:tc>
              <w:tc>
                <w:tcPr>
                  <w:tcW w:w="2051" w:type="dxa"/>
                  <w:tcBorders>
                    <w:tl2br w:val="nil"/>
                    <w:tr2bl w:val="nil"/>
                  </w:tcBorders>
                  <w:vAlign w:val="center"/>
                </w:tcPr>
                <w:p w14:paraId="47ECD3C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生活垃圾</w:t>
                  </w:r>
                </w:p>
              </w:tc>
              <w:tc>
                <w:tcPr>
                  <w:tcW w:w="645" w:type="dxa"/>
                  <w:tcBorders>
                    <w:tl2br w:val="nil"/>
                    <w:tr2bl w:val="nil"/>
                  </w:tcBorders>
                  <w:vAlign w:val="center"/>
                </w:tcPr>
                <w:p w14:paraId="3B76335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6138239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由环卫部门定期清运处置</w:t>
                  </w:r>
                </w:p>
              </w:tc>
            </w:tr>
            <w:tr w14:paraId="301A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133AAD82">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1840C1BC">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原辅材料包装、医疗器械外包装物</w:t>
                  </w:r>
                </w:p>
              </w:tc>
              <w:tc>
                <w:tcPr>
                  <w:tcW w:w="2051" w:type="dxa"/>
                  <w:tcBorders>
                    <w:tl2br w:val="nil"/>
                    <w:tr2bl w:val="nil"/>
                  </w:tcBorders>
                  <w:vAlign w:val="center"/>
                </w:tcPr>
                <w:p w14:paraId="16444C3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废包装物</w:t>
                  </w:r>
                </w:p>
              </w:tc>
              <w:tc>
                <w:tcPr>
                  <w:tcW w:w="645" w:type="dxa"/>
                  <w:tcBorders>
                    <w:tl2br w:val="nil"/>
                    <w:tr2bl w:val="nil"/>
                  </w:tcBorders>
                  <w:vAlign w:val="center"/>
                </w:tcPr>
                <w:p w14:paraId="59A451B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6801CB5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交由废品回收站回收再利用</w:t>
                  </w:r>
                </w:p>
              </w:tc>
            </w:tr>
            <w:tr w14:paraId="43706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2D8C900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362FF4D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异味净化系统</w:t>
                  </w:r>
                </w:p>
              </w:tc>
              <w:tc>
                <w:tcPr>
                  <w:tcW w:w="2051" w:type="dxa"/>
                  <w:tcBorders>
                    <w:tl2br w:val="nil"/>
                    <w:tr2bl w:val="nil"/>
                  </w:tcBorders>
                  <w:vAlign w:val="center"/>
                </w:tcPr>
                <w:p w14:paraId="0FD9788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废活性炭</w:t>
                  </w:r>
                </w:p>
              </w:tc>
              <w:tc>
                <w:tcPr>
                  <w:tcW w:w="645" w:type="dxa"/>
                  <w:tcBorders>
                    <w:tl2br w:val="nil"/>
                    <w:tr2bl w:val="nil"/>
                  </w:tcBorders>
                  <w:vAlign w:val="center"/>
                </w:tcPr>
                <w:p w14:paraId="1EC4297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2DA3A82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由生产厂家回收再利用</w:t>
                  </w:r>
                </w:p>
              </w:tc>
            </w:tr>
            <w:tr w14:paraId="1F4B2C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dxa"/>
                  <w:vMerge w:val="continue"/>
                  <w:tcBorders>
                    <w:tl2br w:val="nil"/>
                    <w:tr2bl w:val="nil"/>
                  </w:tcBorders>
                  <w:vAlign w:val="center"/>
                </w:tcPr>
                <w:p w14:paraId="7965D15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2348" w:type="dxa"/>
                  <w:tcBorders>
                    <w:tl2br w:val="nil"/>
                    <w:tr2bl w:val="nil"/>
                  </w:tcBorders>
                  <w:vAlign w:val="center"/>
                </w:tcPr>
                <w:p w14:paraId="0E8E52D8">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诊室、手术室等</w:t>
                  </w:r>
                </w:p>
              </w:tc>
              <w:tc>
                <w:tcPr>
                  <w:tcW w:w="2051" w:type="dxa"/>
                  <w:tcBorders>
                    <w:tl2br w:val="nil"/>
                    <w:tr2bl w:val="nil"/>
                  </w:tcBorders>
                  <w:vAlign w:val="center"/>
                </w:tcPr>
                <w:p w14:paraId="069503F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医疗废物</w:t>
                  </w:r>
                </w:p>
              </w:tc>
              <w:tc>
                <w:tcPr>
                  <w:tcW w:w="645" w:type="dxa"/>
                  <w:tcBorders>
                    <w:tl2br w:val="nil"/>
                    <w:tr2bl w:val="nil"/>
                  </w:tcBorders>
                  <w:vAlign w:val="center"/>
                </w:tcPr>
                <w:p w14:paraId="55A73BA4">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间断</w:t>
                  </w:r>
                </w:p>
              </w:tc>
              <w:tc>
                <w:tcPr>
                  <w:tcW w:w="2501" w:type="dxa"/>
                  <w:tcBorders>
                    <w:tl2br w:val="nil"/>
                    <w:tr2bl w:val="nil"/>
                  </w:tcBorders>
                  <w:vAlign w:val="center"/>
                </w:tcPr>
                <w:p w14:paraId="52FF1DE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分类收集后暂存于医疗废物暂存间，定期委托资质单位转运处置</w:t>
                  </w:r>
                </w:p>
              </w:tc>
            </w:tr>
          </w:tbl>
          <w:p w14:paraId="66E1F8E3">
            <w:pPr>
              <w:rPr>
                <w:rFonts w:hint="default"/>
                <w:vertAlign w:val="baseline"/>
                <w:lang w:val="en-US" w:eastAsia="zh-CN"/>
              </w:rPr>
            </w:pPr>
          </w:p>
          <w:p w14:paraId="6BF8F6F4">
            <w:pPr>
              <w:ind w:left="0" w:leftChars="0" w:firstLine="0" w:firstLineChars="0"/>
              <w:rPr>
                <w:vertAlign w:val="baseline"/>
              </w:rPr>
            </w:pPr>
          </w:p>
        </w:tc>
      </w:tr>
      <w:tr w14:paraId="2CB2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09" w:type="dxa"/>
            <w:vAlign w:val="center"/>
          </w:tcPr>
          <w:p w14:paraId="5FF7B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vertAlign w:val="baseline"/>
                <w:lang w:val="en-US" w:eastAsia="zh-CN"/>
              </w:rPr>
            </w:pPr>
            <w:r>
              <w:rPr>
                <w:rFonts w:hint="eastAsia"/>
                <w:vertAlign w:val="baseline"/>
                <w:lang w:val="en-US" w:eastAsia="zh-CN"/>
              </w:rPr>
              <w:t>与项目有关的原有环境污染问题</w:t>
            </w:r>
          </w:p>
        </w:tc>
        <w:tc>
          <w:tcPr>
            <w:tcW w:w="8239" w:type="dxa"/>
            <w:vAlign w:val="center"/>
          </w:tcPr>
          <w:p w14:paraId="37366D50">
            <w:pPr>
              <w:rPr>
                <w:rFonts w:hint="eastAsia"/>
                <w:vertAlign w:val="baseline"/>
                <w:lang w:val="en-US" w:eastAsia="zh-CN"/>
              </w:rPr>
            </w:pPr>
          </w:p>
          <w:p w14:paraId="3AFB6939">
            <w:pPr>
              <w:rPr>
                <w:rFonts w:hint="eastAsia"/>
                <w:vertAlign w:val="baseline"/>
                <w:lang w:val="en-US" w:eastAsia="zh-CN"/>
              </w:rPr>
            </w:pPr>
            <w:r>
              <w:rPr>
                <w:rFonts w:hint="eastAsia"/>
                <w:vertAlign w:val="baseline"/>
                <w:lang w:val="en-US" w:eastAsia="zh-CN"/>
              </w:rPr>
              <w:t>本项目为新建项目，不存在与项目有关的原有环境污染问题。</w:t>
            </w:r>
          </w:p>
          <w:p w14:paraId="5AA9F71C">
            <w:pPr>
              <w:rPr>
                <w:rFonts w:hint="eastAsia"/>
                <w:vertAlign w:val="baseline"/>
                <w:lang w:val="en-US" w:eastAsia="zh-CN"/>
              </w:rPr>
            </w:pPr>
          </w:p>
          <w:p w14:paraId="277D8A26">
            <w:pPr>
              <w:rPr>
                <w:rFonts w:hint="default"/>
                <w:vertAlign w:val="baseline"/>
                <w:lang w:val="en-US" w:eastAsia="zh-CN"/>
              </w:rPr>
            </w:pPr>
          </w:p>
          <w:p w14:paraId="3A102DF9">
            <w:pPr>
              <w:rPr>
                <w:rFonts w:hint="default"/>
                <w:vertAlign w:val="baseline"/>
                <w:lang w:val="en-US" w:eastAsia="zh-CN"/>
              </w:rPr>
            </w:pPr>
          </w:p>
          <w:p w14:paraId="4B4761CA">
            <w:pPr>
              <w:rPr>
                <w:rFonts w:hint="default"/>
                <w:vertAlign w:val="baseline"/>
                <w:lang w:val="en-US" w:eastAsia="zh-CN"/>
              </w:rPr>
            </w:pPr>
          </w:p>
          <w:p w14:paraId="2115A37D">
            <w:pPr>
              <w:rPr>
                <w:rFonts w:hint="default"/>
                <w:vertAlign w:val="baseline"/>
                <w:lang w:val="en-US" w:eastAsia="zh-CN"/>
              </w:rPr>
            </w:pPr>
          </w:p>
          <w:p w14:paraId="5C19560C">
            <w:pPr>
              <w:rPr>
                <w:rFonts w:hint="default"/>
                <w:vertAlign w:val="baseline"/>
                <w:lang w:val="en-US" w:eastAsia="zh-CN"/>
              </w:rPr>
            </w:pPr>
          </w:p>
          <w:p w14:paraId="5ACBAE84">
            <w:pPr>
              <w:rPr>
                <w:rFonts w:hint="default"/>
                <w:vertAlign w:val="baseline"/>
                <w:lang w:val="en-US" w:eastAsia="zh-CN"/>
              </w:rPr>
            </w:pPr>
          </w:p>
          <w:p w14:paraId="1AEE3830">
            <w:pPr>
              <w:rPr>
                <w:rFonts w:hint="default"/>
                <w:vertAlign w:val="baseline"/>
                <w:lang w:val="en-US" w:eastAsia="zh-CN"/>
              </w:rPr>
            </w:pPr>
          </w:p>
          <w:p w14:paraId="710D0859">
            <w:pPr>
              <w:rPr>
                <w:rFonts w:hint="default"/>
                <w:vertAlign w:val="baseline"/>
                <w:lang w:val="en-US" w:eastAsia="zh-CN"/>
              </w:rPr>
            </w:pPr>
          </w:p>
          <w:p w14:paraId="25A343A1">
            <w:pPr>
              <w:rPr>
                <w:rFonts w:hint="default"/>
                <w:vertAlign w:val="baseline"/>
                <w:lang w:val="en-US" w:eastAsia="zh-CN"/>
              </w:rPr>
            </w:pPr>
          </w:p>
        </w:tc>
      </w:tr>
    </w:tbl>
    <w:p w14:paraId="7313E0DE">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348F6A">
      <w:pPr>
        <w:pStyle w:val="2"/>
        <w:bidi w:val="0"/>
        <w:rPr>
          <w:rFonts w:hint="default"/>
          <w:lang w:val="en-US" w:eastAsia="zh-CN"/>
        </w:rPr>
      </w:pPr>
      <w:r>
        <w:rPr>
          <w:rFonts w:hint="eastAsia"/>
          <w:lang w:val="en-US" w:eastAsia="zh-CN"/>
        </w:rPr>
        <w:t>三、区域环境质量现状、环境保护目标及评价标准</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224"/>
      </w:tblGrid>
      <w:tr w14:paraId="621C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724" w:type="dxa"/>
            <w:vAlign w:val="center"/>
          </w:tcPr>
          <w:p w14:paraId="39F02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区域环境质量现状</w:t>
            </w:r>
          </w:p>
        </w:tc>
        <w:tc>
          <w:tcPr>
            <w:tcW w:w="8224" w:type="dxa"/>
            <w:vAlign w:val="center"/>
          </w:tcPr>
          <w:p w14:paraId="398DF0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1、大气环境质量现状</w:t>
            </w:r>
          </w:p>
          <w:p w14:paraId="0F1017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本项目所在区域为二类环境空气功能区，环境空气质量执行《环境空气质量标准》（GB3095-2012）及其修改单中二级标准。本次环评引用《2023年北京市生态环境状况公报》（2024年5月）数据对北京市、丰台区空气质量状况进行评价，具体见下表。</w:t>
            </w:r>
          </w:p>
          <w:p w14:paraId="6BD43B46">
            <w:pPr>
              <w:pStyle w:val="11"/>
              <w:bidi w:val="0"/>
              <w:rPr>
                <w:rFonts w:hint="default"/>
                <w:lang w:val="en-US" w:eastAsia="zh-CN"/>
              </w:rPr>
            </w:pPr>
            <w:r>
              <w:rPr>
                <w:rFonts w:hint="eastAsia"/>
                <w:lang w:val="en-US" w:eastAsia="zh-CN"/>
              </w:rPr>
              <w:t>表3-1 北京市及丰台区2023年环境空气监测结果一览表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012"/>
              <w:gridCol w:w="1794"/>
              <w:gridCol w:w="1181"/>
              <w:gridCol w:w="1104"/>
              <w:gridCol w:w="1104"/>
              <w:gridCol w:w="912"/>
            </w:tblGrid>
            <w:tr w14:paraId="76B91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382643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区域</w:t>
                  </w:r>
                </w:p>
              </w:tc>
              <w:tc>
                <w:tcPr>
                  <w:tcW w:w="990" w:type="dxa"/>
                  <w:tcBorders>
                    <w:tl2br w:val="nil"/>
                    <w:tr2bl w:val="nil"/>
                  </w:tcBorders>
                  <w:vAlign w:val="center"/>
                </w:tcPr>
                <w:p w14:paraId="319BD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污染物</w:t>
                  </w:r>
                </w:p>
              </w:tc>
              <w:tc>
                <w:tcPr>
                  <w:tcW w:w="1755" w:type="dxa"/>
                  <w:tcBorders>
                    <w:tl2br w:val="nil"/>
                    <w:tr2bl w:val="nil"/>
                  </w:tcBorders>
                  <w:vAlign w:val="center"/>
                </w:tcPr>
                <w:p w14:paraId="6544B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评价指标</w:t>
                  </w:r>
                </w:p>
              </w:tc>
              <w:tc>
                <w:tcPr>
                  <w:tcW w:w="1155" w:type="dxa"/>
                  <w:tcBorders>
                    <w:tl2br w:val="nil"/>
                    <w:tr2bl w:val="nil"/>
                  </w:tcBorders>
                  <w:vAlign w:val="center"/>
                </w:tcPr>
                <w:p w14:paraId="39915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现状浓度μg/m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7E1575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标准值</w:t>
                  </w:r>
                  <w:r>
                    <w:rPr>
                      <w:rFonts w:hint="default" w:ascii="Times New Roman" w:hAnsi="Times New Roman" w:eastAsia="宋体" w:cs="Times New Roman"/>
                      <w:b/>
                      <w:bCs/>
                      <w:color w:val="000000"/>
                      <w:kern w:val="0"/>
                      <w:sz w:val="21"/>
                      <w:szCs w:val="21"/>
                      <w:highlight w:val="none"/>
                      <w:vertAlign w:val="baseline"/>
                      <w:lang w:val="en-US" w:eastAsia="zh-CN" w:bidi="ar"/>
                    </w:rPr>
                    <w:t>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577E0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占标率%</w:t>
                  </w:r>
                </w:p>
              </w:tc>
              <w:tc>
                <w:tcPr>
                  <w:tcW w:w="892" w:type="dxa"/>
                  <w:tcBorders>
                    <w:tl2br w:val="nil"/>
                    <w:tr2bl w:val="nil"/>
                  </w:tcBorders>
                  <w:vAlign w:val="center"/>
                </w:tcPr>
                <w:p w14:paraId="65ACCA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达标</w:t>
                  </w:r>
                </w:p>
                <w:p w14:paraId="784CEE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情况</w:t>
                  </w:r>
                </w:p>
              </w:tc>
            </w:tr>
            <w:tr w14:paraId="32F867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6EDE5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北京市</w:t>
                  </w:r>
                </w:p>
              </w:tc>
              <w:tc>
                <w:tcPr>
                  <w:tcW w:w="990" w:type="dxa"/>
                  <w:tcBorders>
                    <w:tl2br w:val="nil"/>
                    <w:tr2bl w:val="nil"/>
                  </w:tcBorders>
                  <w:vAlign w:val="center"/>
                </w:tcPr>
                <w:p w14:paraId="03D21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613A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67F7E4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32</w:t>
                  </w:r>
                </w:p>
              </w:tc>
              <w:tc>
                <w:tcPr>
                  <w:tcW w:w="1080" w:type="dxa"/>
                  <w:tcBorders>
                    <w:tl2br w:val="nil"/>
                    <w:tr2bl w:val="nil"/>
                  </w:tcBorders>
                  <w:vAlign w:val="center"/>
                </w:tcPr>
                <w:p w14:paraId="7C305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p>
              </w:tc>
              <w:tc>
                <w:tcPr>
                  <w:tcW w:w="1080" w:type="dxa"/>
                  <w:tcBorders>
                    <w:tl2br w:val="nil"/>
                    <w:tr2bl w:val="nil"/>
                  </w:tcBorders>
                  <w:vAlign w:val="center"/>
                </w:tcPr>
                <w:p w14:paraId="611A4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91.43</w:t>
                  </w:r>
                </w:p>
              </w:tc>
              <w:tc>
                <w:tcPr>
                  <w:tcW w:w="892" w:type="dxa"/>
                  <w:tcBorders>
                    <w:tl2br w:val="nil"/>
                    <w:tr2bl w:val="nil"/>
                  </w:tcBorders>
                  <w:vAlign w:val="center"/>
                </w:tcPr>
                <w:p w14:paraId="304E6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4B9EE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6F67C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2BE0B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50A26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32D48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61</w:t>
                  </w:r>
                </w:p>
              </w:tc>
              <w:tc>
                <w:tcPr>
                  <w:tcW w:w="1080" w:type="dxa"/>
                  <w:tcBorders>
                    <w:tl2br w:val="nil"/>
                    <w:tr2bl w:val="nil"/>
                  </w:tcBorders>
                  <w:vAlign w:val="center"/>
                </w:tcPr>
                <w:p w14:paraId="03792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70</w:t>
                  </w:r>
                </w:p>
              </w:tc>
              <w:tc>
                <w:tcPr>
                  <w:tcW w:w="1080" w:type="dxa"/>
                  <w:tcBorders>
                    <w:tl2br w:val="nil"/>
                    <w:tr2bl w:val="nil"/>
                  </w:tcBorders>
                  <w:vAlign w:val="center"/>
                </w:tcPr>
                <w:p w14:paraId="4048E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87.15</w:t>
                  </w:r>
                </w:p>
              </w:tc>
              <w:tc>
                <w:tcPr>
                  <w:tcW w:w="892" w:type="dxa"/>
                  <w:tcBorders>
                    <w:tl2br w:val="nil"/>
                    <w:tr2bl w:val="nil"/>
                  </w:tcBorders>
                  <w:vAlign w:val="center"/>
                </w:tcPr>
                <w:p w14:paraId="538A0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6DEC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73112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05971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29E3FA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4468EF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w:t>
                  </w:r>
                </w:p>
              </w:tc>
              <w:tc>
                <w:tcPr>
                  <w:tcW w:w="1080" w:type="dxa"/>
                  <w:tcBorders>
                    <w:tl2br w:val="nil"/>
                    <w:tr2bl w:val="nil"/>
                  </w:tcBorders>
                  <w:vAlign w:val="center"/>
                </w:tcPr>
                <w:p w14:paraId="2ABCF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60</w:t>
                  </w:r>
                </w:p>
              </w:tc>
              <w:tc>
                <w:tcPr>
                  <w:tcW w:w="1080" w:type="dxa"/>
                  <w:tcBorders>
                    <w:tl2br w:val="nil"/>
                    <w:tr2bl w:val="nil"/>
                  </w:tcBorders>
                  <w:vAlign w:val="center"/>
                </w:tcPr>
                <w:p w14:paraId="55913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5.00</w:t>
                  </w:r>
                </w:p>
              </w:tc>
              <w:tc>
                <w:tcPr>
                  <w:tcW w:w="892" w:type="dxa"/>
                  <w:tcBorders>
                    <w:tl2br w:val="nil"/>
                    <w:tr2bl w:val="nil"/>
                  </w:tcBorders>
                  <w:vAlign w:val="center"/>
                </w:tcPr>
                <w:p w14:paraId="5F761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5726B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1CC53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3802BF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0C5964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5AA426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26</w:t>
                  </w:r>
                </w:p>
              </w:tc>
              <w:tc>
                <w:tcPr>
                  <w:tcW w:w="1080" w:type="dxa"/>
                  <w:tcBorders>
                    <w:tl2br w:val="nil"/>
                    <w:tr2bl w:val="nil"/>
                  </w:tcBorders>
                  <w:vAlign w:val="center"/>
                </w:tcPr>
                <w:p w14:paraId="2E71D4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w:t>
                  </w:r>
                </w:p>
              </w:tc>
              <w:tc>
                <w:tcPr>
                  <w:tcW w:w="1080" w:type="dxa"/>
                  <w:tcBorders>
                    <w:tl2br w:val="nil"/>
                    <w:tr2bl w:val="nil"/>
                  </w:tcBorders>
                  <w:vAlign w:val="center"/>
                </w:tcPr>
                <w:p w14:paraId="4514F9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65.00</w:t>
                  </w:r>
                </w:p>
              </w:tc>
              <w:tc>
                <w:tcPr>
                  <w:tcW w:w="892" w:type="dxa"/>
                  <w:tcBorders>
                    <w:tl2br w:val="nil"/>
                    <w:tr2bl w:val="nil"/>
                  </w:tcBorders>
                  <w:vAlign w:val="center"/>
                </w:tcPr>
                <w:p w14:paraId="2F0CF6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0784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5D1D6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0496E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O</w:t>
                  </w:r>
                  <w:r>
                    <w:rPr>
                      <w:rFonts w:hint="eastAsia" w:ascii="Times New Roman" w:hAnsi="Times New Roman" w:eastAsia="宋体" w:cs="Times New Roman"/>
                      <w:b w:val="0"/>
                      <w:bCs w:val="0"/>
                      <w:color w:val="000000"/>
                      <w:kern w:val="0"/>
                      <w:sz w:val="21"/>
                      <w:szCs w:val="21"/>
                      <w:highlight w:val="none"/>
                      <w:vertAlign w:val="subscript"/>
                      <w:lang w:val="en-US" w:eastAsia="zh-CN" w:bidi="ar"/>
                    </w:rPr>
                    <w:t>3</w:t>
                  </w:r>
                </w:p>
              </w:tc>
              <w:tc>
                <w:tcPr>
                  <w:tcW w:w="1755" w:type="dxa"/>
                  <w:tcBorders>
                    <w:tl2br w:val="nil"/>
                    <w:tr2bl w:val="nil"/>
                  </w:tcBorders>
                  <w:vAlign w:val="center"/>
                </w:tcPr>
                <w:p w14:paraId="7F4EA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日最大8小时</w:t>
                  </w:r>
                </w:p>
                <w:p w14:paraId="16C331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平均浓度</w:t>
                  </w:r>
                </w:p>
              </w:tc>
              <w:tc>
                <w:tcPr>
                  <w:tcW w:w="1155" w:type="dxa"/>
                  <w:tcBorders>
                    <w:tl2br w:val="nil"/>
                    <w:tr2bl w:val="nil"/>
                  </w:tcBorders>
                  <w:vAlign w:val="center"/>
                </w:tcPr>
                <w:p w14:paraId="298E98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175</w:t>
                  </w:r>
                </w:p>
              </w:tc>
              <w:tc>
                <w:tcPr>
                  <w:tcW w:w="1080" w:type="dxa"/>
                  <w:tcBorders>
                    <w:tl2br w:val="nil"/>
                    <w:tr2bl w:val="nil"/>
                  </w:tcBorders>
                  <w:vAlign w:val="center"/>
                </w:tcPr>
                <w:p w14:paraId="0DBF0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160</w:t>
                  </w:r>
                </w:p>
              </w:tc>
              <w:tc>
                <w:tcPr>
                  <w:tcW w:w="1080" w:type="dxa"/>
                  <w:tcBorders>
                    <w:tl2br w:val="nil"/>
                    <w:tr2bl w:val="nil"/>
                  </w:tcBorders>
                  <w:vAlign w:val="center"/>
                </w:tcPr>
                <w:p w14:paraId="205C4A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109.38</w:t>
                  </w:r>
                </w:p>
              </w:tc>
              <w:tc>
                <w:tcPr>
                  <w:tcW w:w="892" w:type="dxa"/>
                  <w:tcBorders>
                    <w:tl2br w:val="nil"/>
                    <w:tr2bl w:val="nil"/>
                  </w:tcBorders>
                  <w:vAlign w:val="center"/>
                </w:tcPr>
                <w:p w14:paraId="382F3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不达标</w:t>
                  </w:r>
                </w:p>
              </w:tc>
            </w:tr>
            <w:tr w14:paraId="00EC4E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09DAF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316D8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CO</w:t>
                  </w:r>
                </w:p>
              </w:tc>
              <w:tc>
                <w:tcPr>
                  <w:tcW w:w="1755" w:type="dxa"/>
                  <w:tcBorders>
                    <w:tl2br w:val="nil"/>
                    <w:tr2bl w:val="nil"/>
                  </w:tcBorders>
                  <w:vAlign w:val="center"/>
                </w:tcPr>
                <w:p w14:paraId="681BF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24小时平均浓度</w:t>
                  </w:r>
                </w:p>
              </w:tc>
              <w:tc>
                <w:tcPr>
                  <w:tcW w:w="1155" w:type="dxa"/>
                  <w:tcBorders>
                    <w:tl2br w:val="nil"/>
                    <w:tr2bl w:val="nil"/>
                  </w:tcBorders>
                  <w:vAlign w:val="center"/>
                </w:tcPr>
                <w:p w14:paraId="67EE1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900</w:t>
                  </w:r>
                </w:p>
              </w:tc>
              <w:tc>
                <w:tcPr>
                  <w:tcW w:w="1080" w:type="dxa"/>
                  <w:tcBorders>
                    <w:tl2br w:val="nil"/>
                    <w:tr2bl w:val="nil"/>
                  </w:tcBorders>
                  <w:vAlign w:val="center"/>
                </w:tcPr>
                <w:p w14:paraId="175A1D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4000</w:t>
                  </w:r>
                </w:p>
              </w:tc>
              <w:tc>
                <w:tcPr>
                  <w:tcW w:w="1080" w:type="dxa"/>
                  <w:tcBorders>
                    <w:tl2br w:val="nil"/>
                    <w:tr2bl w:val="nil"/>
                  </w:tcBorders>
                  <w:vAlign w:val="center"/>
                </w:tcPr>
                <w:p w14:paraId="09059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22.50</w:t>
                  </w:r>
                </w:p>
              </w:tc>
              <w:tc>
                <w:tcPr>
                  <w:tcW w:w="892" w:type="dxa"/>
                  <w:tcBorders>
                    <w:tl2br w:val="nil"/>
                    <w:tr2bl w:val="nil"/>
                  </w:tcBorders>
                  <w:vAlign w:val="center"/>
                </w:tcPr>
                <w:p w14:paraId="7DDD5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5E29D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6941F9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丰台区</w:t>
                  </w:r>
                </w:p>
              </w:tc>
              <w:tc>
                <w:tcPr>
                  <w:tcW w:w="990" w:type="dxa"/>
                  <w:tcBorders>
                    <w:tl2br w:val="nil"/>
                    <w:tr2bl w:val="nil"/>
                  </w:tcBorders>
                  <w:vAlign w:val="center"/>
                </w:tcPr>
                <w:p w14:paraId="2F3C3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63328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0E1D77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33</w:t>
                  </w:r>
                </w:p>
              </w:tc>
              <w:tc>
                <w:tcPr>
                  <w:tcW w:w="1080" w:type="dxa"/>
                  <w:tcBorders>
                    <w:tl2br w:val="nil"/>
                    <w:tr2bl w:val="nil"/>
                  </w:tcBorders>
                  <w:vAlign w:val="center"/>
                </w:tcPr>
                <w:p w14:paraId="66401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p>
              </w:tc>
              <w:tc>
                <w:tcPr>
                  <w:tcW w:w="1080" w:type="dxa"/>
                  <w:tcBorders>
                    <w:tl2br w:val="nil"/>
                    <w:tr2bl w:val="nil"/>
                  </w:tcBorders>
                  <w:vAlign w:val="center"/>
                </w:tcPr>
                <w:p w14:paraId="78118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94.29</w:t>
                  </w:r>
                </w:p>
              </w:tc>
              <w:tc>
                <w:tcPr>
                  <w:tcW w:w="892" w:type="dxa"/>
                  <w:tcBorders>
                    <w:tl2br w:val="nil"/>
                    <w:tr2bl w:val="nil"/>
                  </w:tcBorders>
                  <w:vAlign w:val="center"/>
                </w:tcPr>
                <w:p w14:paraId="79CB7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72FDA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1DA19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45E92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3B021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4DFC33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65</w:t>
                  </w:r>
                </w:p>
              </w:tc>
              <w:tc>
                <w:tcPr>
                  <w:tcW w:w="1080" w:type="dxa"/>
                  <w:tcBorders>
                    <w:tl2br w:val="nil"/>
                    <w:tr2bl w:val="nil"/>
                  </w:tcBorders>
                  <w:vAlign w:val="center"/>
                </w:tcPr>
                <w:p w14:paraId="265163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70</w:t>
                  </w:r>
                </w:p>
              </w:tc>
              <w:tc>
                <w:tcPr>
                  <w:tcW w:w="1080" w:type="dxa"/>
                  <w:tcBorders>
                    <w:tl2br w:val="nil"/>
                    <w:tr2bl w:val="nil"/>
                  </w:tcBorders>
                  <w:vAlign w:val="center"/>
                </w:tcPr>
                <w:p w14:paraId="2B0F0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92.86</w:t>
                  </w:r>
                </w:p>
              </w:tc>
              <w:tc>
                <w:tcPr>
                  <w:tcW w:w="892" w:type="dxa"/>
                  <w:tcBorders>
                    <w:tl2br w:val="nil"/>
                    <w:tr2bl w:val="nil"/>
                  </w:tcBorders>
                  <w:vAlign w:val="center"/>
                </w:tcPr>
                <w:p w14:paraId="1F212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691F2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437A0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49FCB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3417C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12B23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w:t>
                  </w:r>
                </w:p>
              </w:tc>
              <w:tc>
                <w:tcPr>
                  <w:tcW w:w="1080" w:type="dxa"/>
                  <w:vAlign w:val="center"/>
                </w:tcPr>
                <w:p w14:paraId="6F31A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60</w:t>
                  </w:r>
                </w:p>
              </w:tc>
              <w:tc>
                <w:tcPr>
                  <w:tcW w:w="1080" w:type="dxa"/>
                  <w:vAlign w:val="center"/>
                </w:tcPr>
                <w:p w14:paraId="1C6C9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5.00</w:t>
                  </w:r>
                </w:p>
              </w:tc>
              <w:tc>
                <w:tcPr>
                  <w:tcW w:w="892" w:type="dxa"/>
                  <w:vAlign w:val="center"/>
                </w:tcPr>
                <w:p w14:paraId="7711B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20DA8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0D953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2AC91B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58013C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24764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29</w:t>
                  </w:r>
                </w:p>
              </w:tc>
              <w:tc>
                <w:tcPr>
                  <w:tcW w:w="1080" w:type="dxa"/>
                  <w:vAlign w:val="center"/>
                </w:tcPr>
                <w:p w14:paraId="3DBB0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w:t>
                  </w:r>
                </w:p>
              </w:tc>
              <w:tc>
                <w:tcPr>
                  <w:tcW w:w="1080" w:type="dxa"/>
                  <w:vAlign w:val="center"/>
                </w:tcPr>
                <w:p w14:paraId="2EE0D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72.50</w:t>
                  </w:r>
                </w:p>
              </w:tc>
              <w:tc>
                <w:tcPr>
                  <w:tcW w:w="892" w:type="dxa"/>
                  <w:vAlign w:val="center"/>
                </w:tcPr>
                <w:p w14:paraId="5E856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bl>
          <w:p w14:paraId="68E55619">
            <w:pPr>
              <w:pStyle w:val="12"/>
              <w:bidi w:val="0"/>
              <w:rPr>
                <w:rFonts w:hint="default"/>
              </w:rPr>
            </w:pPr>
            <w:r>
              <w:rPr>
                <w:rFonts w:hint="default"/>
              </w:rPr>
              <w:t>注：*CO为24小时平均浓度第95百分位数，O</w:t>
            </w:r>
            <w:r>
              <w:rPr>
                <w:rFonts w:hint="default"/>
                <w:vertAlign w:val="subscript"/>
              </w:rPr>
              <w:t>3</w:t>
            </w:r>
            <w:r>
              <w:rPr>
                <w:rFonts w:hint="default"/>
              </w:rPr>
              <w:t>为日最大8小时平均浓度第90位百分位数。</w:t>
            </w:r>
          </w:p>
          <w:p w14:paraId="549C11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rPr>
              <w:t>根据以上监测结果可知，2023年本项目所在区域PM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vertAlign w:val="baseline"/>
              </w:rPr>
              <w:t>年平均浓度、PM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vertAlign w:val="baseline"/>
              </w:rPr>
              <w:t>年平均浓度、NO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年平均浓度、CO24小时平均浓度均满足《环境空气质量标准》（GB3095-2012）及其修改单（公告[2018]第29号）（二级）标准要求；丰台区无臭氧监测数据，引用北京市现状监测值，北京市O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vertAlign w:val="baseline"/>
              </w:rPr>
              <w:t>日最大8小时平均浓度超过《环境空气质量标准》（GB3095-2012）及其修改单（公告[2018]第29号）（二级）标准限值。因此，本项目所在评价区域为不达标区。</w:t>
            </w:r>
          </w:p>
          <w:p w14:paraId="7BDBB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cs="Times New Roman"/>
                <w:sz w:val="24"/>
                <w:szCs w:val="24"/>
                <w:vertAlign w:val="baseline"/>
                <w:lang w:val="en-US" w:eastAsia="zh-CN"/>
              </w:rPr>
              <w:t>2、地表水环境质量现状</w:t>
            </w:r>
          </w:p>
          <w:p w14:paraId="5BC5C3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highlight w:val="none"/>
                <w:vertAlign w:val="baseline"/>
                <w:lang w:val="en-US" w:eastAsia="zh-CN"/>
              </w:rPr>
            </w:pPr>
            <w:r>
              <w:rPr>
                <w:rFonts w:hint="eastAsia" w:cs="Times New Roman"/>
                <w:sz w:val="24"/>
                <w:szCs w:val="24"/>
                <w:vertAlign w:val="baseline"/>
                <w:lang w:val="en-US" w:eastAsia="zh-CN"/>
              </w:rPr>
              <w:t>距离项目最近的地表水体为项目东侧约</w:t>
            </w:r>
            <w:r>
              <w:rPr>
                <w:rFonts w:hint="eastAsia" w:cs="Times New Roman"/>
                <w:sz w:val="24"/>
                <w:szCs w:val="24"/>
                <w:highlight w:val="none"/>
                <w:vertAlign w:val="baseline"/>
                <w:lang w:val="en-US" w:eastAsia="zh-CN"/>
              </w:rPr>
              <w:t>2052m的马草河，属于北运河水系，</w:t>
            </w:r>
            <w:r>
              <w:rPr>
                <w:rFonts w:hint="eastAsia" w:cs="Times New Roman"/>
                <w:sz w:val="24"/>
                <w:szCs w:val="24"/>
                <w:vertAlign w:val="baseline"/>
                <w:lang w:val="en-US" w:eastAsia="zh-CN"/>
              </w:rPr>
              <w:t>水质分类</w:t>
            </w:r>
            <w:r>
              <w:rPr>
                <w:rFonts w:hint="default" w:ascii="Times New Roman" w:hAnsi="Times New Roman" w:cs="Times New Roman"/>
                <w:sz w:val="24"/>
                <w:szCs w:val="24"/>
                <w:vertAlign w:val="baseline"/>
                <w:lang w:val="en-US" w:eastAsia="zh-CN"/>
              </w:rPr>
              <w:t>为Ⅳ类，</w:t>
            </w:r>
            <w:r>
              <w:rPr>
                <w:rFonts w:hint="eastAsia" w:cs="Times New Roman"/>
                <w:sz w:val="24"/>
                <w:szCs w:val="24"/>
                <w:vertAlign w:val="baseline"/>
                <w:lang w:val="en-US" w:eastAsia="zh-CN"/>
              </w:rPr>
              <w:t>水体功能为人体非直接接触的娱乐用水区，执行《地表水环境质量标准》（GB3838-2002）中</w:t>
            </w:r>
            <w:r>
              <w:rPr>
                <w:rFonts w:hint="default" w:ascii="Times New Roman" w:hAnsi="Times New Roman" w:cs="Times New Roman"/>
                <w:sz w:val="24"/>
                <w:szCs w:val="24"/>
                <w:vertAlign w:val="baseline"/>
                <w:lang w:val="en-US" w:eastAsia="zh-CN"/>
              </w:rPr>
              <w:t>的Ⅳ类</w:t>
            </w:r>
            <w:r>
              <w:rPr>
                <w:rFonts w:hint="eastAsia" w:cs="Times New Roman"/>
                <w:sz w:val="24"/>
                <w:szCs w:val="24"/>
                <w:vertAlign w:val="baseline"/>
                <w:lang w:val="en-US" w:eastAsia="zh-CN"/>
              </w:rPr>
              <w:t>标准。</w:t>
            </w:r>
          </w:p>
          <w:p w14:paraId="6EC52C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根据北京市生态环境局网站公布的2024年3月至2025年2月河流水质状况，马草河水质均能达到</w:t>
            </w:r>
            <w:r>
              <w:rPr>
                <w:rFonts w:hint="eastAsia" w:ascii="Times New Roman" w:hAnsi="Times New Roman" w:cs="Times New Roman"/>
                <w:sz w:val="24"/>
                <w:szCs w:val="24"/>
                <w:highlight w:val="none"/>
                <w:vertAlign w:val="baseline"/>
                <w:lang w:val="en-US" w:eastAsia="zh-CN"/>
              </w:rPr>
              <w:t>《地表水环境质量标准》（GB3838-2002）中的</w:t>
            </w:r>
            <w:r>
              <w:rPr>
                <w:rFonts w:hint="default" w:ascii="Times New Roman" w:hAnsi="Times New Roman" w:cs="Times New Roman"/>
                <w:sz w:val="24"/>
                <w:szCs w:val="24"/>
                <w:highlight w:val="none"/>
                <w:vertAlign w:val="baseline"/>
                <w:lang w:val="en-US" w:eastAsia="zh-CN"/>
              </w:rPr>
              <w:t>Ⅴ</w:t>
            </w:r>
            <w:r>
              <w:rPr>
                <w:rFonts w:hint="eastAsia" w:ascii="Times New Roman" w:hAnsi="Times New Roman" w:cs="Times New Roman"/>
                <w:sz w:val="24"/>
                <w:szCs w:val="24"/>
                <w:highlight w:val="none"/>
                <w:vertAlign w:val="baseline"/>
                <w:lang w:val="en-US" w:eastAsia="zh-CN"/>
              </w:rPr>
              <w:t>类</w:t>
            </w:r>
            <w:r>
              <w:rPr>
                <w:rFonts w:hint="eastAsia" w:cs="Times New Roman"/>
                <w:sz w:val="24"/>
                <w:szCs w:val="24"/>
                <w:highlight w:val="none"/>
                <w:vertAlign w:val="baseline"/>
                <w:lang w:val="en-US" w:eastAsia="zh-CN"/>
              </w:rPr>
              <w:t>水质标准要求。具体统计结果详见下表。</w:t>
            </w:r>
          </w:p>
          <w:p w14:paraId="28E002F7">
            <w:pPr>
              <w:pStyle w:val="11"/>
              <w:bidi w:val="0"/>
              <w:rPr>
                <w:rFonts w:hint="eastAsia"/>
                <w:highlight w:val="none"/>
                <w:lang w:val="en-US" w:eastAsia="zh-CN"/>
              </w:rPr>
            </w:pPr>
            <w:r>
              <w:rPr>
                <w:rFonts w:hint="eastAsia"/>
                <w:highlight w:val="none"/>
                <w:lang w:val="en-US" w:eastAsia="zh-CN"/>
              </w:rPr>
              <w:t>表3-2 马草河近一年水质状况一览表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17"/>
              <w:gridCol w:w="617"/>
              <w:gridCol w:w="617"/>
              <w:gridCol w:w="617"/>
              <w:gridCol w:w="617"/>
              <w:gridCol w:w="617"/>
              <w:gridCol w:w="618"/>
              <w:gridCol w:w="690"/>
              <w:gridCol w:w="690"/>
              <w:gridCol w:w="690"/>
              <w:gridCol w:w="593"/>
              <w:gridCol w:w="593"/>
            </w:tblGrid>
            <w:tr w14:paraId="30CC81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vMerge w:val="restart"/>
                  <w:tcBorders>
                    <w:tl2br w:val="nil"/>
                    <w:tr2bl w:val="nil"/>
                  </w:tcBorders>
                  <w:vAlign w:val="center"/>
                </w:tcPr>
                <w:p w14:paraId="32DB1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名称</w:t>
                  </w:r>
                </w:p>
              </w:tc>
              <w:tc>
                <w:tcPr>
                  <w:tcW w:w="6390" w:type="dxa"/>
                  <w:gridSpan w:val="10"/>
                  <w:tcBorders>
                    <w:tl2br w:val="nil"/>
                    <w:tr2bl w:val="nil"/>
                  </w:tcBorders>
                  <w:vAlign w:val="center"/>
                </w:tcPr>
                <w:p w14:paraId="7AB75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2024年</w:t>
                  </w:r>
                </w:p>
              </w:tc>
              <w:tc>
                <w:tcPr>
                  <w:tcW w:w="1186" w:type="dxa"/>
                  <w:gridSpan w:val="2"/>
                  <w:tcBorders>
                    <w:tl2br w:val="nil"/>
                    <w:tr2bl w:val="nil"/>
                  </w:tcBorders>
                  <w:vAlign w:val="center"/>
                </w:tcPr>
                <w:p w14:paraId="39B34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2025年</w:t>
                  </w:r>
                </w:p>
              </w:tc>
            </w:tr>
            <w:tr w14:paraId="18EAD2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vMerge w:val="continue"/>
                  <w:tcBorders>
                    <w:tl2br w:val="nil"/>
                    <w:tr2bl w:val="nil"/>
                  </w:tcBorders>
                  <w:vAlign w:val="center"/>
                </w:tcPr>
                <w:p w14:paraId="710A7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p>
              </w:tc>
              <w:tc>
                <w:tcPr>
                  <w:tcW w:w="617" w:type="dxa"/>
                  <w:tcBorders>
                    <w:tl2br w:val="nil"/>
                    <w:tr2bl w:val="nil"/>
                  </w:tcBorders>
                  <w:shd w:val="clear" w:color="auto" w:fill="auto"/>
                  <w:vAlign w:val="center"/>
                </w:tcPr>
                <w:p w14:paraId="3940D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3月</w:t>
                  </w:r>
                </w:p>
              </w:tc>
              <w:tc>
                <w:tcPr>
                  <w:tcW w:w="617" w:type="dxa"/>
                  <w:tcBorders>
                    <w:tl2br w:val="nil"/>
                    <w:tr2bl w:val="nil"/>
                  </w:tcBorders>
                  <w:shd w:val="clear" w:color="auto" w:fill="auto"/>
                  <w:vAlign w:val="center"/>
                </w:tcPr>
                <w:p w14:paraId="7D39E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4月</w:t>
                  </w:r>
                </w:p>
              </w:tc>
              <w:tc>
                <w:tcPr>
                  <w:tcW w:w="617" w:type="dxa"/>
                  <w:tcBorders>
                    <w:tl2br w:val="nil"/>
                    <w:tr2bl w:val="nil"/>
                  </w:tcBorders>
                  <w:shd w:val="clear" w:color="auto" w:fill="auto"/>
                  <w:vAlign w:val="center"/>
                </w:tcPr>
                <w:p w14:paraId="1DAF2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5月</w:t>
                  </w:r>
                </w:p>
              </w:tc>
              <w:tc>
                <w:tcPr>
                  <w:tcW w:w="617" w:type="dxa"/>
                  <w:tcBorders>
                    <w:tl2br w:val="nil"/>
                    <w:tr2bl w:val="nil"/>
                  </w:tcBorders>
                  <w:shd w:val="clear" w:color="auto" w:fill="auto"/>
                  <w:vAlign w:val="center"/>
                </w:tcPr>
                <w:p w14:paraId="4A926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6月</w:t>
                  </w:r>
                </w:p>
              </w:tc>
              <w:tc>
                <w:tcPr>
                  <w:tcW w:w="617" w:type="dxa"/>
                  <w:tcBorders>
                    <w:tl2br w:val="nil"/>
                    <w:tr2bl w:val="nil"/>
                  </w:tcBorders>
                  <w:shd w:val="clear" w:color="auto" w:fill="auto"/>
                  <w:vAlign w:val="center"/>
                </w:tcPr>
                <w:p w14:paraId="57C93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7月</w:t>
                  </w:r>
                </w:p>
              </w:tc>
              <w:tc>
                <w:tcPr>
                  <w:tcW w:w="617" w:type="dxa"/>
                  <w:tcBorders>
                    <w:tl2br w:val="nil"/>
                    <w:tr2bl w:val="nil"/>
                  </w:tcBorders>
                  <w:shd w:val="clear" w:color="auto" w:fill="auto"/>
                  <w:vAlign w:val="center"/>
                </w:tcPr>
                <w:p w14:paraId="66BEA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8月</w:t>
                  </w:r>
                </w:p>
              </w:tc>
              <w:tc>
                <w:tcPr>
                  <w:tcW w:w="618" w:type="dxa"/>
                  <w:tcBorders>
                    <w:tl2br w:val="nil"/>
                    <w:tr2bl w:val="nil"/>
                  </w:tcBorders>
                  <w:shd w:val="clear" w:color="auto" w:fill="auto"/>
                  <w:vAlign w:val="center"/>
                </w:tcPr>
                <w:p w14:paraId="6A34F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bCs/>
                      <w:sz w:val="21"/>
                      <w:szCs w:val="21"/>
                      <w:highlight w:val="none"/>
                      <w:vertAlign w:val="baseline"/>
                      <w:lang w:val="en-US" w:eastAsia="zh-CN"/>
                    </w:rPr>
                    <w:t>9月</w:t>
                  </w:r>
                </w:p>
              </w:tc>
              <w:tc>
                <w:tcPr>
                  <w:tcW w:w="690" w:type="dxa"/>
                  <w:tcBorders>
                    <w:tl2br w:val="nil"/>
                    <w:tr2bl w:val="nil"/>
                  </w:tcBorders>
                  <w:vAlign w:val="center"/>
                </w:tcPr>
                <w:p w14:paraId="7BA6C0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10月</w:t>
                  </w:r>
                </w:p>
              </w:tc>
              <w:tc>
                <w:tcPr>
                  <w:tcW w:w="690" w:type="dxa"/>
                  <w:tcBorders>
                    <w:tl2br w:val="nil"/>
                    <w:tr2bl w:val="nil"/>
                  </w:tcBorders>
                  <w:vAlign w:val="center"/>
                </w:tcPr>
                <w:p w14:paraId="7784D8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11月</w:t>
                  </w:r>
                </w:p>
              </w:tc>
              <w:tc>
                <w:tcPr>
                  <w:tcW w:w="690" w:type="dxa"/>
                  <w:tcBorders>
                    <w:tl2br w:val="nil"/>
                    <w:tr2bl w:val="nil"/>
                  </w:tcBorders>
                  <w:vAlign w:val="center"/>
                </w:tcPr>
                <w:p w14:paraId="12AF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12月</w:t>
                  </w:r>
                </w:p>
              </w:tc>
              <w:tc>
                <w:tcPr>
                  <w:tcW w:w="593" w:type="dxa"/>
                  <w:tcBorders>
                    <w:tl2br w:val="nil"/>
                    <w:tr2bl w:val="nil"/>
                  </w:tcBorders>
                  <w:vAlign w:val="center"/>
                </w:tcPr>
                <w:p w14:paraId="28E77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1月</w:t>
                  </w:r>
                </w:p>
              </w:tc>
              <w:tc>
                <w:tcPr>
                  <w:tcW w:w="593" w:type="dxa"/>
                  <w:tcBorders>
                    <w:tl2br w:val="nil"/>
                    <w:tr2bl w:val="nil"/>
                  </w:tcBorders>
                  <w:vAlign w:val="center"/>
                </w:tcPr>
                <w:p w14:paraId="2ED9F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2月</w:t>
                  </w:r>
                </w:p>
              </w:tc>
            </w:tr>
            <w:tr w14:paraId="64F43C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dxa"/>
                  <w:tcBorders>
                    <w:tl2br w:val="nil"/>
                    <w:tr2bl w:val="nil"/>
                  </w:tcBorders>
                  <w:vAlign w:val="center"/>
                </w:tcPr>
                <w:p w14:paraId="6A891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马草河</w:t>
                  </w:r>
                </w:p>
              </w:tc>
              <w:tc>
                <w:tcPr>
                  <w:tcW w:w="617" w:type="dxa"/>
                  <w:tcBorders>
                    <w:tl2br w:val="nil"/>
                    <w:tr2bl w:val="nil"/>
                  </w:tcBorders>
                  <w:vAlign w:val="center"/>
                </w:tcPr>
                <w:p w14:paraId="60EB6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17" w:type="dxa"/>
                  <w:tcBorders>
                    <w:tl2br w:val="nil"/>
                    <w:tr2bl w:val="nil"/>
                  </w:tcBorders>
                  <w:vAlign w:val="center"/>
                </w:tcPr>
                <w:p w14:paraId="1A460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17" w:type="dxa"/>
                  <w:tcBorders>
                    <w:tl2br w:val="nil"/>
                    <w:tr2bl w:val="nil"/>
                  </w:tcBorders>
                  <w:vAlign w:val="center"/>
                </w:tcPr>
                <w:p w14:paraId="17ACB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17" w:type="dxa"/>
                  <w:tcBorders>
                    <w:tl2br w:val="nil"/>
                    <w:tr2bl w:val="nil"/>
                  </w:tcBorders>
                  <w:vAlign w:val="center"/>
                </w:tcPr>
                <w:p w14:paraId="14B92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17" w:type="dxa"/>
                  <w:tcBorders>
                    <w:tl2br w:val="nil"/>
                    <w:tr2bl w:val="nil"/>
                  </w:tcBorders>
                  <w:vAlign w:val="center"/>
                </w:tcPr>
                <w:p w14:paraId="265A9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17" w:type="dxa"/>
                  <w:tcBorders>
                    <w:tl2br w:val="nil"/>
                    <w:tr2bl w:val="nil"/>
                  </w:tcBorders>
                  <w:vAlign w:val="center"/>
                </w:tcPr>
                <w:p w14:paraId="67F24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18" w:type="dxa"/>
                  <w:tcBorders>
                    <w:tl2br w:val="nil"/>
                    <w:tr2bl w:val="nil"/>
                  </w:tcBorders>
                  <w:vAlign w:val="center"/>
                </w:tcPr>
                <w:p w14:paraId="5F44C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90" w:type="dxa"/>
                  <w:tcBorders>
                    <w:tl2br w:val="nil"/>
                    <w:tr2bl w:val="nil"/>
                  </w:tcBorders>
                  <w:vAlign w:val="center"/>
                </w:tcPr>
                <w:p w14:paraId="6CDF8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c>
                <w:tcPr>
                  <w:tcW w:w="690" w:type="dxa"/>
                  <w:tcBorders>
                    <w:tl2br w:val="nil"/>
                    <w:tr2bl w:val="nil"/>
                  </w:tcBorders>
                  <w:vAlign w:val="center"/>
                </w:tcPr>
                <w:p w14:paraId="44E92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690" w:type="dxa"/>
                  <w:tcBorders>
                    <w:tl2br w:val="nil"/>
                    <w:tr2bl w:val="nil"/>
                  </w:tcBorders>
                  <w:vAlign w:val="center"/>
                </w:tcPr>
                <w:p w14:paraId="19BEB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Ⅳ</w:t>
                  </w:r>
                </w:p>
              </w:tc>
              <w:tc>
                <w:tcPr>
                  <w:tcW w:w="593" w:type="dxa"/>
                  <w:tcBorders>
                    <w:tl2br w:val="nil"/>
                    <w:tr2bl w:val="nil"/>
                  </w:tcBorders>
                  <w:vAlign w:val="center"/>
                </w:tcPr>
                <w:p w14:paraId="1D84E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Ⅲ</w:t>
                  </w:r>
                </w:p>
              </w:tc>
              <w:tc>
                <w:tcPr>
                  <w:tcW w:w="593" w:type="dxa"/>
                  <w:tcBorders>
                    <w:tl2br w:val="nil"/>
                    <w:tr2bl w:val="nil"/>
                  </w:tcBorders>
                  <w:vAlign w:val="center"/>
                </w:tcPr>
                <w:p w14:paraId="338E1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Ⅱ</w:t>
                  </w:r>
                </w:p>
              </w:tc>
            </w:tr>
          </w:tbl>
          <w:p w14:paraId="3E19A3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根据上述分析，近一年内马草河水质均能达到</w:t>
            </w:r>
            <w:r>
              <w:rPr>
                <w:rFonts w:hint="eastAsia" w:ascii="Times New Roman" w:hAnsi="Times New Roman" w:cs="Times New Roman"/>
                <w:sz w:val="24"/>
                <w:szCs w:val="24"/>
                <w:highlight w:val="none"/>
                <w:vertAlign w:val="baseline"/>
                <w:lang w:val="en-US" w:eastAsia="zh-CN"/>
              </w:rPr>
              <w:t>《地表水环境质量标准》（GB3838-2002）中的</w:t>
            </w:r>
            <w:r>
              <w:rPr>
                <w:rFonts w:hint="default" w:ascii="Times New Roman" w:hAnsi="Times New Roman" w:cs="Times New Roman"/>
                <w:sz w:val="24"/>
                <w:szCs w:val="24"/>
                <w:highlight w:val="none"/>
                <w:vertAlign w:val="baseline"/>
                <w:lang w:val="en-US" w:eastAsia="zh-CN"/>
              </w:rPr>
              <w:t>Ⅴ</w:t>
            </w:r>
            <w:r>
              <w:rPr>
                <w:rFonts w:hint="eastAsia" w:ascii="Times New Roman" w:hAnsi="Times New Roman" w:cs="Times New Roman"/>
                <w:sz w:val="24"/>
                <w:szCs w:val="24"/>
                <w:highlight w:val="none"/>
                <w:vertAlign w:val="baseline"/>
                <w:lang w:val="en-US" w:eastAsia="zh-CN"/>
              </w:rPr>
              <w:t>类</w:t>
            </w:r>
            <w:r>
              <w:rPr>
                <w:rFonts w:hint="eastAsia" w:cs="Times New Roman"/>
                <w:sz w:val="24"/>
                <w:szCs w:val="24"/>
                <w:highlight w:val="none"/>
                <w:vertAlign w:val="baseline"/>
                <w:lang w:val="en-US" w:eastAsia="zh-CN"/>
              </w:rPr>
              <w:t>水质标准要求。</w:t>
            </w:r>
          </w:p>
          <w:p w14:paraId="394A74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vertAlign w:val="baseline"/>
                <w:lang w:val="en-US" w:eastAsia="zh-CN"/>
              </w:rPr>
            </w:pPr>
            <w:r>
              <w:rPr>
                <w:rFonts w:hint="eastAsia" w:cs="Times New Roman"/>
                <w:sz w:val="24"/>
                <w:szCs w:val="24"/>
                <w:highlight w:val="none"/>
                <w:vertAlign w:val="baseline"/>
                <w:lang w:val="en-US" w:eastAsia="zh-CN"/>
              </w:rPr>
              <w:t>3、声环境质量现状</w:t>
            </w:r>
          </w:p>
          <w:p w14:paraId="629F32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根据北京市丰台区人民政府关于印发《丰台区声环境功能区划实施细则》的通知（丰政发[2024]9号），该项目所在地属于“1类”声环境功能区，厂界执行1类标准。</w:t>
            </w:r>
          </w:p>
          <w:p w14:paraId="2A97C9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根据《建设项目环境影响报告表编制技术指南（污染影响类）（试行）》文件中要求，厂界外50米范围内存在声环境保护目标的建设项目，应监测保护目标声环境质量现状并评价达标情况。本项目周边50m范围内存在声环境保护目标，分别为项目南侧紧邻的5号楼、南侧22m的8号楼、西侧33m的6号楼，本次评价需监测保护目标声环境质量。为了解本项目厂界声环境质量现状情况，监测结果及监测点位图如下。</w:t>
            </w:r>
          </w:p>
          <w:p w14:paraId="33A2ABE7">
            <w:pPr>
              <w:pStyle w:val="11"/>
              <w:bidi w:val="0"/>
              <w:rPr>
                <w:rFonts w:hint="eastAsia"/>
                <w:highlight w:val="none"/>
                <w:lang w:val="en-US" w:eastAsia="zh-CN"/>
              </w:rPr>
            </w:pPr>
            <w:r>
              <w:rPr>
                <w:rFonts w:hint="eastAsia"/>
                <w:highlight w:val="none"/>
                <w:lang w:val="en-US" w:eastAsia="zh-CN"/>
              </w:rPr>
              <w:t>表3-3 项目周边声环境现状监测结果</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60"/>
              <w:gridCol w:w="1360"/>
              <w:gridCol w:w="1360"/>
              <w:gridCol w:w="1360"/>
              <w:gridCol w:w="1064"/>
            </w:tblGrid>
            <w:tr w14:paraId="011C48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3" w:type="dxa"/>
                  <w:tcBorders>
                    <w:tl2br w:val="nil"/>
                    <w:tr2bl w:val="nil"/>
                  </w:tcBorders>
                  <w:vAlign w:val="center"/>
                </w:tcPr>
                <w:p w14:paraId="54C15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监测点位</w:t>
                  </w:r>
                </w:p>
              </w:tc>
              <w:tc>
                <w:tcPr>
                  <w:tcW w:w="1395" w:type="dxa"/>
                  <w:tcBorders>
                    <w:tl2br w:val="nil"/>
                    <w:tr2bl w:val="nil"/>
                  </w:tcBorders>
                  <w:vAlign w:val="center"/>
                </w:tcPr>
                <w:p w14:paraId="235DD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昼间监测值</w:t>
                  </w:r>
                </w:p>
              </w:tc>
              <w:tc>
                <w:tcPr>
                  <w:tcW w:w="1395" w:type="dxa"/>
                  <w:tcBorders>
                    <w:tl2br w:val="nil"/>
                    <w:tr2bl w:val="nil"/>
                  </w:tcBorders>
                  <w:vAlign w:val="center"/>
                </w:tcPr>
                <w:p w14:paraId="09C5B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夜间监测值</w:t>
                  </w:r>
                </w:p>
              </w:tc>
              <w:tc>
                <w:tcPr>
                  <w:tcW w:w="1395" w:type="dxa"/>
                  <w:tcBorders>
                    <w:tl2br w:val="nil"/>
                    <w:tr2bl w:val="nil"/>
                  </w:tcBorders>
                  <w:vAlign w:val="center"/>
                </w:tcPr>
                <w:p w14:paraId="312F9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昼间标准值</w:t>
                  </w:r>
                </w:p>
              </w:tc>
              <w:tc>
                <w:tcPr>
                  <w:tcW w:w="1395" w:type="dxa"/>
                  <w:tcBorders>
                    <w:tl2br w:val="nil"/>
                    <w:tr2bl w:val="nil"/>
                  </w:tcBorders>
                  <w:vAlign w:val="center"/>
                </w:tcPr>
                <w:p w14:paraId="4FD1A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夜间标准值</w:t>
                  </w:r>
                </w:p>
              </w:tc>
              <w:tc>
                <w:tcPr>
                  <w:tcW w:w="1089" w:type="dxa"/>
                  <w:tcBorders>
                    <w:tl2br w:val="nil"/>
                    <w:tr2bl w:val="nil"/>
                  </w:tcBorders>
                  <w:vAlign w:val="center"/>
                </w:tcPr>
                <w:p w14:paraId="5E01D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kern w:val="0"/>
                      <w:sz w:val="21"/>
                      <w:szCs w:val="21"/>
                      <w:highlight w:val="none"/>
                      <w:vertAlign w:val="baseline"/>
                      <w:lang w:val="en-US" w:eastAsia="zh-CN" w:bidi="ar"/>
                    </w:rPr>
                  </w:pPr>
                  <w:r>
                    <w:rPr>
                      <w:rFonts w:hint="eastAsia" w:cs="Times New Roman"/>
                      <w:b/>
                      <w:bCs/>
                      <w:color w:val="auto"/>
                      <w:kern w:val="0"/>
                      <w:sz w:val="21"/>
                      <w:szCs w:val="21"/>
                      <w:highlight w:val="none"/>
                      <w:vertAlign w:val="baseline"/>
                      <w:lang w:val="en-US" w:eastAsia="zh-CN" w:bidi="ar"/>
                    </w:rPr>
                    <w:t>达标情况</w:t>
                  </w:r>
                </w:p>
              </w:tc>
            </w:tr>
            <w:tr w14:paraId="7B4B2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3" w:type="dxa"/>
                  <w:tcBorders>
                    <w:tl2br w:val="nil"/>
                    <w:tr2bl w:val="nil"/>
                  </w:tcBorders>
                  <w:vAlign w:val="center"/>
                </w:tcPr>
                <w:p w14:paraId="45A10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5号楼北侧1m</w:t>
                  </w:r>
                </w:p>
              </w:tc>
              <w:tc>
                <w:tcPr>
                  <w:tcW w:w="1395" w:type="dxa"/>
                  <w:tcBorders>
                    <w:tl2br w:val="nil"/>
                    <w:tr2bl w:val="nil"/>
                  </w:tcBorders>
                  <w:vAlign w:val="center"/>
                </w:tcPr>
                <w:p w14:paraId="724BB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43.1dB(A)</w:t>
                  </w:r>
                </w:p>
              </w:tc>
              <w:tc>
                <w:tcPr>
                  <w:tcW w:w="1395" w:type="dxa"/>
                  <w:tcBorders>
                    <w:tl2br w:val="nil"/>
                    <w:tr2bl w:val="nil"/>
                  </w:tcBorders>
                  <w:vAlign w:val="center"/>
                </w:tcPr>
                <w:p w14:paraId="76227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34dB(A)</w:t>
                  </w:r>
                </w:p>
              </w:tc>
              <w:tc>
                <w:tcPr>
                  <w:tcW w:w="1395" w:type="dxa"/>
                  <w:tcBorders>
                    <w:tl2br w:val="nil"/>
                    <w:tr2bl w:val="nil"/>
                  </w:tcBorders>
                  <w:vAlign w:val="center"/>
                </w:tcPr>
                <w:p w14:paraId="7607A9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55dB(A)</w:t>
                  </w:r>
                </w:p>
              </w:tc>
              <w:tc>
                <w:tcPr>
                  <w:tcW w:w="1395" w:type="dxa"/>
                  <w:tcBorders>
                    <w:tl2br w:val="nil"/>
                    <w:tr2bl w:val="nil"/>
                  </w:tcBorders>
                  <w:vAlign w:val="center"/>
                </w:tcPr>
                <w:p w14:paraId="2CD09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45dB(A)</w:t>
                  </w:r>
                </w:p>
              </w:tc>
              <w:tc>
                <w:tcPr>
                  <w:tcW w:w="1089" w:type="dxa"/>
                  <w:tcBorders>
                    <w:tl2br w:val="nil"/>
                    <w:tr2bl w:val="nil"/>
                  </w:tcBorders>
                  <w:vAlign w:val="center"/>
                </w:tcPr>
                <w:p w14:paraId="641AE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r w14:paraId="50C2B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3" w:type="dxa"/>
                  <w:tcBorders>
                    <w:tl2br w:val="nil"/>
                    <w:tr2bl w:val="nil"/>
                  </w:tcBorders>
                  <w:vAlign w:val="center"/>
                </w:tcPr>
                <w:p w14:paraId="761D3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6号楼东侧1m</w:t>
                  </w:r>
                </w:p>
              </w:tc>
              <w:tc>
                <w:tcPr>
                  <w:tcW w:w="1395" w:type="dxa"/>
                  <w:tcBorders>
                    <w:tl2br w:val="nil"/>
                    <w:tr2bl w:val="nil"/>
                  </w:tcBorders>
                  <w:vAlign w:val="center"/>
                </w:tcPr>
                <w:p w14:paraId="798D5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50.7dB(A)</w:t>
                  </w:r>
                </w:p>
              </w:tc>
              <w:tc>
                <w:tcPr>
                  <w:tcW w:w="1395" w:type="dxa"/>
                  <w:tcBorders>
                    <w:tl2br w:val="nil"/>
                    <w:tr2bl w:val="nil"/>
                  </w:tcBorders>
                  <w:vAlign w:val="center"/>
                </w:tcPr>
                <w:p w14:paraId="74FE6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43dB(A)</w:t>
                  </w:r>
                </w:p>
              </w:tc>
              <w:tc>
                <w:tcPr>
                  <w:tcW w:w="1395" w:type="dxa"/>
                  <w:tcBorders>
                    <w:tl2br w:val="nil"/>
                    <w:tr2bl w:val="nil"/>
                  </w:tcBorders>
                  <w:vAlign w:val="center"/>
                </w:tcPr>
                <w:p w14:paraId="462B1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55dB(A)</w:t>
                  </w:r>
                </w:p>
              </w:tc>
              <w:tc>
                <w:tcPr>
                  <w:tcW w:w="1395" w:type="dxa"/>
                  <w:tcBorders>
                    <w:tl2br w:val="nil"/>
                    <w:tr2bl w:val="nil"/>
                  </w:tcBorders>
                  <w:vAlign w:val="center"/>
                </w:tcPr>
                <w:p w14:paraId="38FD5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45dB(A)</w:t>
                  </w:r>
                </w:p>
              </w:tc>
              <w:tc>
                <w:tcPr>
                  <w:tcW w:w="1089" w:type="dxa"/>
                  <w:tcBorders>
                    <w:tl2br w:val="nil"/>
                    <w:tr2bl w:val="nil"/>
                  </w:tcBorders>
                  <w:vAlign w:val="center"/>
                </w:tcPr>
                <w:p w14:paraId="09F3F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r w14:paraId="32971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3" w:type="dxa"/>
                  <w:tcBorders>
                    <w:tl2br w:val="nil"/>
                    <w:tr2bl w:val="nil"/>
                  </w:tcBorders>
                  <w:vAlign w:val="center"/>
                </w:tcPr>
                <w:p w14:paraId="2C02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8号楼北侧1m</w:t>
                  </w:r>
                </w:p>
              </w:tc>
              <w:tc>
                <w:tcPr>
                  <w:tcW w:w="1395" w:type="dxa"/>
                  <w:tcBorders>
                    <w:tl2br w:val="nil"/>
                    <w:tr2bl w:val="nil"/>
                  </w:tcBorders>
                  <w:vAlign w:val="center"/>
                </w:tcPr>
                <w:p w14:paraId="11A2C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51.3dB(A)</w:t>
                  </w:r>
                </w:p>
              </w:tc>
              <w:tc>
                <w:tcPr>
                  <w:tcW w:w="1395" w:type="dxa"/>
                  <w:tcBorders>
                    <w:tl2br w:val="nil"/>
                    <w:tr2bl w:val="nil"/>
                  </w:tcBorders>
                  <w:vAlign w:val="center"/>
                </w:tcPr>
                <w:p w14:paraId="547F28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42dB(A)</w:t>
                  </w:r>
                </w:p>
              </w:tc>
              <w:tc>
                <w:tcPr>
                  <w:tcW w:w="1395" w:type="dxa"/>
                  <w:tcBorders>
                    <w:tl2br w:val="nil"/>
                    <w:tr2bl w:val="nil"/>
                  </w:tcBorders>
                  <w:vAlign w:val="center"/>
                </w:tcPr>
                <w:p w14:paraId="32BD35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55dB(A)</w:t>
                  </w:r>
                </w:p>
              </w:tc>
              <w:tc>
                <w:tcPr>
                  <w:tcW w:w="1395" w:type="dxa"/>
                  <w:tcBorders>
                    <w:tl2br w:val="nil"/>
                    <w:tr2bl w:val="nil"/>
                  </w:tcBorders>
                  <w:vAlign w:val="center"/>
                </w:tcPr>
                <w:p w14:paraId="75B65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45dB(A)</w:t>
                  </w:r>
                </w:p>
              </w:tc>
              <w:tc>
                <w:tcPr>
                  <w:tcW w:w="1089" w:type="dxa"/>
                  <w:tcBorders>
                    <w:tl2br w:val="nil"/>
                    <w:tr2bl w:val="nil"/>
                  </w:tcBorders>
                  <w:vAlign w:val="center"/>
                </w:tcPr>
                <w:p w14:paraId="5DD56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达标</w:t>
                  </w:r>
                </w:p>
              </w:tc>
            </w:tr>
          </w:tbl>
          <w:p w14:paraId="0F33D0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66F253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196686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08E287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274FC4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08A08A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p>
          <w:p w14:paraId="5BE6AFA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cs="Times New Roman"/>
                <w:sz w:val="24"/>
                <w:szCs w:val="24"/>
                <w:vertAlign w:val="baseline"/>
                <w:lang w:val="en-US" w:eastAsia="zh-CN"/>
              </w:rPr>
            </w:pPr>
            <w:r>
              <w:drawing>
                <wp:inline distT="0" distB="0" distL="114300" distR="114300">
                  <wp:extent cx="4319905" cy="3491865"/>
                  <wp:effectExtent l="0" t="0" r="4445"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4319905" cy="3491865"/>
                          </a:xfrm>
                          <a:prstGeom prst="rect">
                            <a:avLst/>
                          </a:prstGeom>
                          <a:noFill/>
                          <a:ln>
                            <a:noFill/>
                          </a:ln>
                        </pic:spPr>
                      </pic:pic>
                    </a:graphicData>
                  </a:graphic>
                </wp:inline>
              </w:drawing>
            </w:r>
          </w:p>
          <w:p w14:paraId="6AA778A6">
            <w:pPr>
              <w:pStyle w:val="11"/>
              <w:bidi w:val="0"/>
              <w:rPr>
                <w:rFonts w:hint="eastAsia"/>
                <w:lang w:val="en-US" w:eastAsia="zh-CN"/>
              </w:rPr>
            </w:pPr>
            <w:r>
              <w:rPr>
                <w:rFonts w:hint="eastAsia"/>
                <w:lang w:val="en-US" w:eastAsia="zh-CN"/>
              </w:rPr>
              <w:t>图3-1 声环境现状监测点位图</w:t>
            </w:r>
          </w:p>
          <w:p w14:paraId="5940E0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4、生态环境</w:t>
            </w:r>
          </w:p>
          <w:p w14:paraId="533243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本项目位于北京市丰台区怡海路2号5幢一层2-2室，不新增土地，项目范围内无生态保护目标。</w:t>
            </w:r>
          </w:p>
          <w:p w14:paraId="7E39FC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5、地下水环境</w:t>
            </w:r>
          </w:p>
          <w:p w14:paraId="59CFC3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rPr>
            </w:pPr>
            <w:r>
              <w:rPr>
                <w:rFonts w:hint="eastAsia" w:cs="Times New Roman"/>
                <w:sz w:val="24"/>
                <w:szCs w:val="24"/>
                <w:vertAlign w:val="baseline"/>
                <w:lang w:val="en-US" w:eastAsia="zh-CN"/>
              </w:rPr>
              <w:t>根据北京市人民政府2021年12月30日发布的《关于调整部分市级饮用水水源保护区范围的批复》（京政字[2021]41号），本项目不在地下饮用水水源保护区一级、二级保护区范围内。项目厂界外500m范围内没有地下水集中式饮用水水源和热水、矿泉水、温泉等特殊地下水资源。</w:t>
            </w:r>
          </w:p>
        </w:tc>
      </w:tr>
      <w:tr w14:paraId="1879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4582E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vertAlign w:val="baseline"/>
                <w:lang w:val="en-US" w:eastAsia="zh-CN"/>
              </w:rPr>
            </w:pPr>
            <w:r>
              <w:rPr>
                <w:rFonts w:hint="eastAsia" w:cs="Times New Roman"/>
                <w:sz w:val="24"/>
                <w:szCs w:val="24"/>
                <w:vertAlign w:val="baseline"/>
                <w:lang w:val="en-US" w:eastAsia="zh-CN"/>
              </w:rPr>
              <w:t>环境保护目标</w:t>
            </w:r>
          </w:p>
        </w:tc>
        <w:tc>
          <w:tcPr>
            <w:tcW w:w="8224" w:type="dxa"/>
            <w:vAlign w:val="center"/>
          </w:tcPr>
          <w:p w14:paraId="34FEF5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1、大气环境</w:t>
            </w:r>
          </w:p>
          <w:p w14:paraId="00BDD6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项目厂界外500m范围内主要为居住区、学校等，没有自然保护区、风景名胜区。</w:t>
            </w:r>
          </w:p>
          <w:p w14:paraId="3A8DA6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2、声环境</w:t>
            </w:r>
          </w:p>
          <w:p w14:paraId="48B44D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sz w:val="24"/>
                <w:szCs w:val="24"/>
                <w:vertAlign w:val="baseline"/>
                <w:lang w:val="en-US" w:eastAsia="zh-CN"/>
              </w:rPr>
            </w:pPr>
            <w:r>
              <w:rPr>
                <w:rFonts w:hint="eastAsia" w:cs="Times New Roman"/>
                <w:sz w:val="24"/>
                <w:szCs w:val="24"/>
                <w:vertAlign w:val="baseline"/>
                <w:lang w:val="en-US" w:eastAsia="zh-CN"/>
              </w:rPr>
              <w:t>项目厂界外50m范围内的声环境保护目标为周边住宅楼。</w:t>
            </w:r>
          </w:p>
          <w:p w14:paraId="775B29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3、地下水环境</w:t>
            </w:r>
          </w:p>
          <w:p w14:paraId="2855BF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项目不在地下饮用水水源保护区一级、二级保护区范围内。项目厂界外500m范围内没有地下水集中式饮用水水源和热水、矿泉水、温泉等特殊地下水资源。</w:t>
            </w:r>
          </w:p>
          <w:p w14:paraId="7CFE5F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default"/>
                <w:lang w:val="en-US" w:eastAsia="zh-CN"/>
              </w:rPr>
              <w:t>本项目环境保护目标</w:t>
            </w:r>
            <w:r>
              <w:rPr>
                <w:rFonts w:hint="eastAsia"/>
                <w:lang w:val="en-US" w:eastAsia="zh-CN"/>
              </w:rPr>
              <w:t>见下表。</w:t>
            </w:r>
          </w:p>
          <w:p w14:paraId="1FEEFE12">
            <w:pPr>
              <w:pStyle w:val="11"/>
              <w:bidi w:val="0"/>
              <w:rPr>
                <w:rFonts w:hint="eastAsia"/>
                <w:lang w:val="en-US" w:eastAsia="zh-CN"/>
              </w:rPr>
            </w:pPr>
            <w:r>
              <w:rPr>
                <w:rFonts w:hint="eastAsia"/>
                <w:lang w:val="en-US" w:eastAsia="zh-CN"/>
              </w:rPr>
              <w:t>表3-4 项目环境保护目标一览表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23"/>
              <w:gridCol w:w="1377"/>
              <w:gridCol w:w="1323"/>
              <w:gridCol w:w="1207"/>
            </w:tblGrid>
            <w:tr w14:paraId="29107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8" w:type="dxa"/>
                  <w:tcBorders>
                    <w:tl2br w:val="nil"/>
                    <w:tr2bl w:val="nil"/>
                  </w:tcBorders>
                  <w:vAlign w:val="center"/>
                </w:tcPr>
                <w:p w14:paraId="7840D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环境要素</w:t>
                  </w:r>
                </w:p>
              </w:tc>
              <w:tc>
                <w:tcPr>
                  <w:tcW w:w="3423" w:type="dxa"/>
                  <w:tcBorders>
                    <w:tl2br w:val="nil"/>
                    <w:tr2bl w:val="nil"/>
                  </w:tcBorders>
                  <w:vAlign w:val="center"/>
                </w:tcPr>
                <w:p w14:paraId="2E95A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保护目标名称</w:t>
                  </w:r>
                </w:p>
              </w:tc>
              <w:tc>
                <w:tcPr>
                  <w:tcW w:w="1377" w:type="dxa"/>
                  <w:tcBorders>
                    <w:tl2br w:val="nil"/>
                    <w:tr2bl w:val="nil"/>
                  </w:tcBorders>
                  <w:vAlign w:val="center"/>
                </w:tcPr>
                <w:p w14:paraId="2BFE23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环境</w:t>
                  </w:r>
                </w:p>
                <w:p w14:paraId="04BE8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功能区</w:t>
                  </w:r>
                </w:p>
              </w:tc>
              <w:tc>
                <w:tcPr>
                  <w:tcW w:w="1323" w:type="dxa"/>
                  <w:tcBorders>
                    <w:tl2br w:val="nil"/>
                    <w:tr2bl w:val="nil"/>
                  </w:tcBorders>
                  <w:vAlign w:val="center"/>
                </w:tcPr>
                <w:p w14:paraId="3C4B6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相对厂区</w:t>
                  </w:r>
                </w:p>
                <w:p w14:paraId="7718F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方位</w:t>
                  </w:r>
                </w:p>
              </w:tc>
              <w:tc>
                <w:tcPr>
                  <w:tcW w:w="1207" w:type="dxa"/>
                  <w:tcBorders>
                    <w:tl2br w:val="nil"/>
                    <w:tr2bl w:val="nil"/>
                  </w:tcBorders>
                  <w:vAlign w:val="center"/>
                </w:tcPr>
                <w:p w14:paraId="57361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相对厂界距离</w:t>
                  </w:r>
                </w:p>
              </w:tc>
            </w:tr>
            <w:tr w14:paraId="435D6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1F0E4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大气环境</w:t>
                  </w:r>
                </w:p>
              </w:tc>
              <w:tc>
                <w:tcPr>
                  <w:tcW w:w="3423" w:type="dxa"/>
                  <w:tcBorders>
                    <w:tl2br w:val="nil"/>
                    <w:tr2bl w:val="nil"/>
                  </w:tcBorders>
                  <w:vAlign w:val="center"/>
                </w:tcPr>
                <w:p w14:paraId="67E30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怡海花园·富泽园</w:t>
                  </w:r>
                </w:p>
              </w:tc>
              <w:tc>
                <w:tcPr>
                  <w:tcW w:w="1377" w:type="dxa"/>
                  <w:vMerge w:val="restart"/>
                  <w:tcBorders>
                    <w:tl2br w:val="nil"/>
                    <w:tr2bl w:val="nil"/>
                  </w:tcBorders>
                  <w:vAlign w:val="center"/>
                </w:tcPr>
                <w:p w14:paraId="744BC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《环境空气质量标准》（GB3095-2012）及其修改单（生态环境部公告2018年第29号）二类区</w:t>
                  </w:r>
                </w:p>
              </w:tc>
              <w:tc>
                <w:tcPr>
                  <w:tcW w:w="1323" w:type="dxa"/>
                  <w:tcBorders>
                    <w:tl2br w:val="nil"/>
                    <w:tr2bl w:val="nil"/>
                  </w:tcBorders>
                  <w:vAlign w:val="center"/>
                </w:tcPr>
                <w:p w14:paraId="74623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紧邻</w:t>
                  </w:r>
                </w:p>
              </w:tc>
              <w:tc>
                <w:tcPr>
                  <w:tcW w:w="1207" w:type="dxa"/>
                  <w:tcBorders>
                    <w:tl2br w:val="nil"/>
                    <w:tr2bl w:val="nil"/>
                  </w:tcBorders>
                  <w:vAlign w:val="center"/>
                </w:tcPr>
                <w:p w14:paraId="66B5F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59B96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27723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CEB8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怡海花园·恒泰园</w:t>
                  </w:r>
                </w:p>
              </w:tc>
              <w:tc>
                <w:tcPr>
                  <w:tcW w:w="1377" w:type="dxa"/>
                  <w:vMerge w:val="continue"/>
                  <w:tcBorders>
                    <w:tl2br w:val="nil"/>
                    <w:tr2bl w:val="nil"/>
                  </w:tcBorders>
                  <w:vAlign w:val="center"/>
                </w:tcPr>
                <w:p w14:paraId="78E49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F95D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t>
                  </w:r>
                </w:p>
              </w:tc>
              <w:tc>
                <w:tcPr>
                  <w:tcW w:w="1207" w:type="dxa"/>
                  <w:tcBorders>
                    <w:tl2br w:val="nil"/>
                    <w:tr2bl w:val="nil"/>
                  </w:tcBorders>
                  <w:vAlign w:val="center"/>
                </w:tcPr>
                <w:p w14:paraId="2C885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53m</w:t>
                  </w:r>
                </w:p>
              </w:tc>
            </w:tr>
            <w:tr w14:paraId="46C0D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4E179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051F5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中海甲叁号院</w:t>
                  </w:r>
                </w:p>
              </w:tc>
              <w:tc>
                <w:tcPr>
                  <w:tcW w:w="1377" w:type="dxa"/>
                  <w:vMerge w:val="continue"/>
                  <w:tcBorders>
                    <w:tl2br w:val="nil"/>
                    <w:tr2bl w:val="nil"/>
                  </w:tcBorders>
                  <w:vAlign w:val="center"/>
                </w:tcPr>
                <w:p w14:paraId="08DE8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0FCF7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75E92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445m</w:t>
                  </w:r>
                </w:p>
              </w:tc>
            </w:tr>
            <w:tr w14:paraId="6F63E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04EF0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1289F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刘孟家园</w:t>
                  </w:r>
                </w:p>
              </w:tc>
              <w:tc>
                <w:tcPr>
                  <w:tcW w:w="1377" w:type="dxa"/>
                  <w:vMerge w:val="continue"/>
                  <w:tcBorders>
                    <w:tl2br w:val="nil"/>
                    <w:tr2bl w:val="nil"/>
                  </w:tcBorders>
                  <w:vAlign w:val="center"/>
                </w:tcPr>
                <w:p w14:paraId="46B0D6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14AB0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NE</w:t>
                  </w:r>
                </w:p>
              </w:tc>
              <w:tc>
                <w:tcPr>
                  <w:tcW w:w="1207" w:type="dxa"/>
                  <w:tcBorders>
                    <w:tl2br w:val="nil"/>
                    <w:tr2bl w:val="nil"/>
                  </w:tcBorders>
                  <w:vAlign w:val="center"/>
                </w:tcPr>
                <w:p w14:paraId="480CC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454m</w:t>
                  </w:r>
                </w:p>
              </w:tc>
            </w:tr>
            <w:tr w14:paraId="108D8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29FA3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1E06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创业者公寓·恒富中街</w:t>
                  </w:r>
                </w:p>
              </w:tc>
              <w:tc>
                <w:tcPr>
                  <w:tcW w:w="1377" w:type="dxa"/>
                  <w:vMerge w:val="continue"/>
                  <w:tcBorders>
                    <w:tl2br w:val="nil"/>
                    <w:tr2bl w:val="nil"/>
                  </w:tcBorders>
                  <w:vAlign w:val="center"/>
                </w:tcPr>
                <w:p w14:paraId="261B89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507B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520D8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351m</w:t>
                  </w:r>
                </w:p>
              </w:tc>
            </w:tr>
            <w:tr w14:paraId="205C1B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78207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7395B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帝京花园</w:t>
                  </w:r>
                </w:p>
              </w:tc>
              <w:tc>
                <w:tcPr>
                  <w:tcW w:w="1377" w:type="dxa"/>
                  <w:vMerge w:val="continue"/>
                  <w:tcBorders>
                    <w:tl2br w:val="nil"/>
                    <w:tr2bl w:val="nil"/>
                  </w:tcBorders>
                  <w:vAlign w:val="center"/>
                </w:tcPr>
                <w:p w14:paraId="3B78F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2E88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w:t>
                  </w:r>
                </w:p>
              </w:tc>
              <w:tc>
                <w:tcPr>
                  <w:tcW w:w="1207" w:type="dxa"/>
                  <w:tcBorders>
                    <w:tl2br w:val="nil"/>
                    <w:tr2bl w:val="nil"/>
                  </w:tcBorders>
                  <w:vAlign w:val="center"/>
                </w:tcPr>
                <w:p w14:paraId="54B93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332m</w:t>
                  </w:r>
                </w:p>
              </w:tc>
            </w:tr>
            <w:tr w14:paraId="6FA794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34DA2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5EB29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鸿业兴园一区</w:t>
                  </w:r>
                </w:p>
              </w:tc>
              <w:tc>
                <w:tcPr>
                  <w:tcW w:w="1377" w:type="dxa"/>
                  <w:vMerge w:val="continue"/>
                  <w:tcBorders>
                    <w:tl2br w:val="nil"/>
                    <w:tr2bl w:val="nil"/>
                  </w:tcBorders>
                  <w:vAlign w:val="center"/>
                </w:tcPr>
                <w:p w14:paraId="3E62F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1204F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NE</w:t>
                  </w:r>
                </w:p>
              </w:tc>
              <w:tc>
                <w:tcPr>
                  <w:tcW w:w="1207" w:type="dxa"/>
                  <w:tcBorders>
                    <w:tl2br w:val="nil"/>
                    <w:tr2bl w:val="nil"/>
                  </w:tcBorders>
                  <w:vAlign w:val="center"/>
                </w:tcPr>
                <w:p w14:paraId="3261C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418m</w:t>
                  </w:r>
                </w:p>
              </w:tc>
            </w:tr>
            <w:tr w14:paraId="73494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67250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2DA69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北京市丰台区怡海中学</w:t>
                  </w:r>
                </w:p>
              </w:tc>
              <w:tc>
                <w:tcPr>
                  <w:tcW w:w="1377" w:type="dxa"/>
                  <w:vMerge w:val="continue"/>
                  <w:tcBorders>
                    <w:tl2br w:val="nil"/>
                    <w:tr2bl w:val="nil"/>
                  </w:tcBorders>
                  <w:vAlign w:val="center"/>
                </w:tcPr>
                <w:p w14:paraId="0E27F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31FBC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NE</w:t>
                  </w:r>
                </w:p>
              </w:tc>
              <w:tc>
                <w:tcPr>
                  <w:tcW w:w="1207" w:type="dxa"/>
                  <w:tcBorders>
                    <w:tl2br w:val="nil"/>
                    <w:tr2bl w:val="nil"/>
                  </w:tcBorders>
                  <w:vAlign w:val="center"/>
                </w:tcPr>
                <w:p w14:paraId="78301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150m</w:t>
                  </w:r>
                </w:p>
              </w:tc>
            </w:tr>
            <w:tr w14:paraId="7DC36B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11497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489BE4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北京市第八中学（怡海分校国际部）</w:t>
                  </w:r>
                </w:p>
              </w:tc>
              <w:tc>
                <w:tcPr>
                  <w:tcW w:w="1377" w:type="dxa"/>
                  <w:vMerge w:val="continue"/>
                  <w:tcBorders>
                    <w:tl2br w:val="nil"/>
                    <w:tr2bl w:val="nil"/>
                  </w:tcBorders>
                  <w:vAlign w:val="center"/>
                </w:tcPr>
                <w:p w14:paraId="2E8BD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7CC7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NW</w:t>
                  </w:r>
                </w:p>
              </w:tc>
              <w:tc>
                <w:tcPr>
                  <w:tcW w:w="1207" w:type="dxa"/>
                  <w:tcBorders>
                    <w:tl2br w:val="nil"/>
                    <w:tr2bl w:val="nil"/>
                  </w:tcBorders>
                  <w:vAlign w:val="center"/>
                </w:tcPr>
                <w:p w14:paraId="57E34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316m</w:t>
                  </w:r>
                </w:p>
              </w:tc>
            </w:tr>
            <w:tr w14:paraId="1CA51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0E76A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声环境</w:t>
                  </w:r>
                </w:p>
              </w:tc>
              <w:tc>
                <w:tcPr>
                  <w:tcW w:w="3423" w:type="dxa"/>
                  <w:tcBorders>
                    <w:tl2br w:val="nil"/>
                    <w:tr2bl w:val="nil"/>
                  </w:tcBorders>
                  <w:vAlign w:val="center"/>
                </w:tcPr>
                <w:p w14:paraId="190F1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怡海花园·富泽园5号楼</w:t>
                  </w:r>
                </w:p>
              </w:tc>
              <w:tc>
                <w:tcPr>
                  <w:tcW w:w="1377" w:type="dxa"/>
                  <w:vMerge w:val="restart"/>
                  <w:tcBorders>
                    <w:tl2br w:val="nil"/>
                    <w:tr2bl w:val="nil"/>
                  </w:tcBorders>
                  <w:vAlign w:val="center"/>
                </w:tcPr>
                <w:p w14:paraId="37B7C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《声环境质量标准》（GB3096-2008）1类</w:t>
                  </w:r>
                </w:p>
              </w:tc>
              <w:tc>
                <w:tcPr>
                  <w:tcW w:w="1323" w:type="dxa"/>
                  <w:tcBorders>
                    <w:tl2br w:val="nil"/>
                    <w:tr2bl w:val="nil"/>
                  </w:tcBorders>
                  <w:vAlign w:val="center"/>
                </w:tcPr>
                <w:p w14:paraId="47E83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楼上</w:t>
                  </w:r>
                </w:p>
              </w:tc>
              <w:tc>
                <w:tcPr>
                  <w:tcW w:w="1207" w:type="dxa"/>
                  <w:tcBorders>
                    <w:tl2br w:val="nil"/>
                    <w:tr2bl w:val="nil"/>
                  </w:tcBorders>
                  <w:vAlign w:val="center"/>
                </w:tcPr>
                <w:p w14:paraId="1CD86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6B062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48985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08221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怡海花园·富泽园6号楼</w:t>
                  </w:r>
                </w:p>
              </w:tc>
              <w:tc>
                <w:tcPr>
                  <w:tcW w:w="1377" w:type="dxa"/>
                  <w:vMerge w:val="continue"/>
                  <w:tcBorders>
                    <w:tl2br w:val="nil"/>
                    <w:tr2bl w:val="nil"/>
                  </w:tcBorders>
                  <w:vAlign w:val="center"/>
                </w:tcPr>
                <w:p w14:paraId="5FEFB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5DD0D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w:t>
                  </w:r>
                </w:p>
              </w:tc>
              <w:tc>
                <w:tcPr>
                  <w:tcW w:w="1207" w:type="dxa"/>
                  <w:tcBorders>
                    <w:tl2br w:val="nil"/>
                    <w:tr2bl w:val="nil"/>
                  </w:tcBorders>
                  <w:vAlign w:val="center"/>
                </w:tcPr>
                <w:p w14:paraId="493F4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30m</w:t>
                  </w:r>
                </w:p>
              </w:tc>
            </w:tr>
            <w:tr w14:paraId="35F49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6B3B6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3423" w:type="dxa"/>
                  <w:tcBorders>
                    <w:tl2br w:val="nil"/>
                    <w:tr2bl w:val="nil"/>
                  </w:tcBorders>
                  <w:vAlign w:val="center"/>
                </w:tcPr>
                <w:p w14:paraId="7A4B0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怡海花园·富泽园8号楼</w:t>
                  </w:r>
                </w:p>
              </w:tc>
              <w:tc>
                <w:tcPr>
                  <w:tcW w:w="1377" w:type="dxa"/>
                  <w:vMerge w:val="continue"/>
                  <w:tcBorders>
                    <w:tl2br w:val="nil"/>
                    <w:tr2bl w:val="nil"/>
                  </w:tcBorders>
                  <w:vAlign w:val="center"/>
                </w:tcPr>
                <w:p w14:paraId="15061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23" w:type="dxa"/>
                  <w:tcBorders>
                    <w:tl2br w:val="nil"/>
                    <w:tr2bl w:val="nil"/>
                  </w:tcBorders>
                  <w:vAlign w:val="center"/>
                </w:tcPr>
                <w:p w14:paraId="650C25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w:t>
                  </w:r>
                </w:p>
              </w:tc>
              <w:tc>
                <w:tcPr>
                  <w:tcW w:w="1207" w:type="dxa"/>
                  <w:tcBorders>
                    <w:tl2br w:val="nil"/>
                    <w:tr2bl w:val="nil"/>
                  </w:tcBorders>
                  <w:vAlign w:val="center"/>
                </w:tcPr>
                <w:p w14:paraId="09F827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32m</w:t>
                  </w:r>
                </w:p>
              </w:tc>
            </w:tr>
          </w:tbl>
          <w:p w14:paraId="7D61F4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lang w:val="en-US" w:eastAsia="zh-CN"/>
              </w:rPr>
            </w:pPr>
          </w:p>
        </w:tc>
      </w:tr>
      <w:tr w14:paraId="25C7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775C6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污染物排放控制标准</w:t>
            </w:r>
          </w:p>
        </w:tc>
        <w:tc>
          <w:tcPr>
            <w:tcW w:w="8224" w:type="dxa"/>
            <w:vAlign w:val="center"/>
          </w:tcPr>
          <w:p w14:paraId="1A35D2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1、废气</w:t>
            </w:r>
          </w:p>
          <w:p w14:paraId="006DD61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无燃煤、燃油、燃气设施，不设食堂；冬季供暖由市政热力提供，夏季制冷由自备空调提供。本项目动物诊疗及美容洗浴废水消毒采用次氯酸钠消毒工艺污水处理设备，封闭设计，无开放水面，其主要工艺为消毒，无生化工艺，因此本项目污水处理工艺无废气排放。</w:t>
            </w:r>
          </w:p>
          <w:p w14:paraId="6F963492">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项目运营期诊疗手术等过程中动物自身及粪便会产生异味，废气经活性炭装置吸附净化后无组织排放。废气异味中的污染物因子以NH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S及臭气浓度计，其排放执行北京市《大气污染物综合排放标准》（DB11/501-2017）中“单位周界无组织排放监控点浓度限值”。</w:t>
            </w:r>
          </w:p>
          <w:p w14:paraId="2EB8B546">
            <w:pPr>
              <w:pStyle w:val="11"/>
              <w:bidi w:val="0"/>
              <w:rPr>
                <w:rFonts w:hint="default"/>
                <w:lang w:val="en-US" w:eastAsia="zh-CN"/>
              </w:rPr>
            </w:pPr>
            <w:r>
              <w:rPr>
                <w:rFonts w:hint="eastAsia"/>
                <w:lang w:val="en-US" w:eastAsia="zh-CN"/>
              </w:rPr>
              <w:t>表3-5 《大气污染物综合排放标准》（DB11/501-2017）（摘录）</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5026"/>
            </w:tblGrid>
            <w:tr w14:paraId="5B2EE6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2" w:type="dxa"/>
                  <w:tcBorders>
                    <w:tl2br w:val="nil"/>
                    <w:tr2bl w:val="nil"/>
                  </w:tcBorders>
                  <w:vAlign w:val="center"/>
                </w:tcPr>
                <w:p w14:paraId="4CAA8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5026" w:type="dxa"/>
                  <w:tcBorders>
                    <w:tl2br w:val="nil"/>
                    <w:tr2bl w:val="nil"/>
                  </w:tcBorders>
                  <w:vAlign w:val="center"/>
                </w:tcPr>
                <w:p w14:paraId="3E809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单位周界无组织排放监控点浓度限值（mg/m</w:t>
                  </w:r>
                  <w:r>
                    <w:rPr>
                      <w:rFonts w:hint="eastAsia"/>
                      <w:b/>
                      <w:bCs/>
                      <w:sz w:val="21"/>
                      <w:szCs w:val="21"/>
                      <w:vertAlign w:val="superscript"/>
                      <w:lang w:val="en-US" w:eastAsia="zh-CN"/>
                    </w:rPr>
                    <w:t>3</w:t>
                  </w:r>
                  <w:r>
                    <w:rPr>
                      <w:rFonts w:hint="eastAsia"/>
                      <w:b/>
                      <w:bCs/>
                      <w:sz w:val="21"/>
                      <w:szCs w:val="21"/>
                      <w:vertAlign w:val="baseline"/>
                      <w:lang w:val="en-US" w:eastAsia="zh-CN"/>
                    </w:rPr>
                    <w:t>）</w:t>
                  </w:r>
                </w:p>
              </w:tc>
            </w:tr>
            <w:tr w14:paraId="39641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2" w:type="dxa"/>
                  <w:tcBorders>
                    <w:tl2br w:val="nil"/>
                    <w:tr2bl w:val="nil"/>
                  </w:tcBorders>
                  <w:vAlign w:val="center"/>
                </w:tcPr>
                <w:p w14:paraId="156EC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5026" w:type="dxa"/>
                  <w:tcBorders>
                    <w:tl2br w:val="nil"/>
                    <w:tr2bl w:val="nil"/>
                  </w:tcBorders>
                  <w:vAlign w:val="center"/>
                </w:tcPr>
                <w:p w14:paraId="7CDC5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w:t>
                  </w:r>
                </w:p>
              </w:tc>
            </w:tr>
            <w:tr w14:paraId="43DDE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2" w:type="dxa"/>
                  <w:tcBorders>
                    <w:tl2br w:val="nil"/>
                    <w:tr2bl w:val="nil"/>
                  </w:tcBorders>
                  <w:vAlign w:val="center"/>
                </w:tcPr>
                <w:p w14:paraId="1DC3D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5026" w:type="dxa"/>
                  <w:tcBorders>
                    <w:tl2br w:val="nil"/>
                    <w:tr2bl w:val="nil"/>
                  </w:tcBorders>
                  <w:vAlign w:val="center"/>
                </w:tcPr>
                <w:p w14:paraId="138A3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w:t>
                  </w:r>
                </w:p>
              </w:tc>
            </w:tr>
            <w:tr w14:paraId="54A1E7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2" w:type="dxa"/>
                  <w:tcBorders>
                    <w:tl2br w:val="nil"/>
                    <w:tr2bl w:val="nil"/>
                  </w:tcBorders>
                  <w:vAlign w:val="center"/>
                </w:tcPr>
                <w:p w14:paraId="7269BC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臭气浓度（无量纲）</w:t>
                  </w:r>
                </w:p>
              </w:tc>
              <w:tc>
                <w:tcPr>
                  <w:tcW w:w="5026" w:type="dxa"/>
                  <w:tcBorders>
                    <w:tl2br w:val="nil"/>
                    <w:tr2bl w:val="nil"/>
                  </w:tcBorders>
                  <w:vAlign w:val="center"/>
                </w:tcPr>
                <w:p w14:paraId="56974C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r>
          </w:tbl>
          <w:p w14:paraId="283D959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2、废水</w:t>
            </w:r>
          </w:p>
          <w:p w14:paraId="5187567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动物诊疗废水和美容洗浴废水经污水处理设施消毒处理后，同生活废水一同排入所在建筑防渗化粪池进行预处理，最终经市政污水管网排入小红门再生水厂。项目综合废水中各项污染物排放执行北京市《水污染物综合排放标准》（DB11/307-2013）中“表3排入公共污水处理系统的水污染物排放限值”。</w:t>
            </w:r>
          </w:p>
          <w:p w14:paraId="26C38670">
            <w:pPr>
              <w:pStyle w:val="11"/>
              <w:bidi w:val="0"/>
              <w:rPr>
                <w:rFonts w:hint="eastAsia"/>
                <w:lang w:val="en-US" w:eastAsia="zh-CN"/>
              </w:rPr>
            </w:pPr>
            <w:r>
              <w:rPr>
                <w:rFonts w:hint="eastAsia"/>
                <w:lang w:val="en-US" w:eastAsia="zh-CN"/>
              </w:rPr>
              <w:t>表3-6 项目废水排放标准</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889"/>
              <w:gridCol w:w="2186"/>
              <w:gridCol w:w="1648"/>
            </w:tblGrid>
            <w:tr w14:paraId="47C97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6971B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2895" w:type="dxa"/>
                  <w:tcBorders>
                    <w:tl2br w:val="nil"/>
                    <w:tr2bl w:val="nil"/>
                  </w:tcBorders>
                  <w:vAlign w:val="center"/>
                </w:tcPr>
                <w:p w14:paraId="727E1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2190" w:type="dxa"/>
                  <w:tcBorders>
                    <w:tl2br w:val="nil"/>
                    <w:tr2bl w:val="nil"/>
                  </w:tcBorders>
                  <w:vAlign w:val="center"/>
                </w:tcPr>
                <w:p w14:paraId="31AD7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标准限值</w:t>
                  </w:r>
                </w:p>
              </w:tc>
              <w:tc>
                <w:tcPr>
                  <w:tcW w:w="1651" w:type="dxa"/>
                  <w:tcBorders>
                    <w:tl2br w:val="nil"/>
                    <w:tr2bl w:val="nil"/>
                  </w:tcBorders>
                  <w:vAlign w:val="center"/>
                </w:tcPr>
                <w:p w14:paraId="486EE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单位</w:t>
                  </w:r>
                </w:p>
              </w:tc>
            </w:tr>
            <w:tr w14:paraId="34BAD4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D14D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2895" w:type="dxa"/>
                  <w:tcBorders>
                    <w:tl2br w:val="nil"/>
                    <w:tr2bl w:val="nil"/>
                  </w:tcBorders>
                  <w:vAlign w:val="center"/>
                </w:tcPr>
                <w:p w14:paraId="4BE92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pH值</w:t>
                  </w:r>
                </w:p>
              </w:tc>
              <w:tc>
                <w:tcPr>
                  <w:tcW w:w="2190" w:type="dxa"/>
                  <w:tcBorders>
                    <w:tl2br w:val="nil"/>
                    <w:tr2bl w:val="nil"/>
                  </w:tcBorders>
                  <w:vAlign w:val="center"/>
                </w:tcPr>
                <w:p w14:paraId="16EE5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6.5-9</w:t>
                  </w:r>
                </w:p>
              </w:tc>
              <w:tc>
                <w:tcPr>
                  <w:tcW w:w="1651" w:type="dxa"/>
                  <w:tcBorders>
                    <w:tl2br w:val="nil"/>
                    <w:tr2bl w:val="nil"/>
                  </w:tcBorders>
                  <w:vAlign w:val="center"/>
                </w:tcPr>
                <w:p w14:paraId="55B69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r>
            <w:tr w14:paraId="59AD3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24B05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895" w:type="dxa"/>
                  <w:tcBorders>
                    <w:tl2br w:val="nil"/>
                    <w:tr2bl w:val="nil"/>
                  </w:tcBorders>
                  <w:vAlign w:val="center"/>
                </w:tcPr>
                <w:p w14:paraId="3A6D7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悬浮物（SS）</w:t>
                  </w:r>
                </w:p>
              </w:tc>
              <w:tc>
                <w:tcPr>
                  <w:tcW w:w="2190" w:type="dxa"/>
                  <w:tcBorders>
                    <w:tl2br w:val="nil"/>
                    <w:tr2bl w:val="nil"/>
                  </w:tcBorders>
                  <w:vAlign w:val="center"/>
                </w:tcPr>
                <w:p w14:paraId="63A58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1651" w:type="dxa"/>
                  <w:tcBorders>
                    <w:tl2br w:val="nil"/>
                    <w:tr2bl w:val="nil"/>
                  </w:tcBorders>
                  <w:vAlign w:val="center"/>
                </w:tcPr>
                <w:p w14:paraId="05FE5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45644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34A78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895" w:type="dxa"/>
                  <w:tcBorders>
                    <w:tl2br w:val="nil"/>
                    <w:tr2bl w:val="nil"/>
                  </w:tcBorders>
                  <w:vAlign w:val="center"/>
                </w:tcPr>
                <w:p w14:paraId="7D991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五日生化需氧量（BOD</w:t>
                  </w:r>
                  <w:r>
                    <w:rPr>
                      <w:rFonts w:hint="eastAsia"/>
                      <w:sz w:val="21"/>
                      <w:szCs w:val="21"/>
                      <w:vertAlign w:val="subscript"/>
                      <w:lang w:val="en-US" w:eastAsia="zh-CN"/>
                    </w:rPr>
                    <w:t>5</w:t>
                  </w:r>
                  <w:r>
                    <w:rPr>
                      <w:rFonts w:hint="eastAsia"/>
                      <w:sz w:val="21"/>
                      <w:szCs w:val="21"/>
                      <w:vertAlign w:val="baseline"/>
                      <w:lang w:val="en-US" w:eastAsia="zh-CN"/>
                    </w:rPr>
                    <w:t>）</w:t>
                  </w:r>
                </w:p>
              </w:tc>
              <w:tc>
                <w:tcPr>
                  <w:tcW w:w="2190" w:type="dxa"/>
                  <w:tcBorders>
                    <w:tl2br w:val="nil"/>
                    <w:tr2bl w:val="nil"/>
                  </w:tcBorders>
                  <w:vAlign w:val="center"/>
                </w:tcPr>
                <w:p w14:paraId="7B16A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1651" w:type="dxa"/>
                  <w:tcBorders>
                    <w:tl2br w:val="nil"/>
                    <w:tr2bl w:val="nil"/>
                  </w:tcBorders>
                  <w:vAlign w:val="center"/>
                </w:tcPr>
                <w:p w14:paraId="389B1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06DF8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421D2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w:t>
                  </w:r>
                </w:p>
              </w:tc>
              <w:tc>
                <w:tcPr>
                  <w:tcW w:w="2895" w:type="dxa"/>
                  <w:tcBorders>
                    <w:tl2br w:val="nil"/>
                    <w:tr2bl w:val="nil"/>
                  </w:tcBorders>
                  <w:vAlign w:val="center"/>
                </w:tcPr>
                <w:p w14:paraId="4E4D0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化学需氧量（CODcr）</w:t>
                  </w:r>
                </w:p>
              </w:tc>
              <w:tc>
                <w:tcPr>
                  <w:tcW w:w="2190" w:type="dxa"/>
                  <w:tcBorders>
                    <w:tl2br w:val="nil"/>
                    <w:tr2bl w:val="nil"/>
                  </w:tcBorders>
                  <w:vAlign w:val="center"/>
                </w:tcPr>
                <w:p w14:paraId="3C8D4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w:t>
                  </w:r>
                </w:p>
              </w:tc>
              <w:tc>
                <w:tcPr>
                  <w:tcW w:w="1651" w:type="dxa"/>
                  <w:tcBorders>
                    <w:tl2br w:val="nil"/>
                    <w:tr2bl w:val="nil"/>
                  </w:tcBorders>
                  <w:vAlign w:val="center"/>
                </w:tcPr>
                <w:p w14:paraId="7FCE1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30DAFC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7A2D4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895" w:type="dxa"/>
                  <w:tcBorders>
                    <w:tl2br w:val="nil"/>
                    <w:tr2bl w:val="nil"/>
                  </w:tcBorders>
                  <w:vAlign w:val="center"/>
                </w:tcPr>
                <w:p w14:paraId="48FFF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氨氮（NH</w:t>
                  </w:r>
                  <w:r>
                    <w:rPr>
                      <w:rFonts w:hint="eastAsia"/>
                      <w:sz w:val="21"/>
                      <w:szCs w:val="21"/>
                      <w:vertAlign w:val="subscript"/>
                      <w:lang w:val="en-US" w:eastAsia="zh-CN"/>
                    </w:rPr>
                    <w:t>3</w:t>
                  </w:r>
                  <w:r>
                    <w:rPr>
                      <w:rFonts w:hint="eastAsia"/>
                      <w:sz w:val="21"/>
                      <w:szCs w:val="21"/>
                      <w:vertAlign w:val="baseline"/>
                      <w:lang w:val="en-US" w:eastAsia="zh-CN"/>
                    </w:rPr>
                    <w:t>-N）</w:t>
                  </w:r>
                </w:p>
              </w:tc>
              <w:tc>
                <w:tcPr>
                  <w:tcW w:w="2190" w:type="dxa"/>
                  <w:tcBorders>
                    <w:tl2br w:val="nil"/>
                    <w:tr2bl w:val="nil"/>
                  </w:tcBorders>
                  <w:vAlign w:val="center"/>
                </w:tcPr>
                <w:p w14:paraId="5C0FC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1651" w:type="dxa"/>
                  <w:tcBorders>
                    <w:tl2br w:val="nil"/>
                    <w:tr2bl w:val="nil"/>
                  </w:tcBorders>
                  <w:vAlign w:val="center"/>
                </w:tcPr>
                <w:p w14:paraId="25950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mg/L</w:t>
                  </w:r>
                </w:p>
              </w:tc>
            </w:tr>
            <w:tr w14:paraId="352F3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24518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895" w:type="dxa"/>
                  <w:tcBorders>
                    <w:tl2br w:val="nil"/>
                    <w:tr2bl w:val="nil"/>
                  </w:tcBorders>
                  <w:vAlign w:val="center"/>
                </w:tcPr>
                <w:p w14:paraId="126D5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2190" w:type="dxa"/>
                  <w:tcBorders>
                    <w:tl2br w:val="nil"/>
                    <w:tr2bl w:val="nil"/>
                  </w:tcBorders>
                  <w:vAlign w:val="center"/>
                </w:tcPr>
                <w:p w14:paraId="3F9B8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10000</w:t>
                  </w:r>
                </w:p>
              </w:tc>
              <w:tc>
                <w:tcPr>
                  <w:tcW w:w="1651" w:type="dxa"/>
                  <w:tcBorders>
                    <w:tl2br w:val="nil"/>
                    <w:tr2bl w:val="nil"/>
                  </w:tcBorders>
                  <w:vAlign w:val="center"/>
                </w:tcPr>
                <w:p w14:paraId="3CE1D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A5AF3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7" w:type="dxa"/>
                  <w:tcBorders>
                    <w:tl2br w:val="nil"/>
                    <w:tr2bl w:val="nil"/>
                  </w:tcBorders>
                  <w:vAlign w:val="center"/>
                </w:tcPr>
                <w:p w14:paraId="03E50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w:t>
                  </w:r>
                </w:p>
              </w:tc>
              <w:tc>
                <w:tcPr>
                  <w:tcW w:w="2895" w:type="dxa"/>
                  <w:tcBorders>
                    <w:tl2br w:val="nil"/>
                    <w:tr2bl w:val="nil"/>
                  </w:tcBorders>
                  <w:vAlign w:val="center"/>
                </w:tcPr>
                <w:p w14:paraId="363EE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总余氯</w:t>
                  </w:r>
                </w:p>
              </w:tc>
              <w:tc>
                <w:tcPr>
                  <w:tcW w:w="2190" w:type="dxa"/>
                  <w:tcBorders>
                    <w:tl2br w:val="nil"/>
                    <w:tr2bl w:val="nil"/>
                  </w:tcBorders>
                  <w:vAlign w:val="center"/>
                </w:tcPr>
                <w:p w14:paraId="4AA0A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651" w:type="dxa"/>
                  <w:tcBorders>
                    <w:tl2br w:val="nil"/>
                    <w:tr2bl w:val="nil"/>
                  </w:tcBorders>
                  <w:vAlign w:val="center"/>
                </w:tcPr>
                <w:p w14:paraId="1A7F5F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bl>
          <w:p w14:paraId="332F6C6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3、噪声</w:t>
            </w:r>
          </w:p>
          <w:p w14:paraId="6B0B85A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本项目营运期厂界噪声执行《工业企业厂界环境噪声排放标准》（GB12348-2008）中的1类标准，具体标准限值见下表。</w:t>
            </w:r>
          </w:p>
          <w:p w14:paraId="60D6A3E1">
            <w:pPr>
              <w:pStyle w:val="11"/>
              <w:bidi w:val="0"/>
              <w:rPr>
                <w:rFonts w:hint="default"/>
                <w:lang w:val="en-US" w:eastAsia="zh-CN"/>
              </w:rPr>
            </w:pPr>
            <w:r>
              <w:rPr>
                <w:rFonts w:hint="eastAsia"/>
                <w:lang w:val="en-US" w:eastAsia="zh-CN"/>
              </w:rPr>
              <w:t>表3-7 工业企业厂界环境噪声排放标准</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093"/>
              <w:gridCol w:w="1160"/>
              <w:gridCol w:w="1161"/>
              <w:gridCol w:w="3683"/>
            </w:tblGrid>
            <w:tr w14:paraId="511C24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Merge w:val="restart"/>
                  <w:tcBorders>
                    <w:tl2br w:val="nil"/>
                    <w:tr2bl w:val="nil"/>
                  </w:tcBorders>
                  <w:vAlign w:val="center"/>
                </w:tcPr>
                <w:p w14:paraId="6341F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声功能区类别</w:t>
                  </w:r>
                </w:p>
              </w:tc>
              <w:tc>
                <w:tcPr>
                  <w:tcW w:w="1095" w:type="dxa"/>
                  <w:vMerge w:val="restart"/>
                  <w:tcBorders>
                    <w:tl2br w:val="nil"/>
                    <w:tr2bl w:val="nil"/>
                  </w:tcBorders>
                  <w:vAlign w:val="center"/>
                </w:tcPr>
                <w:p w14:paraId="1BC86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适用范围</w:t>
                  </w:r>
                </w:p>
              </w:tc>
              <w:tc>
                <w:tcPr>
                  <w:tcW w:w="2325" w:type="dxa"/>
                  <w:gridSpan w:val="2"/>
                  <w:tcBorders>
                    <w:tl2br w:val="nil"/>
                    <w:tr2bl w:val="nil"/>
                  </w:tcBorders>
                  <w:vAlign w:val="center"/>
                </w:tcPr>
                <w:p w14:paraId="1B087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标准限值</w:t>
                  </w:r>
                </w:p>
              </w:tc>
              <w:tc>
                <w:tcPr>
                  <w:tcW w:w="3691" w:type="dxa"/>
                  <w:vMerge w:val="restart"/>
                  <w:tcBorders>
                    <w:tl2br w:val="nil"/>
                    <w:tr2bl w:val="nil"/>
                  </w:tcBorders>
                  <w:vAlign w:val="center"/>
                </w:tcPr>
                <w:p w14:paraId="67699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执行标准</w:t>
                  </w:r>
                </w:p>
              </w:tc>
            </w:tr>
            <w:tr w14:paraId="4651E0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vMerge w:val="continue"/>
                  <w:tcBorders>
                    <w:tl2br w:val="nil"/>
                    <w:tr2bl w:val="nil"/>
                  </w:tcBorders>
                  <w:vAlign w:val="center"/>
                </w:tcPr>
                <w:p w14:paraId="7E5DC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p>
              </w:tc>
              <w:tc>
                <w:tcPr>
                  <w:tcW w:w="1095" w:type="dxa"/>
                  <w:vMerge w:val="continue"/>
                  <w:tcBorders>
                    <w:tl2br w:val="nil"/>
                    <w:tr2bl w:val="nil"/>
                  </w:tcBorders>
                  <w:vAlign w:val="center"/>
                </w:tcPr>
                <w:p w14:paraId="0BB39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p>
              </w:tc>
              <w:tc>
                <w:tcPr>
                  <w:tcW w:w="1162" w:type="dxa"/>
                  <w:tcBorders>
                    <w:tl2br w:val="nil"/>
                    <w:tr2bl w:val="nil"/>
                  </w:tcBorders>
                  <w:vAlign w:val="center"/>
                </w:tcPr>
                <w:p w14:paraId="4101C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昼间</w:t>
                  </w:r>
                </w:p>
              </w:tc>
              <w:tc>
                <w:tcPr>
                  <w:tcW w:w="1163" w:type="dxa"/>
                  <w:tcBorders>
                    <w:tl2br w:val="nil"/>
                    <w:tr2bl w:val="nil"/>
                  </w:tcBorders>
                  <w:vAlign w:val="center"/>
                </w:tcPr>
                <w:p w14:paraId="5436A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夜间</w:t>
                  </w:r>
                </w:p>
              </w:tc>
              <w:tc>
                <w:tcPr>
                  <w:tcW w:w="3691" w:type="dxa"/>
                  <w:vMerge w:val="continue"/>
                  <w:tcBorders>
                    <w:tl2br w:val="nil"/>
                    <w:tr2bl w:val="nil"/>
                  </w:tcBorders>
                  <w:vAlign w:val="center"/>
                </w:tcPr>
                <w:p w14:paraId="646ED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09E90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2" w:type="dxa"/>
                  <w:tcBorders>
                    <w:tl2br w:val="nil"/>
                    <w:tr2bl w:val="nil"/>
                  </w:tcBorders>
                  <w:vAlign w:val="center"/>
                </w:tcPr>
                <w:p w14:paraId="3B68B4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1类</w:t>
                  </w:r>
                </w:p>
              </w:tc>
              <w:tc>
                <w:tcPr>
                  <w:tcW w:w="1095" w:type="dxa"/>
                  <w:tcBorders>
                    <w:tl2br w:val="nil"/>
                    <w:tr2bl w:val="nil"/>
                  </w:tcBorders>
                  <w:vAlign w:val="center"/>
                </w:tcPr>
                <w:p w14:paraId="30A41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项目所在区域</w:t>
                  </w:r>
                </w:p>
              </w:tc>
              <w:tc>
                <w:tcPr>
                  <w:tcW w:w="1162" w:type="dxa"/>
                  <w:tcBorders>
                    <w:tl2br w:val="nil"/>
                    <w:tr2bl w:val="nil"/>
                  </w:tcBorders>
                  <w:vAlign w:val="center"/>
                </w:tcPr>
                <w:p w14:paraId="252D5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55dB(A)</w:t>
                  </w:r>
                </w:p>
              </w:tc>
              <w:tc>
                <w:tcPr>
                  <w:tcW w:w="1163" w:type="dxa"/>
                  <w:tcBorders>
                    <w:tl2br w:val="nil"/>
                    <w:tr2bl w:val="nil"/>
                  </w:tcBorders>
                  <w:vAlign w:val="center"/>
                </w:tcPr>
                <w:p w14:paraId="62054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45dB(A)</w:t>
                  </w:r>
                </w:p>
              </w:tc>
              <w:tc>
                <w:tcPr>
                  <w:tcW w:w="3691" w:type="dxa"/>
                  <w:tcBorders>
                    <w:tl2br w:val="nil"/>
                    <w:tr2bl w:val="nil"/>
                  </w:tcBorders>
                  <w:vAlign w:val="center"/>
                </w:tcPr>
                <w:p w14:paraId="01410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《工业企业厂界环境噪声排放标准》（GB12348-2008）中1类标准</w:t>
                  </w:r>
                </w:p>
              </w:tc>
            </w:tr>
          </w:tbl>
          <w:p w14:paraId="4BAA190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4、固体废物</w:t>
            </w:r>
          </w:p>
          <w:p w14:paraId="32F5B3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①生活垃圾</w:t>
            </w:r>
          </w:p>
          <w:p w14:paraId="7DB5246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生活垃圾处置执行《中华人民共和国固体废物污染环境防治法》（2020年版）、《北京市生活垃圾管理条例》（2020年5月1日起施行）中的相关规定。</w:t>
            </w:r>
          </w:p>
          <w:p w14:paraId="5A8FF54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②一般工业固体废物</w:t>
            </w:r>
          </w:p>
          <w:p w14:paraId="52A3D14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一般工业固体废物执行《一般工业固体废物贮存和填埋污染控制标准》（GB18599-2020）中的有关规定。</w:t>
            </w:r>
          </w:p>
          <w:p w14:paraId="7061E14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③危险废物（医疗废物）</w:t>
            </w:r>
          </w:p>
          <w:p w14:paraId="0268466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医疗废物（HW01）属于危险废物，应执行以下要求。</w:t>
            </w:r>
          </w:p>
          <w:p w14:paraId="417A324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a.执行《中华人民共和国固体废物污染环境防治法》（2020年版）中第六章“危险废物污染环境的防治”中的规定。</w:t>
            </w:r>
          </w:p>
          <w:p w14:paraId="3FF8FF4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b.执行《医疗废物管理条例》（中华人民共和国国务院令第380号令）中的规定。</w:t>
            </w:r>
          </w:p>
          <w:p w14:paraId="27F8460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c.执行《危险废物贮存污染控制标准》（GB18597-2023）、《危险废物污染防治技术政策》（环发[2001]199号）和《危险废物转移管理办法》（生态环境部、公安部、交通运输部令第23号）中的相关规定。</w:t>
            </w:r>
          </w:p>
          <w:p w14:paraId="06B6873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d.执行《北京市危险废物污染环境防治条例》（2020年6月5日通过，2020年9月1日实施）；以及《医疗废物专用包装袋、容器和警示标志标准》（HJ421-2008）中的规定。</w:t>
            </w:r>
          </w:p>
        </w:tc>
      </w:tr>
      <w:tr w14:paraId="396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4" w:type="dxa"/>
            <w:vAlign w:val="center"/>
          </w:tcPr>
          <w:p w14:paraId="118AF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总量控制指标</w:t>
            </w:r>
          </w:p>
        </w:tc>
        <w:tc>
          <w:tcPr>
            <w:tcW w:w="8224" w:type="dxa"/>
            <w:vAlign w:val="center"/>
          </w:tcPr>
          <w:p w14:paraId="5A54686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1、污染物排放总量控制原则</w:t>
            </w:r>
          </w:p>
          <w:p w14:paraId="74D4195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环境保护部《建设项目主要污染物排放总量指标审核及管理办法》（环发[2014]197号）、《北京市环境保护局关于转发环境保护部＜建设项目主要污染物排放总量指标审核及管理暂行办法＞的通知》（京环发[2015]19号）及《北京市环境保护局关于建设项目主要污染物排放总量指标审核及管理的补充通知》（2016年8月19日），北京市实施建设项目总量指标审核及管理的污染物包括：二氧化硫、氮氧化物、烟粉尘、挥发性有机物（工业及汽车维修行业）、化学需氧量、氨氮。</w:t>
            </w:r>
          </w:p>
          <w:p w14:paraId="586698C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本项目从事动物医院经营，开展动物诊疗、手术及相关服务，涉及排放的总量控制污染物为废水中的化学需氧量和氨氮。</w:t>
            </w:r>
          </w:p>
          <w:p w14:paraId="399AEE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2、建设项目污染物排放总量核算</w:t>
            </w:r>
          </w:p>
          <w:p w14:paraId="1A2B1E7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产生的废水为动物诊疗废水、美容洗浴废水和生活废水。其中诊疗、美容洗浴废水经污水处理设备消毒后，与生活废水一同排入所在建筑防渗化粪池预处理，最终经市政污水管网进入小红门再生水厂集中处理。本项目废水排放量为188.64m</w:t>
            </w:r>
            <w:r>
              <w:rPr>
                <w:rFonts w:hint="eastAsia"/>
                <w:vertAlign w:val="superscript"/>
                <w:lang w:val="en-US" w:eastAsia="zh-CN"/>
              </w:rPr>
              <w:t>3</w:t>
            </w:r>
            <w:r>
              <w:rPr>
                <w:rFonts w:hint="eastAsia"/>
                <w:lang w:val="en-US" w:eastAsia="zh-CN"/>
              </w:rPr>
              <w:t>/a。</w:t>
            </w:r>
          </w:p>
          <w:p w14:paraId="4A219CB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小红门再生水厂排水执行《城镇污水处理厂水污染物排放标准》（DB11/890-2012）中</w:t>
            </w:r>
            <w:r>
              <w:rPr>
                <w:rFonts w:hint="eastAsia"/>
                <w:lang w:val="en-US" w:eastAsia="zh-CN"/>
              </w:rPr>
              <w:t>“</w:t>
            </w:r>
            <w:r>
              <w:rPr>
                <w:rFonts w:hint="default"/>
                <w:lang w:val="en-US" w:eastAsia="zh-CN"/>
              </w:rPr>
              <w:t>表1新（改、扩）建城镇污水处理厂基本控制项目排放限值B标准</w:t>
            </w:r>
            <w:r>
              <w:rPr>
                <w:rFonts w:hint="eastAsia"/>
                <w:lang w:val="en-US" w:eastAsia="zh-CN"/>
              </w:rPr>
              <w:t>”</w:t>
            </w:r>
            <w:r>
              <w:rPr>
                <w:rFonts w:hint="default"/>
                <w:lang w:val="en-US" w:eastAsia="zh-CN"/>
              </w:rPr>
              <w:t>相关要求，其排水水质浓度限值为：COD</w:t>
            </w:r>
            <w:r>
              <w:rPr>
                <w:rFonts w:hint="eastAsia"/>
                <w:lang w:val="en-US" w:eastAsia="zh-CN"/>
              </w:rPr>
              <w:t>cr</w:t>
            </w:r>
            <w:r>
              <w:rPr>
                <w:rFonts w:hint="default"/>
                <w:lang w:val="en-US" w:eastAsia="zh-CN"/>
              </w:rPr>
              <w:t>：30mg/L，氨氮：1.5（2.5）mg/L（12月1日-3月31日执行2.5mg/L，其余时间执行1.5mg/L）。</w:t>
            </w:r>
          </w:p>
          <w:p w14:paraId="759763F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化学需氧量最大允许排放量为：</w:t>
            </w:r>
            <w:r>
              <w:rPr>
                <w:rFonts w:hint="eastAsia"/>
                <w:lang w:val="en-US" w:eastAsia="zh-CN"/>
              </w:rPr>
              <w:t>188.64</w:t>
            </w:r>
            <w:r>
              <w:rPr>
                <w:rFonts w:hint="default"/>
                <w:lang w:val="en-US" w:eastAsia="zh-CN"/>
              </w:rPr>
              <w:t>m</w:t>
            </w:r>
            <w:r>
              <w:rPr>
                <w:rFonts w:hint="default"/>
                <w:vertAlign w:val="superscript"/>
                <w:lang w:val="en-US" w:eastAsia="zh-CN"/>
              </w:rPr>
              <w:t>3</w:t>
            </w:r>
            <w:r>
              <w:rPr>
                <w:rFonts w:hint="default"/>
                <w:lang w:val="en-US" w:eastAsia="zh-CN"/>
              </w:rPr>
              <w:t>/a×30mg/L×10</w:t>
            </w:r>
            <w:r>
              <w:rPr>
                <w:rFonts w:hint="default"/>
                <w:vertAlign w:val="superscript"/>
                <w:lang w:val="en-US" w:eastAsia="zh-CN"/>
              </w:rPr>
              <w:t>-6</w:t>
            </w:r>
            <w:r>
              <w:rPr>
                <w:rFonts w:hint="default"/>
                <w:lang w:val="en-US" w:eastAsia="zh-CN"/>
              </w:rPr>
              <w:t>=</w:t>
            </w:r>
            <w:r>
              <w:rPr>
                <w:rFonts w:hint="eastAsia"/>
                <w:lang w:val="en-US" w:eastAsia="zh-CN"/>
              </w:rPr>
              <w:t>0.0057</w:t>
            </w:r>
            <w:r>
              <w:rPr>
                <w:rFonts w:hint="default"/>
                <w:lang w:val="en-US" w:eastAsia="zh-CN"/>
              </w:rPr>
              <w:t>t/a。</w:t>
            </w:r>
          </w:p>
          <w:p w14:paraId="339E6AE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氨氮最大允许排放量为：</w:t>
            </w:r>
            <w:r>
              <w:rPr>
                <w:rFonts w:hint="eastAsia"/>
                <w:lang w:val="en-US" w:eastAsia="zh-CN"/>
              </w:rPr>
              <w:t>188.64</w:t>
            </w:r>
            <w:r>
              <w:rPr>
                <w:rFonts w:hint="default"/>
                <w:lang w:val="en-US" w:eastAsia="zh-CN"/>
              </w:rPr>
              <w:t>m</w:t>
            </w:r>
            <w:r>
              <w:rPr>
                <w:rFonts w:hint="default"/>
                <w:vertAlign w:val="superscript"/>
                <w:lang w:val="en-US" w:eastAsia="zh-CN"/>
              </w:rPr>
              <w:t>3</w:t>
            </w:r>
            <w:r>
              <w:rPr>
                <w:rFonts w:hint="default"/>
                <w:lang w:val="en-US" w:eastAsia="zh-CN"/>
              </w:rPr>
              <w:t>/a×（1.5mg/L×2/3+2.5mg/L×1/3）×10</w:t>
            </w:r>
            <w:r>
              <w:rPr>
                <w:rFonts w:hint="default"/>
                <w:vertAlign w:val="superscript"/>
                <w:lang w:val="en-US" w:eastAsia="zh-CN"/>
              </w:rPr>
              <w:t>-6</w:t>
            </w:r>
            <w:r>
              <w:rPr>
                <w:rFonts w:hint="default"/>
                <w:lang w:val="en-US" w:eastAsia="zh-CN"/>
              </w:rPr>
              <w:t>=0.000</w:t>
            </w:r>
            <w:r>
              <w:rPr>
                <w:rFonts w:hint="eastAsia"/>
                <w:lang w:val="en-US" w:eastAsia="zh-CN"/>
              </w:rPr>
              <w:t>3</w:t>
            </w:r>
            <w:r>
              <w:rPr>
                <w:rFonts w:hint="default"/>
                <w:lang w:val="en-US" w:eastAsia="zh-CN"/>
              </w:rPr>
              <w:t>t/a。</w:t>
            </w:r>
          </w:p>
          <w:p w14:paraId="3743C8B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则项目水污染物排放量为化学需氧量COD</w:t>
            </w:r>
            <w:r>
              <w:rPr>
                <w:rFonts w:hint="eastAsia"/>
                <w:lang w:val="en-US" w:eastAsia="zh-CN"/>
              </w:rPr>
              <w:t>cr</w:t>
            </w:r>
            <w:r>
              <w:rPr>
                <w:rFonts w:hint="default"/>
                <w:lang w:val="en-US" w:eastAsia="zh-CN"/>
              </w:rPr>
              <w:t>：</w:t>
            </w:r>
            <w:r>
              <w:rPr>
                <w:rFonts w:hint="eastAsia"/>
                <w:lang w:val="en-US" w:eastAsia="zh-CN"/>
              </w:rPr>
              <w:t>0.0057</w:t>
            </w:r>
            <w:r>
              <w:rPr>
                <w:rFonts w:hint="default"/>
                <w:lang w:val="en-US" w:eastAsia="zh-CN"/>
              </w:rPr>
              <w:t>t/a、氨氮：0.000</w:t>
            </w:r>
            <w:r>
              <w:rPr>
                <w:rFonts w:hint="eastAsia"/>
                <w:lang w:val="en-US" w:eastAsia="zh-CN"/>
              </w:rPr>
              <w:t>3</w:t>
            </w:r>
            <w:r>
              <w:rPr>
                <w:rFonts w:hint="default"/>
                <w:lang w:val="en-US" w:eastAsia="zh-CN"/>
              </w:rPr>
              <w:t>t/a。</w:t>
            </w:r>
          </w:p>
          <w:p w14:paraId="34AC6A2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3、总量控制指标</w:t>
            </w:r>
          </w:p>
          <w:p w14:paraId="5417A4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原北京市环境保护局《关于建设项目主要污染物排放总量指标审核及管理的补充通知（京环发[2016]24号）》中的附件1建设项目主要污染物排放总量核算方法：纳入污水管网通过污水处理设施集中处理污水的生活源建设项目水污染物按照该污水处理厂排入地表水体的标准核算排放总量。</w:t>
            </w:r>
          </w:p>
          <w:p w14:paraId="628700C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项目运营期污染物总量控制指标为CODcr：0.0057t/a，氨氮：0.0003t/a。</w:t>
            </w:r>
          </w:p>
          <w:p w14:paraId="3F34411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EA010B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2DC60F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1D41CD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893E7F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8E5FEF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4EE947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953C64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1DF40E5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7D45D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1BF280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251D0EA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51553E7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56F6348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9CE7B6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637BB1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E3B951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35213A4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632D8B5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2BA8AA8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0201DA4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tc>
      </w:tr>
    </w:tbl>
    <w:p w14:paraId="6CCF93F7">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9257D1">
      <w:pPr>
        <w:pStyle w:val="2"/>
        <w:bidi w:val="0"/>
        <w:rPr>
          <w:rFonts w:hint="default"/>
          <w:lang w:val="en-US" w:eastAsia="zh-CN"/>
        </w:rPr>
      </w:pPr>
      <w:r>
        <w:rPr>
          <w:rFonts w:hint="eastAsia"/>
          <w:lang w:val="en-US" w:eastAsia="zh-CN"/>
        </w:rPr>
        <w:t>四、主要环境影响和保护措施</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66F7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223AF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施工期环境保护措施</w:t>
            </w:r>
          </w:p>
        </w:tc>
        <w:tc>
          <w:tcPr>
            <w:tcW w:w="8239" w:type="dxa"/>
            <w:vAlign w:val="center"/>
          </w:tcPr>
          <w:p w14:paraId="7309782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本项目租用现有厂房进行建设，无土建施工，主要工程内容为室内装修及医疗设备、环保设备的安装调试，主要污染源为装修期间的施工扬尘及装修废气、废水、噪声、建筑垃圾。</w:t>
            </w:r>
          </w:p>
          <w:p w14:paraId="0B71329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1、施工废气环境保护措施</w:t>
            </w:r>
          </w:p>
          <w:p w14:paraId="7DC7EE1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（1）施工扬尘</w:t>
            </w:r>
          </w:p>
          <w:p w14:paraId="3C0DC2B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的施工过程中在对厂房现有内部构筑物的拆除、内部装修及建筑材料运输装卸环节将产生少量施工扬尘。扬尘量大小与施工现场条件、管理水平等因素有关。虽然施工过程在室内进行，扬尘不会直接对大气环境造成影响，但在物料堆放、清运建筑垃圾过程中，如果方法不当或管理不严，容容易引起扬尘污染。此外，施工期在物料运输过程中，会造成物料沿路遗撒或风吹起尘。为减少施工扬尘对周边环境的影响，拟采取如下防护措施：</w:t>
            </w:r>
          </w:p>
          <w:p w14:paraId="4C65B2A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①装修产生的建筑垃圾不得露天堆放，并及时清运建筑垃圾；</w:t>
            </w:r>
          </w:p>
          <w:p w14:paraId="6A35A6B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②在对厂房现有内部构筑物的拆除及内部装修等工作时，应关闭厂房门窗并及时清理地面尘土防止扬尘污染；</w:t>
            </w:r>
          </w:p>
          <w:p w14:paraId="062DC8E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③易产生扬尘的细颗粒物，应严密遮盖；运输时要防止遗撒、飞扬，卸运时应采取有效措施以减少扬尘。</w:t>
            </w:r>
          </w:p>
          <w:p w14:paraId="3A9CFE2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（2）装修废气</w:t>
            </w:r>
          </w:p>
          <w:p w14:paraId="2260DF9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过程在使用含有机成分的建筑装修材料时，会产生挥发性有机废气。为减少挥发性有机废气对周边环境的影响，本项目施工期间对挥发性废气予以重点控制，选用环保型低污染涂料，即涂料及装修材料的选取按照国家质检总局颁布的《室内装饰装修材料10项有害物质限量》规定进行，杜绝采用已被淘汰的涂料，同时保证室内足够的通风量，预计装修废气对项目外大气环境影响较小。施工期产生的扬尘和装修废气影响是暂时的，施工结束后便会消失，工程在施工期若采取以上大气污染控制措施，可有效降低施工期对周围大气环境的影响。</w:t>
            </w:r>
          </w:p>
          <w:p w14:paraId="150AE48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2、施工废水环境保护措施</w:t>
            </w:r>
          </w:p>
          <w:p w14:paraId="11DA580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本项目施工期水污染源主要为施工操作废水和现场施工人员产生的生活废水。施工操作废水主要为装修完成后使用墩布对现场地面清洁时产生废水等。据估算，该部分废水产生量约为10m</w:t>
            </w:r>
            <w:r>
              <w:rPr>
                <w:rFonts w:hint="eastAsia"/>
                <w:vertAlign w:val="superscript"/>
                <w:lang w:val="en-US" w:eastAsia="zh-CN"/>
              </w:rPr>
              <w:t>3</w:t>
            </w:r>
            <w:r>
              <w:rPr>
                <w:rFonts w:hint="eastAsia"/>
                <w:lang w:val="en-US" w:eastAsia="zh-CN"/>
              </w:rPr>
              <w:t>。生活废水主要产生于施工人员，按施工人员每人每天用水50L计，污水排放量为用水量的80%，施工人员按5人计，每天排放污水约0.2m</w:t>
            </w:r>
            <w:r>
              <w:rPr>
                <w:rFonts w:hint="eastAsia"/>
                <w:vertAlign w:val="superscript"/>
                <w:lang w:val="en-US" w:eastAsia="zh-CN"/>
              </w:rPr>
              <w:t>3</w:t>
            </w:r>
            <w:r>
              <w:rPr>
                <w:rFonts w:hint="eastAsia"/>
                <w:lang w:val="en-US" w:eastAsia="zh-CN"/>
              </w:rPr>
              <w:t>/d。按施工期30天计算，施工期共产生生活废水6m</w:t>
            </w:r>
            <w:r>
              <w:rPr>
                <w:rFonts w:hint="eastAsia"/>
                <w:vertAlign w:val="superscript"/>
                <w:lang w:val="en-US" w:eastAsia="zh-CN"/>
              </w:rPr>
              <w:t>3</w:t>
            </w:r>
            <w:r>
              <w:rPr>
                <w:rFonts w:hint="eastAsia"/>
                <w:lang w:val="en-US" w:eastAsia="zh-CN"/>
              </w:rPr>
              <w:t>。</w:t>
            </w:r>
          </w:p>
          <w:p w14:paraId="0B45DC8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产生的废水不得随意排放，其中，地面清洁时清洗墩布产生的废水经墩布池收集后进入院区排水管网，施工人员盥洗、如厕使用所在建筑现有卫生间。项目施工期产生的地面清洁废水及施工人员生活废水最终排入市政污水管网，不会对当地水环境产生较大影响。</w:t>
            </w:r>
          </w:p>
          <w:p w14:paraId="69F82C1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3、施工噪声环境保护措施</w:t>
            </w:r>
          </w:p>
          <w:p w14:paraId="680E8D0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施工期间噪声主要为厂房整修工程及设备安装过程中各种施工设备运行噪声，如电锯、钻、打磨机等，为非连续式噪声。项目施工期设备噪声将会对周围环境噪声产生严重影响，噪声强度为75~100db（A）。</w:t>
            </w:r>
          </w:p>
          <w:p w14:paraId="2F0FFFD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为减少施工噪声对环境的影响，建设单位应采取必要的降噪措施：</w:t>
            </w:r>
          </w:p>
          <w:p w14:paraId="4F46EC2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①</w:t>
            </w:r>
            <w:r>
              <w:rPr>
                <w:rFonts w:hint="eastAsia"/>
                <w:lang w:val="en-US" w:eastAsia="zh-CN"/>
              </w:rPr>
              <w:t>降低人为噪声，按规定操作机械设备，尽量少用哨子、钟、笛等指挥作业，而代以现代化设备；模板、支架拆卸过程中，遵守作业规定，减少作业规定，减少碰撞噪声；</w:t>
            </w:r>
          </w:p>
          <w:p w14:paraId="6A16C2E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②</w:t>
            </w:r>
            <w:r>
              <w:rPr>
                <w:rFonts w:hint="eastAsia"/>
                <w:lang w:val="en-US" w:eastAsia="zh-CN"/>
              </w:rPr>
              <w:t>选用低噪声设备；</w:t>
            </w:r>
          </w:p>
          <w:p w14:paraId="26C4062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③</w:t>
            </w:r>
            <w:r>
              <w:rPr>
                <w:rFonts w:hint="eastAsia"/>
                <w:lang w:val="en-US" w:eastAsia="zh-CN"/>
              </w:rPr>
              <w:t>减轻设备振动；</w:t>
            </w:r>
          </w:p>
          <w:p w14:paraId="502C9BE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④</w:t>
            </w:r>
            <w:r>
              <w:rPr>
                <w:rFonts w:hint="eastAsia"/>
                <w:lang w:val="en-US" w:eastAsia="zh-CN"/>
              </w:rPr>
              <w:t>合理安排施工作业时间，尽量避免高噪声设备同时使用，尽量缩短高噪声设备的使用时间，不在午间、夜间等噪声敏感时段进行高噪声作业；</w:t>
            </w:r>
          </w:p>
          <w:p w14:paraId="57A4B2B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⑤</w:t>
            </w:r>
            <w:r>
              <w:rPr>
                <w:rFonts w:hint="eastAsia"/>
                <w:lang w:val="en-US" w:eastAsia="zh-CN"/>
              </w:rPr>
              <w:t>使用高噪声装修设备时尽量关闭门窗，减少对外环境的影响。</w:t>
            </w:r>
          </w:p>
          <w:p w14:paraId="4B4A418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施工期噪声将随着施工作业的结束而消失，噪声影响是短期的。在严格执行噪声控制措施的情况下，施工期噪声影响在短期内是可以接受的，对周边声环境的影响较小。</w:t>
            </w:r>
          </w:p>
          <w:p w14:paraId="3F2F550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4、固体废物环境保护措施</w:t>
            </w:r>
          </w:p>
          <w:p w14:paraId="6808A4E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施工期间固体废物主要为施工产生的建筑垃圾及生活垃圾。</w:t>
            </w:r>
          </w:p>
          <w:p w14:paraId="0DB27F3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施工期产生的建筑垃圾来自于施工过程产生的拆除物和建筑废料，应运往指定的垃圾处理场所处理、消纳，施工场地应设置施工垃圾临时存放处。生活垃圾主要为现场施工人员产生的日常生活垃圾，产生量平均每人每天0.2kg左右，每天平均施工人数约为5人，则施工期日产生活垃圾1kg。施工场地按照垃圾分类要求设置垃圾桶，施工人员应根据生活垃圾分类要求进行垃圾投放，生活垃圾最终由环卫部门定期清运。</w:t>
            </w:r>
          </w:p>
          <w:p w14:paraId="02B8913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本项目施工期产生的固体废物组成成分相对简单，固体废物均能得到妥善处置。因此本项目施工中产生的固体废物对当地环境影响较小。</w:t>
            </w:r>
          </w:p>
          <w:p w14:paraId="48B7448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综上所述，施工期的环境影响是短期的，建设项目施工阶段完成后，对周边的影响可消除。由于施工期环境影响受人为和自然条件的影响较大，因此应加强对施工现场的管理，遵守北京市的有关规定（如：《北京市建设工程施工现场管理办法》和《绿色施工管理规程》），并认真落实以上提出的各项污染防治措施，坚持文明施工，接受城管部门的监督，最大限度地减少施工期间对周围环境的影响。</w:t>
            </w:r>
          </w:p>
        </w:tc>
      </w:tr>
      <w:tr w14:paraId="7308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14:paraId="5D4F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vertAlign w:val="baseline"/>
                <w:lang w:val="en-US" w:eastAsia="zh-CN"/>
              </w:rPr>
            </w:pPr>
            <w:r>
              <w:rPr>
                <w:rFonts w:hint="eastAsia" w:cs="Times New Roman"/>
                <w:sz w:val="24"/>
                <w:szCs w:val="24"/>
                <w:vertAlign w:val="baseline"/>
                <w:lang w:val="en-US" w:eastAsia="zh-CN"/>
              </w:rPr>
              <w:t>运营期环境影响和保护措施</w:t>
            </w:r>
          </w:p>
        </w:tc>
        <w:tc>
          <w:tcPr>
            <w:tcW w:w="8239" w:type="dxa"/>
            <w:vAlign w:val="center"/>
          </w:tcPr>
          <w:p w14:paraId="47998F5C">
            <w:pPr>
              <w:keepNext w:val="0"/>
              <w:keepLines/>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1、大气环境影响分析</w:t>
            </w:r>
          </w:p>
          <w:p w14:paraId="78CD402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（1）污染物分析</w:t>
            </w:r>
          </w:p>
          <w:p w14:paraId="2573519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运营期间，项目无燃煤、燃油、燃气设施，不设食堂；冬季供暖由市政热力提供，夏季制冷由自备空调提供。本项目诊疗及美容洗浴废水采用一体化污水消毒设施，封闭设计，无开放水面，其主要工艺为消毒，无生化工艺，项目污水处理工艺无废气排放。化验室化验环节均使用仪器设备及对动物血、尿等进行常规化验。化验过程不涉及使用化学试剂，全部为试纸或采购的各类试剂盒。故无化验废气产生、无化验试剂等危险废物产生。</w:t>
            </w:r>
          </w:p>
          <w:p w14:paraId="7ABF995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本项目运行后接诊的动物全部为猫、狗等家庭小动物，其自身及粪便等会产生少量NH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S等异味。报告中以H</w:t>
            </w:r>
            <w:r>
              <w:rPr>
                <w:rFonts w:hint="eastAsia"/>
                <w:sz w:val="24"/>
                <w:szCs w:val="24"/>
                <w:vertAlign w:val="subscript"/>
                <w:lang w:val="en-US" w:eastAsia="zh-CN"/>
              </w:rPr>
              <w:t>2</w:t>
            </w:r>
            <w:r>
              <w:rPr>
                <w:rFonts w:hint="eastAsia"/>
                <w:sz w:val="24"/>
                <w:szCs w:val="24"/>
                <w:lang w:val="en-US" w:eastAsia="zh-CN"/>
              </w:rPr>
              <w:t>S、NH</w:t>
            </w:r>
            <w:r>
              <w:rPr>
                <w:rFonts w:hint="eastAsia"/>
                <w:sz w:val="24"/>
                <w:szCs w:val="24"/>
                <w:vertAlign w:val="subscript"/>
                <w:lang w:val="en-US" w:eastAsia="zh-CN"/>
              </w:rPr>
              <w:t>3</w:t>
            </w:r>
            <w:r>
              <w:rPr>
                <w:rFonts w:hint="eastAsia"/>
                <w:sz w:val="24"/>
                <w:szCs w:val="24"/>
                <w:lang w:val="en-US" w:eastAsia="zh-CN"/>
              </w:rPr>
              <w:t>、臭气浓度作为污染物因子进行分析计算和评价。</w:t>
            </w:r>
          </w:p>
          <w:p w14:paraId="18092FC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（2）治理措施</w:t>
            </w:r>
          </w:p>
          <w:p w14:paraId="5CF68D6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项目设置1套排风系统，房间内吊顶上方的排风管道设置吸风口收集异味。主排风管道中安装1套活性炭净化</w:t>
            </w:r>
            <w:r>
              <w:rPr>
                <w:rFonts w:hint="eastAsia"/>
                <w:sz w:val="24"/>
                <w:szCs w:val="24"/>
                <w:highlight w:val="none"/>
                <w:lang w:val="en-US" w:eastAsia="zh-CN"/>
              </w:rPr>
              <w:t>装置及排风机（位于医院西南侧猫住院房上方的吊顶内）。废气异味经吸附净</w:t>
            </w:r>
            <w:r>
              <w:rPr>
                <w:rFonts w:hint="eastAsia"/>
                <w:sz w:val="24"/>
                <w:szCs w:val="24"/>
                <w:lang w:val="en-US" w:eastAsia="zh-CN"/>
              </w:rPr>
              <w:t>化后通过位于项目所在建筑一层南侧外墙的排风口排放至室外。此外，建设单位可以通过加强管理，从污染源头减少异味散发。例如将需要留观或等候的动物置于动物笼中，笼子下方放置猫砂托盘或尿垫等。动物粪尿被猫砂、尿垫吸收包裹后及时由医护人员清理并装入专门的密封袋中密封保存，将动物粪尿散发的恶臭降至最低。在运营期工作时段内，对各科室均采取关闭门窗。对手术室、诊室等医院各房间，以及宠物笼等设施及时清洁、清理。并喷洒空气清新剂、除臭剂等清除、覆盖异味，进一步避免异味废气逸散造成对周围住宅居民等环境保护目标的影响。</w:t>
            </w:r>
          </w:p>
          <w:p w14:paraId="1585147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本项目排放的废气为动物异味，采用的活性炭吸附工艺属于《排污许可证申请与核发技术规范 总则》（HJ942-2018）中所列的恶臭废气治理可行技术。项目采取的废气治理措施可行。</w:t>
            </w:r>
          </w:p>
          <w:p w14:paraId="3F706C5D">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（3）环境影响分析</w:t>
            </w:r>
          </w:p>
          <w:p w14:paraId="1E781CF9">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1）异味废气浓度</w:t>
            </w:r>
          </w:p>
          <w:p w14:paraId="59283433">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异味废气排放浓度类比北京艾妮动物医院有限公司废气监测数据。该动物医院经营内容、采取的污染物防治措施等均与本项目相同。其每日接待病例（猫、狗）约20例/日，本项目与其接诊规模相近。具有可类比性。</w:t>
            </w:r>
          </w:p>
          <w:p w14:paraId="204D6471">
            <w:pPr>
              <w:pStyle w:val="11"/>
              <w:bidi w:val="0"/>
              <w:rPr>
                <w:rFonts w:hint="default"/>
                <w:lang w:val="en-US" w:eastAsia="zh-CN"/>
              </w:rPr>
            </w:pPr>
            <w:r>
              <w:rPr>
                <w:rFonts w:hint="eastAsia"/>
                <w:lang w:val="en-US" w:eastAsia="zh-CN"/>
              </w:rPr>
              <w:t>表4-1 类比项目与本项目运行情况一览表</w:t>
            </w:r>
          </w:p>
          <w:tbl>
            <w:tblPr>
              <w:tblStyle w:val="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2795"/>
              <w:gridCol w:w="2796"/>
              <w:gridCol w:w="928"/>
            </w:tblGrid>
            <w:tr w14:paraId="53C08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69E0F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项目</w:t>
                  </w:r>
                </w:p>
              </w:tc>
              <w:tc>
                <w:tcPr>
                  <w:tcW w:w="2795" w:type="dxa"/>
                  <w:tcBorders>
                    <w:tl2br w:val="nil"/>
                    <w:tr2bl w:val="nil"/>
                  </w:tcBorders>
                  <w:vAlign w:val="center"/>
                </w:tcPr>
                <w:p w14:paraId="7C403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类比项目</w:t>
                  </w:r>
                </w:p>
              </w:tc>
              <w:tc>
                <w:tcPr>
                  <w:tcW w:w="2796" w:type="dxa"/>
                  <w:tcBorders>
                    <w:tl2br w:val="nil"/>
                    <w:tr2bl w:val="nil"/>
                  </w:tcBorders>
                  <w:vAlign w:val="center"/>
                </w:tcPr>
                <w:p w14:paraId="50722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本项目</w:t>
                  </w:r>
                </w:p>
              </w:tc>
              <w:tc>
                <w:tcPr>
                  <w:tcW w:w="928" w:type="dxa"/>
                  <w:tcBorders>
                    <w:tl2br w:val="nil"/>
                    <w:tr2bl w:val="nil"/>
                  </w:tcBorders>
                  <w:vAlign w:val="center"/>
                </w:tcPr>
                <w:p w14:paraId="5F938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类比性分析</w:t>
                  </w:r>
                </w:p>
              </w:tc>
            </w:tr>
            <w:tr w14:paraId="4D0E0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1FF063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性质</w:t>
                  </w:r>
                </w:p>
              </w:tc>
              <w:tc>
                <w:tcPr>
                  <w:tcW w:w="2795" w:type="dxa"/>
                  <w:tcBorders>
                    <w:tl2br w:val="nil"/>
                    <w:tr2bl w:val="nil"/>
                  </w:tcBorders>
                  <w:vAlign w:val="center"/>
                </w:tcPr>
                <w:p w14:paraId="69B0A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新建动物医院</w:t>
                  </w:r>
                </w:p>
              </w:tc>
              <w:tc>
                <w:tcPr>
                  <w:tcW w:w="2796" w:type="dxa"/>
                  <w:tcBorders>
                    <w:tl2br w:val="nil"/>
                    <w:tr2bl w:val="nil"/>
                  </w:tcBorders>
                  <w:vAlign w:val="center"/>
                </w:tcPr>
                <w:p w14:paraId="49FEC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新建动物医院</w:t>
                  </w:r>
                </w:p>
              </w:tc>
              <w:tc>
                <w:tcPr>
                  <w:tcW w:w="928" w:type="dxa"/>
                  <w:tcBorders>
                    <w:tl2br w:val="nil"/>
                    <w:tr2bl w:val="nil"/>
                  </w:tcBorders>
                  <w:vAlign w:val="center"/>
                </w:tcPr>
                <w:p w14:paraId="2BF9C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相同</w:t>
                  </w:r>
                </w:p>
              </w:tc>
            </w:tr>
            <w:tr w14:paraId="46898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0E1A1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主要经营内容</w:t>
                  </w:r>
                </w:p>
              </w:tc>
              <w:tc>
                <w:tcPr>
                  <w:tcW w:w="2795" w:type="dxa"/>
                  <w:tcBorders>
                    <w:tl2br w:val="nil"/>
                    <w:tr2bl w:val="nil"/>
                  </w:tcBorders>
                  <w:vAlign w:val="center"/>
                </w:tcPr>
                <w:p w14:paraId="388A5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动物美容洗浴、诊疗及手术（含三腔手术）</w:t>
                  </w:r>
                </w:p>
              </w:tc>
              <w:tc>
                <w:tcPr>
                  <w:tcW w:w="2796" w:type="dxa"/>
                  <w:tcBorders>
                    <w:tl2br w:val="nil"/>
                    <w:tr2bl w:val="nil"/>
                  </w:tcBorders>
                  <w:vAlign w:val="center"/>
                </w:tcPr>
                <w:p w14:paraId="67712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动物美容洗浴、诊疗及手术（含三腔手术）</w:t>
                  </w:r>
                </w:p>
              </w:tc>
              <w:tc>
                <w:tcPr>
                  <w:tcW w:w="928" w:type="dxa"/>
                  <w:tcBorders>
                    <w:tl2br w:val="nil"/>
                    <w:tr2bl w:val="nil"/>
                  </w:tcBorders>
                  <w:vAlign w:val="center"/>
                </w:tcPr>
                <w:p w14:paraId="77A4A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相同</w:t>
                  </w:r>
                </w:p>
              </w:tc>
            </w:tr>
            <w:tr w14:paraId="70F44E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214AC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接诊类型</w:t>
                  </w:r>
                </w:p>
              </w:tc>
              <w:tc>
                <w:tcPr>
                  <w:tcW w:w="2795" w:type="dxa"/>
                  <w:tcBorders>
                    <w:tl2br w:val="nil"/>
                    <w:tr2bl w:val="nil"/>
                  </w:tcBorders>
                  <w:vAlign w:val="center"/>
                </w:tcPr>
                <w:p w14:paraId="0B081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接待猫、狗动物20例/日</w:t>
                  </w:r>
                </w:p>
              </w:tc>
              <w:tc>
                <w:tcPr>
                  <w:tcW w:w="2796" w:type="dxa"/>
                  <w:tcBorders>
                    <w:tl2br w:val="nil"/>
                    <w:tr2bl w:val="nil"/>
                  </w:tcBorders>
                  <w:vAlign w:val="center"/>
                </w:tcPr>
                <w:p w14:paraId="20001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接待猫、狗动物16例/日</w:t>
                  </w:r>
                </w:p>
              </w:tc>
              <w:tc>
                <w:tcPr>
                  <w:tcW w:w="928" w:type="dxa"/>
                  <w:tcBorders>
                    <w:tl2br w:val="nil"/>
                    <w:tr2bl w:val="nil"/>
                  </w:tcBorders>
                  <w:vAlign w:val="center"/>
                </w:tcPr>
                <w:p w14:paraId="7BCA5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相近</w:t>
                  </w:r>
                </w:p>
              </w:tc>
            </w:tr>
            <w:tr w14:paraId="4C63C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7E6C5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工作时间</w:t>
                  </w:r>
                </w:p>
              </w:tc>
              <w:tc>
                <w:tcPr>
                  <w:tcW w:w="2795" w:type="dxa"/>
                  <w:tcBorders>
                    <w:tl2br w:val="nil"/>
                    <w:tr2bl w:val="nil"/>
                  </w:tcBorders>
                  <w:vAlign w:val="center"/>
                </w:tcPr>
                <w:p w14:paraId="18926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年运行350天</w:t>
                  </w:r>
                </w:p>
              </w:tc>
              <w:tc>
                <w:tcPr>
                  <w:tcW w:w="2796" w:type="dxa"/>
                  <w:tcBorders>
                    <w:tl2br w:val="nil"/>
                    <w:tr2bl w:val="nil"/>
                  </w:tcBorders>
                  <w:vAlign w:val="center"/>
                </w:tcPr>
                <w:p w14:paraId="00B71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年运行240天</w:t>
                  </w:r>
                </w:p>
              </w:tc>
              <w:tc>
                <w:tcPr>
                  <w:tcW w:w="928" w:type="dxa"/>
                  <w:tcBorders>
                    <w:tl2br w:val="nil"/>
                    <w:tr2bl w:val="nil"/>
                  </w:tcBorders>
                  <w:vAlign w:val="center"/>
                </w:tcPr>
                <w:p w14:paraId="6C00E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相近</w:t>
                  </w:r>
                </w:p>
              </w:tc>
            </w:tr>
            <w:tr w14:paraId="19410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dxa"/>
                  <w:tcBorders>
                    <w:tl2br w:val="nil"/>
                    <w:tr2bl w:val="nil"/>
                  </w:tcBorders>
                  <w:vAlign w:val="center"/>
                </w:tcPr>
                <w:p w14:paraId="4110F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废气主要治理措施</w:t>
                  </w:r>
                </w:p>
              </w:tc>
              <w:tc>
                <w:tcPr>
                  <w:tcW w:w="2795" w:type="dxa"/>
                  <w:tcBorders>
                    <w:tl2br w:val="nil"/>
                    <w:tr2bl w:val="nil"/>
                  </w:tcBorders>
                  <w:vAlign w:val="center"/>
                </w:tcPr>
                <w:p w14:paraId="59066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定时清理房间和宠物笼，喷洒除臭剂。采取活性炭吸附净化，异味无组织排放</w:t>
                  </w:r>
                </w:p>
              </w:tc>
              <w:tc>
                <w:tcPr>
                  <w:tcW w:w="2796" w:type="dxa"/>
                  <w:tcBorders>
                    <w:tl2br w:val="nil"/>
                    <w:tr2bl w:val="nil"/>
                  </w:tcBorders>
                  <w:vAlign w:val="center"/>
                </w:tcPr>
                <w:p w14:paraId="5D6A7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定时清理房间和宠物笼，喷洒除臭剂。采取活性炭吸附净化，异味无组织排放</w:t>
                  </w:r>
                </w:p>
              </w:tc>
              <w:tc>
                <w:tcPr>
                  <w:tcW w:w="928" w:type="dxa"/>
                  <w:tcBorders>
                    <w:tl2br w:val="nil"/>
                    <w:tr2bl w:val="nil"/>
                  </w:tcBorders>
                  <w:vAlign w:val="center"/>
                </w:tcPr>
                <w:p w14:paraId="1A1EE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相同</w:t>
                  </w:r>
                </w:p>
              </w:tc>
            </w:tr>
          </w:tbl>
          <w:p w14:paraId="77F4CDBD">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根据北京艾妮动物医院有限公司废气监测报告（（WHZ检）字（2021）第1221-1499号），该医院周界废气监测数据为：NH</w:t>
            </w:r>
            <w:r>
              <w:rPr>
                <w:rFonts w:hint="eastAsia"/>
                <w:sz w:val="24"/>
                <w:szCs w:val="24"/>
                <w:vertAlign w:val="subscript"/>
                <w:lang w:val="en-US" w:eastAsia="zh-CN"/>
              </w:rPr>
              <w:t>3</w:t>
            </w:r>
            <w:r>
              <w:rPr>
                <w:rFonts w:hint="eastAsia"/>
                <w:sz w:val="24"/>
                <w:szCs w:val="24"/>
                <w:lang w:val="en-US" w:eastAsia="zh-CN"/>
              </w:rPr>
              <w:t>最大浓度为0.02mg/m</w:t>
            </w:r>
            <w:r>
              <w:rPr>
                <w:rFonts w:hint="eastAsia"/>
                <w:sz w:val="24"/>
                <w:szCs w:val="24"/>
                <w:vertAlign w:val="super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S浓度0.003mg/m</w:t>
            </w:r>
            <w:r>
              <w:rPr>
                <w:rFonts w:hint="eastAsia"/>
                <w:sz w:val="24"/>
                <w:szCs w:val="24"/>
                <w:vertAlign w:val="superscript"/>
                <w:lang w:val="en-US" w:eastAsia="zh-CN"/>
              </w:rPr>
              <w:t>3</w:t>
            </w:r>
            <w:r>
              <w:rPr>
                <w:rFonts w:hint="eastAsia"/>
                <w:sz w:val="24"/>
                <w:szCs w:val="24"/>
                <w:lang w:val="en-US" w:eastAsia="zh-CN"/>
              </w:rPr>
              <w:t>；臭气浓度（无量纲）均小于10。</w:t>
            </w:r>
          </w:p>
          <w:p w14:paraId="1E5E9A6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拟对异味净化采取安装活性炭吸附装置，净化后的异味废气通过位于建筑一层南侧外墙的出风口无组织排出室外。根据《活性炭吸附法治理恶臭污染》，并结合项目实际运行情况，活性炭效率取60%。经计算，项目异味废气中各项污染物产生及排放情况如下表所示。</w:t>
            </w:r>
          </w:p>
          <w:p w14:paraId="38527EAE">
            <w:pPr>
              <w:pStyle w:val="11"/>
              <w:bidi w:val="0"/>
              <w:rPr>
                <w:rFonts w:hint="default"/>
                <w:lang w:val="en-US" w:eastAsia="zh-CN"/>
              </w:rPr>
            </w:pPr>
            <w:r>
              <w:rPr>
                <w:rFonts w:hint="eastAsia"/>
                <w:lang w:val="en-US" w:eastAsia="zh-CN"/>
              </w:rPr>
              <w:t>表4-2 项目废气排放情况汇总表（臭气浓度无量纲）</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77"/>
              <w:gridCol w:w="1432"/>
              <w:gridCol w:w="1227"/>
              <w:gridCol w:w="2427"/>
              <w:gridCol w:w="1181"/>
            </w:tblGrid>
            <w:tr w14:paraId="75B6D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6F33B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077" w:type="dxa"/>
                  <w:tcBorders>
                    <w:tl2br w:val="nil"/>
                    <w:tr2bl w:val="nil"/>
                  </w:tcBorders>
                  <w:vAlign w:val="center"/>
                </w:tcPr>
                <w:p w14:paraId="4F6B0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污染源</w:t>
                  </w:r>
                </w:p>
              </w:tc>
              <w:tc>
                <w:tcPr>
                  <w:tcW w:w="1432" w:type="dxa"/>
                  <w:tcBorders>
                    <w:tl2br w:val="nil"/>
                    <w:tr2bl w:val="nil"/>
                  </w:tcBorders>
                  <w:vAlign w:val="center"/>
                </w:tcPr>
                <w:p w14:paraId="7C7BE6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1227" w:type="dxa"/>
                  <w:tcBorders>
                    <w:tl2br w:val="nil"/>
                    <w:tr2bl w:val="nil"/>
                  </w:tcBorders>
                  <w:vAlign w:val="center"/>
                </w:tcPr>
                <w:p w14:paraId="42192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排放方式</w:t>
                  </w:r>
                </w:p>
              </w:tc>
              <w:tc>
                <w:tcPr>
                  <w:tcW w:w="2427" w:type="dxa"/>
                  <w:tcBorders>
                    <w:tl2br w:val="nil"/>
                    <w:tr2bl w:val="nil"/>
                  </w:tcBorders>
                  <w:vAlign w:val="center"/>
                </w:tcPr>
                <w:p w14:paraId="413533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类比项目实测排放浓度</w:t>
                  </w:r>
                </w:p>
              </w:tc>
              <w:tc>
                <w:tcPr>
                  <w:tcW w:w="1181" w:type="dxa"/>
                  <w:tcBorders>
                    <w:tl2br w:val="nil"/>
                    <w:tr2bl w:val="nil"/>
                  </w:tcBorders>
                  <w:vAlign w:val="center"/>
                </w:tcPr>
                <w:p w14:paraId="1D9D8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排放标准</w:t>
                  </w:r>
                </w:p>
              </w:tc>
            </w:tr>
            <w:tr w14:paraId="5F5AA4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313C08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077" w:type="dxa"/>
                  <w:vMerge w:val="restart"/>
                  <w:tcBorders>
                    <w:tl2br w:val="nil"/>
                    <w:tr2bl w:val="nil"/>
                  </w:tcBorders>
                  <w:vAlign w:val="center"/>
                </w:tcPr>
                <w:p w14:paraId="22D72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就诊动物</w:t>
                  </w:r>
                </w:p>
              </w:tc>
              <w:tc>
                <w:tcPr>
                  <w:tcW w:w="1432" w:type="dxa"/>
                  <w:tcBorders>
                    <w:tl2br w:val="nil"/>
                    <w:tr2bl w:val="nil"/>
                  </w:tcBorders>
                  <w:vAlign w:val="center"/>
                </w:tcPr>
                <w:p w14:paraId="46E1B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227" w:type="dxa"/>
                  <w:vMerge w:val="restart"/>
                  <w:tcBorders>
                    <w:tl2br w:val="nil"/>
                    <w:tr2bl w:val="nil"/>
                  </w:tcBorders>
                  <w:vAlign w:val="center"/>
                </w:tcPr>
                <w:p w14:paraId="32C5FA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2427" w:type="dxa"/>
                  <w:tcBorders>
                    <w:tl2br w:val="nil"/>
                    <w:tr2bl w:val="nil"/>
                  </w:tcBorders>
                  <w:vAlign w:val="center"/>
                </w:tcPr>
                <w:p w14:paraId="6C8F1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0.003mg/m</w:t>
                  </w:r>
                  <w:r>
                    <w:rPr>
                      <w:rFonts w:hint="eastAsia"/>
                      <w:sz w:val="21"/>
                      <w:szCs w:val="21"/>
                      <w:vertAlign w:val="superscript"/>
                      <w:lang w:val="en-US" w:eastAsia="zh-CN"/>
                    </w:rPr>
                    <w:t>3</w:t>
                  </w:r>
                </w:p>
              </w:tc>
              <w:tc>
                <w:tcPr>
                  <w:tcW w:w="1181" w:type="dxa"/>
                  <w:tcBorders>
                    <w:tl2br w:val="nil"/>
                    <w:tr2bl w:val="nil"/>
                  </w:tcBorders>
                  <w:vAlign w:val="center"/>
                </w:tcPr>
                <w:p w14:paraId="0185B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0.01mg/m</w:t>
                  </w:r>
                  <w:r>
                    <w:rPr>
                      <w:rFonts w:hint="eastAsia"/>
                      <w:sz w:val="21"/>
                      <w:szCs w:val="21"/>
                      <w:vertAlign w:val="superscript"/>
                      <w:lang w:val="en-US" w:eastAsia="zh-CN"/>
                    </w:rPr>
                    <w:t>3</w:t>
                  </w:r>
                </w:p>
              </w:tc>
            </w:tr>
            <w:tr w14:paraId="190BA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4D440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077" w:type="dxa"/>
                  <w:vMerge w:val="continue"/>
                  <w:tcBorders>
                    <w:tl2br w:val="nil"/>
                    <w:tr2bl w:val="nil"/>
                  </w:tcBorders>
                  <w:vAlign w:val="center"/>
                </w:tcPr>
                <w:p w14:paraId="182E9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432" w:type="dxa"/>
                  <w:tcBorders>
                    <w:tl2br w:val="nil"/>
                    <w:tr2bl w:val="nil"/>
                  </w:tcBorders>
                  <w:vAlign w:val="center"/>
                </w:tcPr>
                <w:p w14:paraId="1A339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227" w:type="dxa"/>
                  <w:vMerge w:val="continue"/>
                  <w:tcBorders>
                    <w:tl2br w:val="nil"/>
                    <w:tr2bl w:val="nil"/>
                  </w:tcBorders>
                  <w:vAlign w:val="center"/>
                </w:tcPr>
                <w:p w14:paraId="50952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2427" w:type="dxa"/>
                  <w:tcBorders>
                    <w:tl2br w:val="nil"/>
                    <w:tr2bl w:val="nil"/>
                  </w:tcBorders>
                  <w:vAlign w:val="center"/>
                </w:tcPr>
                <w:p w14:paraId="68D06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0.03mg/m</w:t>
                  </w:r>
                  <w:r>
                    <w:rPr>
                      <w:rFonts w:hint="eastAsia"/>
                      <w:sz w:val="21"/>
                      <w:szCs w:val="21"/>
                      <w:vertAlign w:val="superscript"/>
                      <w:lang w:val="en-US" w:eastAsia="zh-CN"/>
                    </w:rPr>
                    <w:t>3</w:t>
                  </w:r>
                </w:p>
              </w:tc>
              <w:tc>
                <w:tcPr>
                  <w:tcW w:w="1181" w:type="dxa"/>
                  <w:tcBorders>
                    <w:tl2br w:val="nil"/>
                    <w:tr2bl w:val="nil"/>
                  </w:tcBorders>
                  <w:vAlign w:val="center"/>
                </w:tcPr>
                <w:p w14:paraId="05629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0.2mg/m</w:t>
                  </w:r>
                  <w:r>
                    <w:rPr>
                      <w:rFonts w:hint="eastAsia"/>
                      <w:sz w:val="21"/>
                      <w:szCs w:val="21"/>
                      <w:vertAlign w:val="superscript"/>
                      <w:lang w:val="en-US" w:eastAsia="zh-CN"/>
                    </w:rPr>
                    <w:t>3</w:t>
                  </w:r>
                </w:p>
              </w:tc>
            </w:tr>
            <w:tr w14:paraId="248509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tl2br w:val="nil"/>
                    <w:tr2bl w:val="nil"/>
                  </w:tcBorders>
                  <w:vAlign w:val="center"/>
                </w:tcPr>
                <w:p w14:paraId="54740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1077" w:type="dxa"/>
                  <w:vMerge w:val="continue"/>
                  <w:tcBorders>
                    <w:tl2br w:val="nil"/>
                    <w:tr2bl w:val="nil"/>
                  </w:tcBorders>
                  <w:vAlign w:val="center"/>
                </w:tcPr>
                <w:p w14:paraId="32A6A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432" w:type="dxa"/>
                  <w:tcBorders>
                    <w:tl2br w:val="nil"/>
                    <w:tr2bl w:val="nil"/>
                  </w:tcBorders>
                  <w:vAlign w:val="center"/>
                </w:tcPr>
                <w:p w14:paraId="7131D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臭气浓度</w:t>
                  </w:r>
                </w:p>
                <w:p w14:paraId="701E4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（无量纲）</w:t>
                  </w:r>
                </w:p>
              </w:tc>
              <w:tc>
                <w:tcPr>
                  <w:tcW w:w="1227" w:type="dxa"/>
                  <w:vMerge w:val="continue"/>
                  <w:tcBorders>
                    <w:tl2br w:val="nil"/>
                    <w:tr2bl w:val="nil"/>
                  </w:tcBorders>
                  <w:vAlign w:val="center"/>
                </w:tcPr>
                <w:p w14:paraId="33754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2427" w:type="dxa"/>
                  <w:tcBorders>
                    <w:tl2br w:val="nil"/>
                    <w:tr2bl w:val="nil"/>
                  </w:tcBorders>
                  <w:vAlign w:val="center"/>
                </w:tcPr>
                <w:p w14:paraId="5C777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1181" w:type="dxa"/>
                  <w:tcBorders>
                    <w:tl2br w:val="nil"/>
                    <w:tr2bl w:val="nil"/>
                  </w:tcBorders>
                  <w:vAlign w:val="center"/>
                </w:tcPr>
                <w:p w14:paraId="0CEE7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r>
          </w:tbl>
          <w:p w14:paraId="0D354EC9">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2）异味气体产生量</w:t>
            </w:r>
          </w:p>
          <w:p w14:paraId="3AB887F7">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项目异味无组织排放，无法根据浓度数据进行污染物产生及排放量的计算。本次环评引用《环境统计手册》（四川科学技术出版社，方品贤、江欣、奚元福著）中第四章第二节无组织排放废气量的计算。</w:t>
            </w:r>
          </w:p>
          <w:p w14:paraId="51391A86">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sz w:val="24"/>
                <w:szCs w:val="24"/>
                <w:lang w:val="en-US" w:eastAsia="zh-CN"/>
              </w:rPr>
            </w:pPr>
            <m:oMathPara>
              <m:oMath>
                <m:sSub>
                  <m:sSubPr>
                    <m:ctrlPr>
                      <w:rPr>
                        <w:rFonts w:ascii="Cambria Math" w:hAnsi="Cambria Math"/>
                        <w:i/>
                        <w:sz w:val="24"/>
                        <w:szCs w:val="24"/>
                        <w:lang w:val="en-US"/>
                      </w:rPr>
                    </m:ctrlPr>
                  </m:sSubPr>
                  <m:e>
                    <m:r>
                      <m:rPr/>
                      <w:rPr>
                        <w:rFonts w:hint="default" w:ascii="Cambria Math" w:hAnsi="Cambria Math"/>
                        <w:sz w:val="24"/>
                        <w:szCs w:val="24"/>
                        <w:lang w:val="en-US" w:eastAsia="zh-CN"/>
                      </w:rPr>
                      <m:t>G</m:t>
                    </m:r>
                    <m:ctrlPr>
                      <w:rPr>
                        <w:rFonts w:ascii="Cambria Math" w:hAnsi="Cambria Math"/>
                        <w:i/>
                        <w:sz w:val="24"/>
                        <w:szCs w:val="24"/>
                        <w:lang w:val="en-US"/>
                      </w:rPr>
                    </m:ctrlPr>
                  </m:e>
                  <m:sub>
                    <m:r>
                      <m:rPr/>
                      <w:rPr>
                        <w:rFonts w:hint="default" w:ascii="Cambria Math" w:hAnsi="Cambria Math"/>
                        <w:sz w:val="24"/>
                        <w:szCs w:val="24"/>
                        <w:lang w:val="en-US" w:eastAsia="zh-CN"/>
                      </w:rPr>
                      <m:t>s</m:t>
                    </m:r>
                    <m:ctrlPr>
                      <w:rPr>
                        <w:rFonts w:ascii="Cambria Math" w:hAnsi="Cambria Math"/>
                        <w:i/>
                        <w:sz w:val="24"/>
                        <w:szCs w:val="24"/>
                        <w:lang w:val="en-US"/>
                      </w:rPr>
                    </m:ctrlPr>
                  </m:sub>
                </m:sSub>
                <m:r>
                  <m:rPr/>
                  <w:rPr>
                    <w:rFonts w:hint="default" w:ascii="Cambria Math" w:hAnsi="Cambria Math"/>
                    <w:sz w:val="24"/>
                    <w:szCs w:val="24"/>
                    <w:lang w:val="en-US" w:eastAsia="zh-CN"/>
                  </w:rPr>
                  <m:t>=</m:t>
                </m:r>
                <m:d>
                  <m:dPr>
                    <m:ctrlPr>
                      <w:rPr>
                        <w:rFonts w:hint="default" w:ascii="Cambria Math" w:hAnsi="Cambria Math"/>
                        <w:i/>
                        <w:sz w:val="24"/>
                        <w:szCs w:val="24"/>
                        <w:lang w:val="en-US" w:eastAsia="zh-CN"/>
                      </w:rPr>
                    </m:ctrlPr>
                  </m:dPr>
                  <m:e>
                    <m:r>
                      <m:rPr/>
                      <w:rPr>
                        <w:rFonts w:hint="default" w:ascii="Cambria Math" w:hAnsi="Cambria Math"/>
                        <w:sz w:val="24"/>
                        <w:szCs w:val="24"/>
                        <w:lang w:val="en-US" w:eastAsia="zh-CN"/>
                      </w:rPr>
                      <m:t>5.38+4.1V</m:t>
                    </m:r>
                    <m:ctrlPr>
                      <w:rPr>
                        <w:rFonts w:hint="default" w:ascii="Cambria Math" w:hAnsi="Cambria Math"/>
                        <w:i/>
                        <w:sz w:val="24"/>
                        <w:szCs w:val="24"/>
                        <w:lang w:val="en-US" w:eastAsia="zh-CN"/>
                      </w:rPr>
                    </m:ctrlPr>
                  </m:e>
                </m:d>
                <m:r>
                  <m:rPr/>
                  <w:rPr>
                    <w:rFonts w:hint="default" w:ascii="Cambria Math" w:hAnsi="Cambria Math" w:cs="Cambria Math"/>
                    <w:sz w:val="24"/>
                    <w:szCs w:val="24"/>
                    <w:lang w:val="en-US" w:eastAsia="zh-CN"/>
                  </w:rPr>
                  <m:t>×</m:t>
                </m:r>
                <m:sSub>
                  <m:sSubPr>
                    <m:ctrlPr>
                      <w:rPr>
                        <w:rFonts w:hint="default" w:ascii="Cambria Math" w:hAnsi="Cambria Math" w:cs="Cambria Math"/>
                        <w:i/>
                        <w:sz w:val="24"/>
                        <w:szCs w:val="24"/>
                        <w:lang w:val="en-US" w:eastAsia="zh-CN"/>
                      </w:rPr>
                    </m:ctrlPr>
                  </m:sSubPr>
                  <m:e>
                    <m:r>
                      <m:rPr/>
                      <w:rPr>
                        <w:rFonts w:hint="default" w:ascii="Cambria Math" w:hAnsi="Cambria Math" w:cs="Cambria Math"/>
                        <w:sz w:val="24"/>
                        <w:szCs w:val="24"/>
                        <w:lang w:val="en-US" w:eastAsia="zh-CN"/>
                      </w:rPr>
                      <m:t>P</m:t>
                    </m:r>
                    <m:ctrlPr>
                      <w:rPr>
                        <w:rFonts w:hint="default" w:ascii="Cambria Math" w:hAnsi="Cambria Math" w:cs="Cambria Math"/>
                        <w:i/>
                        <w:sz w:val="24"/>
                        <w:szCs w:val="24"/>
                        <w:lang w:val="en-US" w:eastAsia="zh-CN"/>
                      </w:rPr>
                    </m:ctrlPr>
                  </m:e>
                  <m:sub>
                    <m:r>
                      <m:rPr/>
                      <w:rPr>
                        <w:rFonts w:hint="default" w:ascii="Cambria Math" w:hAnsi="Cambria Math" w:cs="Cambria Math"/>
                        <w:sz w:val="24"/>
                        <w:szCs w:val="24"/>
                        <w:lang w:val="en-US" w:eastAsia="zh-CN"/>
                      </w:rPr>
                      <m:t>H</m:t>
                    </m:r>
                    <m:ctrlPr>
                      <w:rPr>
                        <w:rFonts w:hint="default" w:ascii="Cambria Math" w:hAnsi="Cambria Math" w:cs="Cambria Math"/>
                        <w:i/>
                        <w:sz w:val="24"/>
                        <w:szCs w:val="24"/>
                        <w:lang w:val="en-US" w:eastAsia="zh-CN"/>
                      </w:rPr>
                    </m:ctrlPr>
                  </m:sub>
                </m:sSub>
                <m:r>
                  <m:rPr/>
                  <w:rPr>
                    <w:rFonts w:hint="default" w:ascii="Cambria Math" w:hAnsi="Cambria Math" w:cs="Cambria Math"/>
                    <w:sz w:val="24"/>
                    <w:szCs w:val="24"/>
                    <w:lang w:val="en-US" w:eastAsia="zh-CN"/>
                  </w:rPr>
                  <m:t>×F×</m:t>
                </m:r>
                <m:rad>
                  <m:radPr>
                    <m:degHide m:val="1"/>
                    <m:ctrlPr>
                      <w:rPr>
                        <w:rFonts w:hint="default" w:ascii="Cambria Math" w:hAnsi="Cambria Math" w:cs="Cambria Math"/>
                        <w:i/>
                        <w:sz w:val="24"/>
                        <w:szCs w:val="24"/>
                        <w:lang w:val="en-US" w:eastAsia="zh-CN"/>
                      </w:rPr>
                    </m:ctrlPr>
                  </m:radPr>
                  <m:deg>
                    <m:ctrlPr>
                      <w:rPr>
                        <w:rFonts w:hint="default" w:ascii="Cambria Math" w:hAnsi="Cambria Math" w:cs="Cambria Math"/>
                        <w:i/>
                        <w:sz w:val="24"/>
                        <w:szCs w:val="24"/>
                        <w:lang w:val="en-US" w:eastAsia="zh-CN"/>
                      </w:rPr>
                    </m:ctrlPr>
                  </m:deg>
                  <m:e>
                    <m:r>
                      <m:rPr/>
                      <w:rPr>
                        <w:rFonts w:hint="default" w:ascii="Cambria Math" w:hAnsi="Cambria Math" w:cs="Cambria Math"/>
                        <w:sz w:val="24"/>
                        <w:szCs w:val="24"/>
                        <w:lang w:val="en-US" w:eastAsia="zh-CN"/>
                      </w:rPr>
                      <m:t>M</m:t>
                    </m:r>
                    <m:ctrlPr>
                      <w:rPr>
                        <w:rFonts w:hint="default" w:ascii="Cambria Math" w:hAnsi="Cambria Math" w:cs="Cambria Math"/>
                        <w:i/>
                        <w:sz w:val="24"/>
                        <w:szCs w:val="24"/>
                        <w:lang w:val="en-US" w:eastAsia="zh-CN"/>
                      </w:rPr>
                    </m:ctrlPr>
                  </m:e>
                </m:rad>
              </m:oMath>
            </m:oMathPara>
          </w:p>
          <w:p w14:paraId="37066EF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式中：</w:t>
            </w:r>
          </w:p>
          <w:p w14:paraId="563C671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Gs—有害物质的散发量（g/h）；</w:t>
            </w:r>
          </w:p>
          <w:p w14:paraId="6A8FD599">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V—车间或室内风速（m/s）；</w:t>
            </w:r>
          </w:p>
          <w:p w14:paraId="7FE723D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P</w:t>
            </w:r>
            <w:r>
              <w:rPr>
                <w:rFonts w:hint="eastAsia"/>
                <w:sz w:val="24"/>
                <w:szCs w:val="24"/>
                <w:vertAlign w:val="subscript"/>
                <w:lang w:val="en-US" w:eastAsia="zh-CN"/>
              </w:rPr>
              <w:t>H</w:t>
            </w:r>
            <w:r>
              <w:rPr>
                <w:rFonts w:hint="eastAsia"/>
                <w:sz w:val="24"/>
                <w:szCs w:val="24"/>
                <w:lang w:val="en-US" w:eastAsia="zh-CN"/>
              </w:rPr>
              <w:t>—有害物质在室温时的饱和蒸气压（mmHg）；</w:t>
            </w:r>
          </w:p>
          <w:p w14:paraId="7DE70DDF">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F—有害物质的敞露面积（m</w:t>
            </w:r>
            <w:r>
              <w:rPr>
                <w:rFonts w:hint="eastAsia"/>
                <w:sz w:val="24"/>
                <w:szCs w:val="24"/>
                <w:vertAlign w:val="superscript"/>
                <w:lang w:val="en-US" w:eastAsia="zh-CN"/>
              </w:rPr>
              <w:t>2</w:t>
            </w:r>
            <w:r>
              <w:rPr>
                <w:rFonts w:hint="eastAsia"/>
                <w:sz w:val="24"/>
                <w:szCs w:val="24"/>
                <w:lang w:val="en-US" w:eastAsia="zh-CN"/>
              </w:rPr>
              <w:t>）；</w:t>
            </w:r>
          </w:p>
          <w:p w14:paraId="64266CEC">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M—有害物质的分子量</w:t>
            </w:r>
          </w:p>
          <w:p w14:paraId="24F534DD">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接待的动物全部为猫、狗类家庭宠物，其身体上的腺体等部位，以及粪便发出异味。动物表面积引用《治疗犬猫肿瘤用药中体重与体表面积换算公式》（中国兽医杂志2010年（第46卷）第10期，叶楠、钟友刚、施振声）中数据进行计算。项目接待的猫、狗主要为中小型。根据建设单位提供经验数据，按狗平均体重为20kg，猫平均体重3.2kg计。</w:t>
            </w:r>
          </w:p>
          <w:p w14:paraId="186A5046">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6A95F24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3CD19D4C">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0B9471C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1BFC49A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561CDE9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25007E17">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43DA418D">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495433C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4A37029E">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72CE5DD4">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738BBD8B">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p>
          <w:p w14:paraId="7AE1E789">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drawing>
                <wp:inline distT="0" distB="0" distL="114300" distR="114300">
                  <wp:extent cx="4679950" cy="3902710"/>
                  <wp:effectExtent l="0" t="0" r="6350" b="254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0"/>
                          <a:stretch>
                            <a:fillRect/>
                          </a:stretch>
                        </pic:blipFill>
                        <pic:spPr>
                          <a:xfrm>
                            <a:off x="0" y="0"/>
                            <a:ext cx="4679950" cy="3902710"/>
                          </a:xfrm>
                          <a:prstGeom prst="rect">
                            <a:avLst/>
                          </a:prstGeom>
                          <a:noFill/>
                          <a:ln>
                            <a:noFill/>
                          </a:ln>
                        </pic:spPr>
                      </pic:pic>
                    </a:graphicData>
                  </a:graphic>
                </wp:inline>
              </w:drawing>
            </w:r>
          </w:p>
          <w:p w14:paraId="4C55C44D">
            <w:pPr>
              <w:pStyle w:val="11"/>
              <w:bidi w:val="0"/>
              <w:rPr>
                <w:rFonts w:hint="default"/>
                <w:lang w:val="en-US" w:eastAsia="zh-CN"/>
              </w:rPr>
            </w:pPr>
            <w:r>
              <w:rPr>
                <w:rFonts w:hint="eastAsia"/>
                <w:lang w:val="en-US" w:eastAsia="zh-CN"/>
              </w:rPr>
              <w:t>表4-3 狗（左表）、猫（右表）体重与体表面积对应表</w:t>
            </w:r>
          </w:p>
          <w:p w14:paraId="1D8F745E">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动物散发异味的身体部位、腺体，如猫、狗的口腔、肛门腺等，以及粪便。仅占其体表面积的1%。根据上述数据计算项目废气排放情况如下表。</w:t>
            </w:r>
          </w:p>
          <w:p w14:paraId="01E49B41">
            <w:pPr>
              <w:pStyle w:val="11"/>
              <w:bidi w:val="0"/>
              <w:rPr>
                <w:rFonts w:hint="default"/>
                <w:lang w:val="en-US" w:eastAsia="zh-CN"/>
              </w:rPr>
            </w:pPr>
            <w:r>
              <w:rPr>
                <w:rFonts w:hint="eastAsia"/>
                <w:lang w:val="en-US" w:eastAsia="zh-CN"/>
              </w:rPr>
              <w:t>表4-4 项目废气计算参数表</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020"/>
              <w:gridCol w:w="1125"/>
              <w:gridCol w:w="960"/>
              <w:gridCol w:w="1215"/>
              <w:gridCol w:w="1080"/>
              <w:gridCol w:w="1065"/>
              <w:gridCol w:w="780"/>
            </w:tblGrid>
            <w:tr w14:paraId="450DC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Merge w:val="restart"/>
                  <w:tcBorders>
                    <w:tl2br w:val="nil"/>
                    <w:tr2bl w:val="nil"/>
                  </w:tcBorders>
                  <w:vAlign w:val="center"/>
                </w:tcPr>
                <w:p w14:paraId="60834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020" w:type="dxa"/>
                  <w:vMerge w:val="restart"/>
                  <w:tcBorders>
                    <w:tl2br w:val="nil"/>
                    <w:tr2bl w:val="nil"/>
                  </w:tcBorders>
                  <w:vAlign w:val="center"/>
                </w:tcPr>
                <w:p w14:paraId="7E4E5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5445" w:type="dxa"/>
                  <w:gridSpan w:val="5"/>
                  <w:tcBorders>
                    <w:tl2br w:val="nil"/>
                    <w:tr2bl w:val="nil"/>
                  </w:tcBorders>
                  <w:vAlign w:val="center"/>
                </w:tcPr>
                <w:p w14:paraId="05835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参数（以猫、狗各1只为计算基础）</w:t>
                  </w:r>
                </w:p>
              </w:tc>
              <w:tc>
                <w:tcPr>
                  <w:tcW w:w="780" w:type="dxa"/>
                  <w:vMerge w:val="restart"/>
                  <w:tcBorders>
                    <w:tl2br w:val="nil"/>
                    <w:tr2bl w:val="nil"/>
                  </w:tcBorders>
                  <w:vAlign w:val="center"/>
                </w:tcPr>
                <w:p w14:paraId="26C45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排放速率</w:t>
                  </w:r>
                </w:p>
              </w:tc>
            </w:tr>
            <w:tr w14:paraId="6411C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vMerge w:val="continue"/>
                  <w:tcBorders>
                    <w:tl2br w:val="nil"/>
                    <w:tr2bl w:val="nil"/>
                  </w:tcBorders>
                  <w:vAlign w:val="center"/>
                </w:tcPr>
                <w:p w14:paraId="5C7E2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p>
              </w:tc>
              <w:tc>
                <w:tcPr>
                  <w:tcW w:w="1020" w:type="dxa"/>
                  <w:vMerge w:val="continue"/>
                  <w:tcBorders>
                    <w:tl2br w:val="nil"/>
                    <w:tr2bl w:val="nil"/>
                  </w:tcBorders>
                  <w:vAlign w:val="center"/>
                </w:tcPr>
                <w:p w14:paraId="12BEF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p>
              </w:tc>
              <w:tc>
                <w:tcPr>
                  <w:tcW w:w="1125" w:type="dxa"/>
                  <w:tcBorders>
                    <w:tl2br w:val="nil"/>
                    <w:tr2bl w:val="nil"/>
                  </w:tcBorders>
                  <w:vAlign w:val="center"/>
                </w:tcPr>
                <w:p w14:paraId="38C71C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室内风速</w:t>
                  </w:r>
                </w:p>
              </w:tc>
              <w:tc>
                <w:tcPr>
                  <w:tcW w:w="960" w:type="dxa"/>
                  <w:tcBorders>
                    <w:tl2br w:val="nil"/>
                    <w:tr2bl w:val="nil"/>
                  </w:tcBorders>
                  <w:vAlign w:val="center"/>
                </w:tcPr>
                <w:p w14:paraId="10D70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分子量</w:t>
                  </w:r>
                </w:p>
              </w:tc>
              <w:tc>
                <w:tcPr>
                  <w:tcW w:w="1215" w:type="dxa"/>
                  <w:tcBorders>
                    <w:tl2br w:val="nil"/>
                    <w:tr2bl w:val="nil"/>
                  </w:tcBorders>
                  <w:vAlign w:val="center"/>
                </w:tcPr>
                <w:p w14:paraId="52B3F6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室温下饱和蒸气压</w:t>
                  </w:r>
                </w:p>
              </w:tc>
              <w:tc>
                <w:tcPr>
                  <w:tcW w:w="1080" w:type="dxa"/>
                  <w:tcBorders>
                    <w:tl2br w:val="nil"/>
                    <w:tr2bl w:val="nil"/>
                  </w:tcBorders>
                  <w:vAlign w:val="center"/>
                </w:tcPr>
                <w:p w14:paraId="35C66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折算猫体表面积</w:t>
                  </w:r>
                </w:p>
              </w:tc>
              <w:tc>
                <w:tcPr>
                  <w:tcW w:w="1065" w:type="dxa"/>
                  <w:tcBorders>
                    <w:tl2br w:val="nil"/>
                    <w:tr2bl w:val="nil"/>
                  </w:tcBorders>
                  <w:vAlign w:val="center"/>
                </w:tcPr>
                <w:p w14:paraId="2FF3B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折算狗体表面积</w:t>
                  </w:r>
                </w:p>
              </w:tc>
              <w:tc>
                <w:tcPr>
                  <w:tcW w:w="780" w:type="dxa"/>
                  <w:vMerge w:val="continue"/>
                  <w:tcBorders>
                    <w:tl2br w:val="nil"/>
                    <w:tr2bl w:val="nil"/>
                  </w:tcBorders>
                  <w:vAlign w:val="center"/>
                </w:tcPr>
                <w:p w14:paraId="43B3FF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04BC2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tcBorders>
                    <w:tl2br w:val="nil"/>
                    <w:tr2bl w:val="nil"/>
                  </w:tcBorders>
                  <w:vAlign w:val="center"/>
                </w:tcPr>
                <w:p w14:paraId="42A6F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020" w:type="dxa"/>
                  <w:tcBorders>
                    <w:tl2br w:val="nil"/>
                    <w:tr2bl w:val="nil"/>
                  </w:tcBorders>
                  <w:vAlign w:val="center"/>
                </w:tcPr>
                <w:p w14:paraId="18C87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125" w:type="dxa"/>
                  <w:vMerge w:val="restart"/>
                  <w:tcBorders>
                    <w:tl2br w:val="nil"/>
                    <w:tr2bl w:val="nil"/>
                  </w:tcBorders>
                  <w:vAlign w:val="center"/>
                </w:tcPr>
                <w:p w14:paraId="0F99B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0.2m/s</w:t>
                  </w:r>
                </w:p>
              </w:tc>
              <w:tc>
                <w:tcPr>
                  <w:tcW w:w="960" w:type="dxa"/>
                  <w:tcBorders>
                    <w:tl2br w:val="nil"/>
                    <w:tr2bl w:val="nil"/>
                  </w:tcBorders>
                  <w:vAlign w:val="center"/>
                </w:tcPr>
                <w:p w14:paraId="2640E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34</w:t>
                  </w:r>
                </w:p>
              </w:tc>
              <w:tc>
                <w:tcPr>
                  <w:tcW w:w="1215" w:type="dxa"/>
                  <w:tcBorders>
                    <w:tl2br w:val="nil"/>
                    <w:tr2bl w:val="nil"/>
                  </w:tcBorders>
                  <w:vAlign w:val="center"/>
                </w:tcPr>
                <w:p w14:paraId="52CFD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15.1mmHg</w:t>
                  </w:r>
                </w:p>
              </w:tc>
              <w:tc>
                <w:tcPr>
                  <w:tcW w:w="1080" w:type="dxa"/>
                  <w:vMerge w:val="restart"/>
                  <w:tcBorders>
                    <w:tl2br w:val="nil"/>
                    <w:tr2bl w:val="nil"/>
                  </w:tcBorders>
                  <w:vAlign w:val="center"/>
                </w:tcPr>
                <w:p w14:paraId="50900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0.0021m</w:t>
                  </w:r>
                  <w:r>
                    <w:rPr>
                      <w:rFonts w:hint="eastAsia"/>
                      <w:sz w:val="21"/>
                      <w:szCs w:val="21"/>
                      <w:vertAlign w:val="superscript"/>
                      <w:lang w:val="en-US" w:eastAsia="zh-CN"/>
                    </w:rPr>
                    <w:t>2</w:t>
                  </w:r>
                </w:p>
              </w:tc>
              <w:tc>
                <w:tcPr>
                  <w:tcW w:w="1065" w:type="dxa"/>
                  <w:vMerge w:val="restart"/>
                  <w:tcBorders>
                    <w:tl2br w:val="nil"/>
                    <w:tr2bl w:val="nil"/>
                  </w:tcBorders>
                  <w:vAlign w:val="center"/>
                </w:tcPr>
                <w:p w14:paraId="68516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0.0074m</w:t>
                  </w:r>
                  <w:r>
                    <w:rPr>
                      <w:rFonts w:hint="eastAsia"/>
                      <w:sz w:val="21"/>
                      <w:szCs w:val="21"/>
                      <w:vertAlign w:val="superscript"/>
                      <w:lang w:val="en-US" w:eastAsia="zh-CN"/>
                    </w:rPr>
                    <w:t>2</w:t>
                  </w:r>
                </w:p>
              </w:tc>
              <w:tc>
                <w:tcPr>
                  <w:tcW w:w="780" w:type="dxa"/>
                  <w:tcBorders>
                    <w:tl2br w:val="nil"/>
                    <w:tr2bl w:val="nil"/>
                  </w:tcBorders>
                  <w:vAlign w:val="center"/>
                </w:tcPr>
                <w:p w14:paraId="6CFA0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5.2g/h</w:t>
                  </w:r>
                </w:p>
              </w:tc>
            </w:tr>
            <w:tr w14:paraId="759B9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6" w:type="dxa"/>
                  <w:tcBorders>
                    <w:tl2br w:val="nil"/>
                    <w:tr2bl w:val="nil"/>
                  </w:tcBorders>
                  <w:vAlign w:val="center"/>
                </w:tcPr>
                <w:p w14:paraId="20675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1020" w:type="dxa"/>
                  <w:tcBorders>
                    <w:tl2br w:val="nil"/>
                    <w:tr2bl w:val="nil"/>
                  </w:tcBorders>
                  <w:vAlign w:val="center"/>
                </w:tcPr>
                <w:p w14:paraId="0C3A7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125" w:type="dxa"/>
                  <w:vMerge w:val="continue"/>
                  <w:tcBorders>
                    <w:tl2br w:val="nil"/>
                    <w:tr2bl w:val="nil"/>
                  </w:tcBorders>
                  <w:vAlign w:val="center"/>
                </w:tcPr>
                <w:p w14:paraId="37BA1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960" w:type="dxa"/>
                  <w:tcBorders>
                    <w:tl2br w:val="nil"/>
                    <w:tr2bl w:val="nil"/>
                  </w:tcBorders>
                  <w:vAlign w:val="center"/>
                </w:tcPr>
                <w:p w14:paraId="7D01C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17</w:t>
                  </w:r>
                </w:p>
              </w:tc>
              <w:tc>
                <w:tcPr>
                  <w:tcW w:w="1215" w:type="dxa"/>
                  <w:tcBorders>
                    <w:tl2br w:val="nil"/>
                    <w:tr2bl w:val="nil"/>
                  </w:tcBorders>
                  <w:vAlign w:val="center"/>
                </w:tcPr>
                <w:p w14:paraId="10000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7.52mmHg</w:t>
                  </w:r>
                </w:p>
              </w:tc>
              <w:tc>
                <w:tcPr>
                  <w:tcW w:w="1080" w:type="dxa"/>
                  <w:vMerge w:val="continue"/>
                  <w:tcBorders>
                    <w:tl2br w:val="nil"/>
                    <w:tr2bl w:val="nil"/>
                  </w:tcBorders>
                  <w:vAlign w:val="center"/>
                </w:tcPr>
                <w:p w14:paraId="4964F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65" w:type="dxa"/>
                  <w:vMerge w:val="continue"/>
                  <w:tcBorders>
                    <w:tl2br w:val="nil"/>
                    <w:tr2bl w:val="nil"/>
                  </w:tcBorders>
                  <w:vAlign w:val="center"/>
                </w:tcPr>
                <w:p w14:paraId="29DEC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80" w:type="dxa"/>
                  <w:tcBorders>
                    <w:tl2br w:val="nil"/>
                    <w:tr2bl w:val="nil"/>
                  </w:tcBorders>
                  <w:vAlign w:val="center"/>
                </w:tcPr>
                <w:p w14:paraId="1012A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1.8g/h</w:t>
                  </w:r>
                </w:p>
              </w:tc>
            </w:tr>
          </w:tbl>
          <w:p w14:paraId="1CC9E067">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表中的折算猫体表面积为单只猫的体重对应的体表面积，折算成腺体、粪便等的表面积。折算狗体表面积与之计算相同。</w:t>
            </w:r>
          </w:p>
          <w:p w14:paraId="21692AA1">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项目年工作240天，日接待动物16只。按接待量猫、狗比例相同，平均每只动物在医院的停留时间为半小时计。根据《直排污水应急处理技术手册》（刘操主编），活性炭对NH</w:t>
            </w:r>
            <w:r>
              <w:rPr>
                <w:rFonts w:hint="eastAsia"/>
                <w:sz w:val="24"/>
                <w:szCs w:val="24"/>
                <w:vertAlign w:val="subscript"/>
                <w:lang w:val="en-US" w:eastAsia="zh-CN"/>
              </w:rPr>
              <w:t>3</w:t>
            </w:r>
            <w:r>
              <w:rPr>
                <w:rFonts w:hint="eastAsia"/>
                <w:sz w:val="24"/>
                <w:szCs w:val="24"/>
                <w:lang w:val="en-US" w:eastAsia="zh-CN"/>
              </w:rPr>
              <w:t>、H</w:t>
            </w:r>
            <w:r>
              <w:rPr>
                <w:rFonts w:hint="eastAsia"/>
                <w:sz w:val="24"/>
                <w:szCs w:val="24"/>
                <w:vertAlign w:val="subscript"/>
                <w:lang w:val="en-US" w:eastAsia="zh-CN"/>
              </w:rPr>
              <w:t>2</w:t>
            </w:r>
            <w:r>
              <w:rPr>
                <w:rFonts w:hint="eastAsia"/>
                <w:sz w:val="24"/>
                <w:szCs w:val="24"/>
                <w:lang w:val="en-US" w:eastAsia="zh-CN"/>
              </w:rPr>
              <w:t>S的去除率可以达到86.7%和97.9%，对臭气浓度的平均去除率能够达到87.4%。但空气湿度、温度等环境条件会对活性炭净化效率产生影响，故结合项目实际运行情况，报告中活性炭净化效率取60%。</w:t>
            </w:r>
          </w:p>
          <w:p w14:paraId="7171BB55">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项目废气排放情况见下表。</w:t>
            </w:r>
          </w:p>
          <w:p w14:paraId="44C00CEB">
            <w:pPr>
              <w:pStyle w:val="11"/>
              <w:bidi w:val="0"/>
              <w:rPr>
                <w:rFonts w:hint="default"/>
                <w:lang w:val="en-US" w:eastAsia="zh-CN"/>
              </w:rPr>
            </w:pPr>
            <w:r>
              <w:rPr>
                <w:rFonts w:hint="eastAsia"/>
                <w:lang w:val="en-US" w:eastAsia="zh-CN"/>
              </w:rPr>
              <w:t>表4-5 项目废气排放情况汇总表（臭气浓度无量纲）</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080"/>
              <w:gridCol w:w="1095"/>
              <w:gridCol w:w="1755"/>
              <w:gridCol w:w="1500"/>
              <w:gridCol w:w="1065"/>
              <w:gridCol w:w="644"/>
            </w:tblGrid>
            <w:tr w14:paraId="2057F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restart"/>
                  <w:tcBorders>
                    <w:tl2br w:val="nil"/>
                    <w:tr2bl w:val="nil"/>
                  </w:tcBorders>
                  <w:vAlign w:val="center"/>
                </w:tcPr>
                <w:p w14:paraId="34C4E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污染源</w:t>
                  </w:r>
                </w:p>
              </w:tc>
              <w:tc>
                <w:tcPr>
                  <w:tcW w:w="1080" w:type="dxa"/>
                  <w:vMerge w:val="restart"/>
                  <w:tcBorders>
                    <w:tl2br w:val="nil"/>
                    <w:tr2bl w:val="nil"/>
                  </w:tcBorders>
                  <w:vAlign w:val="center"/>
                </w:tcPr>
                <w:p w14:paraId="6E8EA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排放方式</w:t>
                  </w:r>
                </w:p>
              </w:tc>
              <w:tc>
                <w:tcPr>
                  <w:tcW w:w="1095" w:type="dxa"/>
                  <w:vMerge w:val="restart"/>
                  <w:tcBorders>
                    <w:tl2br w:val="nil"/>
                    <w:tr2bl w:val="nil"/>
                  </w:tcBorders>
                  <w:vAlign w:val="center"/>
                </w:tcPr>
                <w:p w14:paraId="19AF22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3255" w:type="dxa"/>
                  <w:gridSpan w:val="2"/>
                  <w:tcBorders>
                    <w:tl2br w:val="nil"/>
                    <w:tr2bl w:val="nil"/>
                  </w:tcBorders>
                  <w:vAlign w:val="center"/>
                </w:tcPr>
                <w:p w14:paraId="2B2B1C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排放情况</w:t>
                  </w:r>
                </w:p>
              </w:tc>
              <w:tc>
                <w:tcPr>
                  <w:tcW w:w="1065" w:type="dxa"/>
                  <w:vMerge w:val="restart"/>
                  <w:tcBorders>
                    <w:tl2br w:val="nil"/>
                    <w:tr2bl w:val="nil"/>
                  </w:tcBorders>
                  <w:vAlign w:val="center"/>
                </w:tcPr>
                <w:p w14:paraId="7E6F4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标准限值</w:t>
                  </w:r>
                </w:p>
                <w:p w14:paraId="1378A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mg/m</w:t>
                  </w:r>
                  <w:r>
                    <w:rPr>
                      <w:rFonts w:hint="eastAsia"/>
                      <w:b/>
                      <w:bCs/>
                      <w:sz w:val="21"/>
                      <w:szCs w:val="21"/>
                      <w:vertAlign w:val="superscript"/>
                      <w:lang w:val="en-US" w:eastAsia="zh-CN"/>
                    </w:rPr>
                    <w:t>3</w:t>
                  </w:r>
                </w:p>
              </w:tc>
              <w:tc>
                <w:tcPr>
                  <w:tcW w:w="644" w:type="dxa"/>
                  <w:vMerge w:val="restart"/>
                  <w:tcBorders>
                    <w:tl2br w:val="nil"/>
                    <w:tr2bl w:val="nil"/>
                  </w:tcBorders>
                  <w:vAlign w:val="center"/>
                </w:tcPr>
                <w:p w14:paraId="53D13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分析</w:t>
                  </w:r>
                </w:p>
              </w:tc>
            </w:tr>
            <w:tr w14:paraId="711A7E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continue"/>
                  <w:tcBorders>
                    <w:tl2br w:val="nil"/>
                    <w:tr2bl w:val="nil"/>
                  </w:tcBorders>
                  <w:vAlign w:val="center"/>
                </w:tcPr>
                <w:p w14:paraId="6F390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80" w:type="dxa"/>
                  <w:vMerge w:val="continue"/>
                  <w:tcBorders>
                    <w:tl2br w:val="nil"/>
                    <w:tr2bl w:val="nil"/>
                  </w:tcBorders>
                  <w:vAlign w:val="center"/>
                </w:tcPr>
                <w:p w14:paraId="775A7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5" w:type="dxa"/>
                  <w:vMerge w:val="continue"/>
                  <w:tcBorders>
                    <w:tl2br w:val="nil"/>
                    <w:tr2bl w:val="nil"/>
                  </w:tcBorders>
                  <w:vAlign w:val="center"/>
                </w:tcPr>
                <w:p w14:paraId="34438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755" w:type="dxa"/>
                  <w:tcBorders>
                    <w:tl2br w:val="nil"/>
                    <w:tr2bl w:val="nil"/>
                  </w:tcBorders>
                  <w:vAlign w:val="center"/>
                </w:tcPr>
                <w:p w14:paraId="62B0E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p>
              </w:tc>
              <w:tc>
                <w:tcPr>
                  <w:tcW w:w="1500" w:type="dxa"/>
                  <w:tcBorders>
                    <w:tl2br w:val="nil"/>
                    <w:tr2bl w:val="nil"/>
                  </w:tcBorders>
                  <w:vAlign w:val="center"/>
                </w:tcPr>
                <w:p w14:paraId="3DF0D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排放量kg/a</w:t>
                  </w:r>
                </w:p>
              </w:tc>
              <w:tc>
                <w:tcPr>
                  <w:tcW w:w="1065" w:type="dxa"/>
                  <w:vMerge w:val="continue"/>
                  <w:tcBorders>
                    <w:tl2br w:val="nil"/>
                    <w:tr2bl w:val="nil"/>
                  </w:tcBorders>
                  <w:vAlign w:val="center"/>
                </w:tcPr>
                <w:p w14:paraId="16906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644" w:type="dxa"/>
                  <w:vMerge w:val="continue"/>
                  <w:tcBorders>
                    <w:tl2br w:val="nil"/>
                    <w:tr2bl w:val="nil"/>
                  </w:tcBorders>
                  <w:vAlign w:val="center"/>
                </w:tcPr>
                <w:p w14:paraId="4A8459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3E34C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restart"/>
                  <w:tcBorders>
                    <w:tl2br w:val="nil"/>
                    <w:tr2bl w:val="nil"/>
                  </w:tcBorders>
                  <w:vAlign w:val="center"/>
                </w:tcPr>
                <w:p w14:paraId="4EE4CF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w:t>
                  </w:r>
                </w:p>
              </w:tc>
              <w:tc>
                <w:tcPr>
                  <w:tcW w:w="1080" w:type="dxa"/>
                  <w:vMerge w:val="restart"/>
                  <w:tcBorders>
                    <w:tl2br w:val="nil"/>
                    <w:tr2bl w:val="nil"/>
                  </w:tcBorders>
                  <w:vAlign w:val="center"/>
                </w:tcPr>
                <w:p w14:paraId="39DF5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1095" w:type="dxa"/>
                  <w:tcBorders>
                    <w:tl2br w:val="nil"/>
                    <w:tr2bl w:val="nil"/>
                  </w:tcBorders>
                  <w:vAlign w:val="center"/>
                </w:tcPr>
                <w:p w14:paraId="757B32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755" w:type="dxa"/>
                  <w:tcBorders>
                    <w:tl2br w:val="nil"/>
                    <w:tr2bl w:val="nil"/>
                  </w:tcBorders>
                  <w:vAlign w:val="center"/>
                </w:tcPr>
                <w:p w14:paraId="31386D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w:t>
                  </w:r>
                </w:p>
              </w:tc>
              <w:tc>
                <w:tcPr>
                  <w:tcW w:w="1500" w:type="dxa"/>
                  <w:tcBorders>
                    <w:tl2br w:val="nil"/>
                    <w:tr2bl w:val="nil"/>
                  </w:tcBorders>
                  <w:vAlign w:val="center"/>
                </w:tcPr>
                <w:p w14:paraId="0E39A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2.00</w:t>
                  </w:r>
                </w:p>
              </w:tc>
              <w:tc>
                <w:tcPr>
                  <w:tcW w:w="1065" w:type="dxa"/>
                  <w:tcBorders>
                    <w:tl2br w:val="nil"/>
                    <w:tr2bl w:val="nil"/>
                  </w:tcBorders>
                  <w:vAlign w:val="center"/>
                </w:tcPr>
                <w:p w14:paraId="2F97B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w:t>
                  </w:r>
                </w:p>
              </w:tc>
              <w:tc>
                <w:tcPr>
                  <w:tcW w:w="644" w:type="dxa"/>
                  <w:tcBorders>
                    <w:tl2br w:val="nil"/>
                    <w:tr2bl w:val="nil"/>
                  </w:tcBorders>
                  <w:vAlign w:val="center"/>
                </w:tcPr>
                <w:p w14:paraId="60F18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r>
            <w:tr w14:paraId="232379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continue"/>
                  <w:tcBorders>
                    <w:tl2br w:val="nil"/>
                    <w:tr2bl w:val="nil"/>
                  </w:tcBorders>
                  <w:vAlign w:val="center"/>
                </w:tcPr>
                <w:p w14:paraId="20BB5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1B449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95" w:type="dxa"/>
                  <w:tcBorders>
                    <w:tl2br w:val="nil"/>
                    <w:tr2bl w:val="nil"/>
                  </w:tcBorders>
                  <w:vAlign w:val="center"/>
                </w:tcPr>
                <w:p w14:paraId="4E11A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755" w:type="dxa"/>
                  <w:tcBorders>
                    <w:tl2br w:val="nil"/>
                    <w:tr2bl w:val="nil"/>
                  </w:tcBorders>
                  <w:vAlign w:val="center"/>
                </w:tcPr>
                <w:p w14:paraId="1A00E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w:t>
                  </w:r>
                </w:p>
              </w:tc>
              <w:tc>
                <w:tcPr>
                  <w:tcW w:w="1500" w:type="dxa"/>
                  <w:tcBorders>
                    <w:tl2br w:val="nil"/>
                    <w:tr2bl w:val="nil"/>
                  </w:tcBorders>
                  <w:vAlign w:val="center"/>
                </w:tcPr>
                <w:p w14:paraId="1551B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0.69</w:t>
                  </w:r>
                </w:p>
              </w:tc>
              <w:tc>
                <w:tcPr>
                  <w:tcW w:w="1065" w:type="dxa"/>
                  <w:tcBorders>
                    <w:tl2br w:val="nil"/>
                    <w:tr2bl w:val="nil"/>
                  </w:tcBorders>
                  <w:vAlign w:val="center"/>
                </w:tcPr>
                <w:p w14:paraId="0CD8B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w:t>
                  </w:r>
                </w:p>
              </w:tc>
              <w:tc>
                <w:tcPr>
                  <w:tcW w:w="644" w:type="dxa"/>
                  <w:tcBorders>
                    <w:tl2br w:val="nil"/>
                    <w:tr2bl w:val="nil"/>
                  </w:tcBorders>
                  <w:vAlign w:val="center"/>
                </w:tcPr>
                <w:p w14:paraId="058134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r>
            <w:tr w14:paraId="048B7B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continue"/>
                  <w:tcBorders>
                    <w:tl2br w:val="nil"/>
                    <w:tr2bl w:val="nil"/>
                  </w:tcBorders>
                  <w:vAlign w:val="center"/>
                </w:tcPr>
                <w:p w14:paraId="6B317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80" w:type="dxa"/>
                  <w:vMerge w:val="continue"/>
                  <w:tcBorders>
                    <w:tl2br w:val="nil"/>
                    <w:tr2bl w:val="nil"/>
                  </w:tcBorders>
                  <w:vAlign w:val="center"/>
                </w:tcPr>
                <w:p w14:paraId="272DCF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095" w:type="dxa"/>
                  <w:tcBorders>
                    <w:tl2br w:val="nil"/>
                    <w:tr2bl w:val="nil"/>
                  </w:tcBorders>
                  <w:vAlign w:val="center"/>
                </w:tcPr>
                <w:p w14:paraId="66E19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臭气浓度</w:t>
                  </w:r>
                </w:p>
              </w:tc>
              <w:tc>
                <w:tcPr>
                  <w:tcW w:w="1755" w:type="dxa"/>
                  <w:tcBorders>
                    <w:tl2br w:val="nil"/>
                    <w:tr2bl w:val="nil"/>
                  </w:tcBorders>
                  <w:vAlign w:val="center"/>
                </w:tcPr>
                <w:p w14:paraId="3EAD7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＜10（无量纲）</w:t>
                  </w:r>
                </w:p>
              </w:tc>
              <w:tc>
                <w:tcPr>
                  <w:tcW w:w="1500" w:type="dxa"/>
                  <w:tcBorders>
                    <w:tl2br w:val="nil"/>
                    <w:tr2bl w:val="nil"/>
                  </w:tcBorders>
                  <w:vAlign w:val="center"/>
                </w:tcPr>
                <w:p w14:paraId="282A5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65" w:type="dxa"/>
                  <w:tcBorders>
                    <w:tl2br w:val="nil"/>
                    <w:tr2bl w:val="nil"/>
                  </w:tcBorders>
                  <w:vAlign w:val="center"/>
                </w:tcPr>
                <w:p w14:paraId="290F42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644" w:type="dxa"/>
                  <w:tcBorders>
                    <w:tl2br w:val="nil"/>
                    <w:tr2bl w:val="nil"/>
                  </w:tcBorders>
                  <w:vAlign w:val="center"/>
                </w:tcPr>
                <w:p w14:paraId="4112F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达标</w:t>
                  </w:r>
                </w:p>
              </w:tc>
            </w:tr>
            <w:tr w14:paraId="4C30D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1" w:type="dxa"/>
                  <w:gridSpan w:val="2"/>
                  <w:vMerge w:val="restart"/>
                  <w:tcBorders>
                    <w:tl2br w:val="nil"/>
                    <w:tr2bl w:val="nil"/>
                  </w:tcBorders>
                  <w:vAlign w:val="center"/>
                </w:tcPr>
                <w:p w14:paraId="15A17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主要治理措施</w:t>
                  </w:r>
                </w:p>
              </w:tc>
              <w:tc>
                <w:tcPr>
                  <w:tcW w:w="5415" w:type="dxa"/>
                  <w:gridSpan w:val="4"/>
                  <w:tcBorders>
                    <w:tl2br w:val="nil"/>
                    <w:tr2bl w:val="nil"/>
                  </w:tcBorders>
                  <w:vAlign w:val="center"/>
                </w:tcPr>
                <w:p w14:paraId="4DEA56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活性炭吸附净化效率60%</w:t>
                  </w:r>
                </w:p>
              </w:tc>
              <w:tc>
                <w:tcPr>
                  <w:tcW w:w="644" w:type="dxa"/>
                  <w:vMerge w:val="restart"/>
                  <w:tcBorders>
                    <w:tl2br w:val="nil"/>
                    <w:tr2bl w:val="nil"/>
                  </w:tcBorders>
                  <w:vAlign w:val="center"/>
                </w:tcPr>
                <w:p w14:paraId="3631A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可行</w:t>
                  </w:r>
                </w:p>
              </w:tc>
            </w:tr>
            <w:tr w14:paraId="66033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1" w:type="dxa"/>
                  <w:gridSpan w:val="2"/>
                  <w:vMerge w:val="continue"/>
                  <w:tcBorders>
                    <w:tl2br w:val="nil"/>
                    <w:tr2bl w:val="nil"/>
                  </w:tcBorders>
                  <w:vAlign w:val="center"/>
                </w:tcPr>
                <w:p w14:paraId="40C1B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415" w:type="dxa"/>
                  <w:gridSpan w:val="4"/>
                  <w:tcBorders>
                    <w:tl2br w:val="nil"/>
                    <w:tr2bl w:val="nil"/>
                  </w:tcBorders>
                  <w:vAlign w:val="center"/>
                </w:tcPr>
                <w:p w14:paraId="7D0FD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动物在医院内产生的粪便量极少，大部分动物不长时间停留。停留动物均放置在动物笼中，笼子下方放置猫砂托盘或尿垫。动物粪尿被猫砂、尿垫吸收包裹后及时由医护人员清理并装入专门的密封袋中。室内定时喷洒除臭剂、空气清新剂等。项目室内设有1套排风系统，各房间吊顶上方的排风支管道设置有吸风口对异味收集。主管道内安装1套活性炭净化装置及排风机（位于医院西南侧猫住院房上方的吊顶内），异味经吸附净化后通过位于东侧外墙处的出风口无组织排放。</w:t>
                  </w:r>
                </w:p>
              </w:tc>
              <w:tc>
                <w:tcPr>
                  <w:tcW w:w="644" w:type="dxa"/>
                  <w:vMerge w:val="continue"/>
                  <w:tcBorders>
                    <w:tl2br w:val="nil"/>
                    <w:tr2bl w:val="nil"/>
                  </w:tcBorders>
                  <w:vAlign w:val="center"/>
                </w:tcPr>
                <w:p w14:paraId="28F303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bl>
          <w:p w14:paraId="5D669CAF">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根据江苏省生态环境厅于2021年7月19日发布了《江苏省生态环境厅关于将排污单位活性炭使用更换纳入排污许可管理的通知》（苏环办[2021]218号），其中关于活性炭更换周期可用下列公式计算：</w:t>
            </w:r>
          </w:p>
          <w:p w14:paraId="2B58315C">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m:oMathPara>
              <m:oMath>
                <m:r>
                  <m:rPr>
                    <m:sty m:val="p"/>
                  </m:rPr>
                  <w:rPr>
                    <w:rFonts w:hint="default" w:ascii="Cambria Math" w:hAnsi="Cambria Math" w:cstheme="minorBidi"/>
                    <w:kern w:val="2"/>
                    <w:sz w:val="24"/>
                    <w:szCs w:val="24"/>
                    <w:lang w:val="en-US" w:eastAsia="zh-CN" w:bidi="ar-SA"/>
                  </w:rPr>
                  <m:t>T=</m:t>
                </m:r>
                <m:f>
                  <m:fPr>
                    <m:ctrlPr>
                      <w:rPr>
                        <w:rFonts w:hint="default" w:ascii="Cambria Math" w:hAnsi="Cambria Math" w:cstheme="minorBidi"/>
                        <w:kern w:val="2"/>
                        <w:sz w:val="24"/>
                        <w:szCs w:val="24"/>
                        <w:lang w:val="en-US" w:eastAsia="zh-CN" w:bidi="ar-SA"/>
                      </w:rPr>
                    </m:ctrlPr>
                  </m:fPr>
                  <m:num>
                    <m:r>
                      <m:rPr>
                        <m:sty m:val="p"/>
                      </m:rPr>
                      <w:rPr>
                        <w:rFonts w:hint="default" w:ascii="Cambria Math" w:hAnsi="Cambria Math" w:cstheme="minorBidi"/>
                        <w:kern w:val="2"/>
                        <w:sz w:val="24"/>
                        <w:szCs w:val="24"/>
                        <w:lang w:val="en-US" w:eastAsia="zh-CN" w:bidi="ar-SA"/>
                      </w:rPr>
                      <m:t>m</m:t>
                    </m:r>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S</m:t>
                    </m:r>
                    <m:ctrlPr>
                      <w:rPr>
                        <w:rFonts w:hint="default" w:ascii="Cambria Math" w:hAnsi="Cambria Math" w:cstheme="minorBidi"/>
                        <w:kern w:val="2"/>
                        <w:sz w:val="24"/>
                        <w:szCs w:val="24"/>
                        <w:lang w:val="en-US" w:eastAsia="zh-CN" w:bidi="ar-SA"/>
                      </w:rPr>
                    </m:ctrlPr>
                  </m:num>
                  <m:den>
                    <m:r>
                      <m:rPr>
                        <m:sty m:val="p"/>
                      </m:rPr>
                      <w:rPr>
                        <w:rFonts w:hint="default" w:ascii="Cambria Math" w:hAnsi="Cambria Math" w:cstheme="minorBidi"/>
                        <w:kern w:val="2"/>
                        <w:sz w:val="24"/>
                        <w:szCs w:val="24"/>
                        <w:lang w:val="en-US" w:eastAsia="zh-CN" w:bidi="ar-SA"/>
                      </w:rPr>
                      <m:t>C</m:t>
                    </m:r>
                    <m:r>
                      <m:rPr>
                        <m:sty m:val="p"/>
                      </m:rPr>
                      <w:rPr>
                        <w:rFonts w:ascii="Cambria Math" w:hAnsi="Cambria Math" w:cstheme="minorBidi"/>
                        <w:kern w:val="2"/>
                        <w:sz w:val="24"/>
                        <w:szCs w:val="24"/>
                        <w:lang w:val="en-US" w:bidi="ar-SA"/>
                      </w:rPr>
                      <m:t>×</m:t>
                    </m:r>
                    <m:sSup>
                      <m:sSupPr>
                        <m:ctrlPr>
                          <w:rPr>
                            <w:rFonts w:ascii="Cambria Math" w:hAnsi="Cambria Math" w:cstheme="minorBidi"/>
                            <w:kern w:val="2"/>
                            <w:sz w:val="24"/>
                            <w:szCs w:val="24"/>
                            <w:lang w:val="en-US" w:bidi="ar-SA"/>
                          </w:rPr>
                        </m:ctrlPr>
                      </m:sSupPr>
                      <m:e>
                        <m:r>
                          <m:rPr>
                            <m:sty m:val="p"/>
                          </m:rPr>
                          <w:rPr>
                            <w:rFonts w:hint="default" w:ascii="Cambria Math" w:hAnsi="Cambria Math" w:cstheme="minorBidi"/>
                            <w:kern w:val="2"/>
                            <w:sz w:val="24"/>
                            <w:szCs w:val="24"/>
                            <w:lang w:val="en-US" w:eastAsia="zh-CN" w:bidi="ar-SA"/>
                          </w:rPr>
                          <m:t>10</m:t>
                        </m:r>
                        <m:ctrlPr>
                          <w:rPr>
                            <w:rFonts w:ascii="Cambria Math" w:hAnsi="Cambria Math" w:cstheme="minorBidi"/>
                            <w:kern w:val="2"/>
                            <w:sz w:val="24"/>
                            <w:szCs w:val="24"/>
                            <w:lang w:val="en-US" w:bidi="ar-SA"/>
                          </w:rPr>
                        </m:ctrlPr>
                      </m:e>
                      <m:sup>
                        <m:r>
                          <m:rPr>
                            <m:sty m:val="p"/>
                          </m:rPr>
                          <w:rPr>
                            <w:rFonts w:hint="default" w:ascii="Cambria Math" w:hAnsi="Cambria Math" w:cstheme="minorBidi"/>
                            <w:kern w:val="2"/>
                            <w:sz w:val="24"/>
                            <w:szCs w:val="24"/>
                            <w:lang w:val="en-US" w:eastAsia="zh-CN" w:bidi="ar-SA"/>
                          </w:rPr>
                          <m:t>−6</m:t>
                        </m:r>
                        <m:ctrlPr>
                          <w:rPr>
                            <w:rFonts w:ascii="Cambria Math" w:hAnsi="Cambria Math" w:cstheme="minorBidi"/>
                            <w:kern w:val="2"/>
                            <w:sz w:val="24"/>
                            <w:szCs w:val="24"/>
                            <w:lang w:val="en-US" w:bidi="ar-SA"/>
                          </w:rPr>
                        </m:ctrlPr>
                      </m:sup>
                    </m:sSup>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Q</m:t>
                    </m:r>
                    <m:r>
                      <m:rPr>
                        <m:sty m:val="p"/>
                      </m:rPr>
                      <w:rPr>
                        <w:rFonts w:ascii="Cambria Math" w:hAnsi="Cambria Math" w:cstheme="minorBidi"/>
                        <w:kern w:val="2"/>
                        <w:sz w:val="24"/>
                        <w:szCs w:val="24"/>
                        <w:lang w:val="en-US" w:bidi="ar-SA"/>
                      </w:rPr>
                      <m:t>×</m:t>
                    </m:r>
                    <m:r>
                      <m:rPr>
                        <m:sty m:val="p"/>
                      </m:rPr>
                      <w:rPr>
                        <w:rFonts w:hint="default" w:ascii="Cambria Math" w:hAnsi="Cambria Math" w:cstheme="minorBidi"/>
                        <w:kern w:val="2"/>
                        <w:sz w:val="24"/>
                        <w:szCs w:val="24"/>
                        <w:lang w:val="en-US" w:eastAsia="zh-CN" w:bidi="ar-SA"/>
                      </w:rPr>
                      <m:t>t</m:t>
                    </m:r>
                    <m:ctrlPr>
                      <w:rPr>
                        <w:rFonts w:hint="default" w:ascii="Cambria Math" w:hAnsi="Cambria Math" w:cstheme="minorBidi"/>
                        <w:kern w:val="2"/>
                        <w:sz w:val="24"/>
                        <w:szCs w:val="24"/>
                        <w:lang w:val="en-US" w:eastAsia="zh-CN" w:bidi="ar-SA"/>
                      </w:rPr>
                    </m:ctrlPr>
                  </m:den>
                </m:f>
              </m:oMath>
            </m:oMathPara>
          </w:p>
          <w:p w14:paraId="40D3CAA6">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式中：</w:t>
            </w:r>
          </w:p>
          <w:p w14:paraId="2C310F3F">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T—更换周期（活性炭饱和时间），d；项目取值240d；</w:t>
            </w:r>
          </w:p>
          <w:p w14:paraId="7E8C25A1">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m—活性炭用量，kg；</w:t>
            </w:r>
          </w:p>
          <w:p w14:paraId="7D2E921A">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S—动态吸附量，按10%取值；</w:t>
            </w:r>
          </w:p>
          <w:p w14:paraId="77A42BEC">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C—活性炭削减的气态污染物浓度，mg/m</w:t>
            </w:r>
            <w:r>
              <w:rPr>
                <w:rFonts w:hint="eastAsia"/>
                <w:sz w:val="24"/>
                <w:szCs w:val="24"/>
                <w:vertAlign w:val="superscript"/>
                <w:lang w:val="en-US" w:eastAsia="zh-CN"/>
              </w:rPr>
              <w:t>3</w:t>
            </w:r>
            <w:r>
              <w:rPr>
                <w:rFonts w:hint="eastAsia"/>
                <w:sz w:val="24"/>
                <w:szCs w:val="24"/>
                <w:lang w:val="en-US" w:eastAsia="zh-CN"/>
              </w:rPr>
              <w:t>；</w:t>
            </w:r>
          </w:p>
          <w:p w14:paraId="753E3C4C">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Q—风量，m</w:t>
            </w:r>
            <w:r>
              <w:rPr>
                <w:rFonts w:hint="eastAsia"/>
                <w:sz w:val="24"/>
                <w:szCs w:val="24"/>
                <w:vertAlign w:val="superscript"/>
                <w:lang w:val="en-US" w:eastAsia="zh-CN"/>
              </w:rPr>
              <w:t>3</w:t>
            </w:r>
            <w:r>
              <w:rPr>
                <w:rFonts w:hint="eastAsia"/>
                <w:sz w:val="24"/>
                <w:szCs w:val="24"/>
                <w:lang w:val="en-US" w:eastAsia="zh-CN"/>
              </w:rPr>
              <w:t>/h；项目风机风量2000m</w:t>
            </w:r>
            <w:r>
              <w:rPr>
                <w:rFonts w:hint="eastAsia"/>
                <w:sz w:val="24"/>
                <w:szCs w:val="24"/>
                <w:vertAlign w:val="superscript"/>
                <w:lang w:val="en-US" w:eastAsia="zh-CN"/>
              </w:rPr>
              <w:t>3</w:t>
            </w:r>
            <w:r>
              <w:rPr>
                <w:rFonts w:hint="eastAsia"/>
                <w:sz w:val="24"/>
                <w:szCs w:val="24"/>
                <w:lang w:val="en-US" w:eastAsia="zh-CN"/>
              </w:rPr>
              <w:t>/h；</w:t>
            </w:r>
          </w:p>
          <w:p w14:paraId="0CE48CAD">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t—运行时间，h/d；排风机日运行时间12h。</w:t>
            </w:r>
          </w:p>
          <w:p w14:paraId="559FE170">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以1年期活性炭达到饱和的使用量计算，活性炭年用量约为2.88kg时能满足项目1年的废气净化要求。项目净化装置活性炭装填量为2kg，考虑到项目运行过程中温度、湿度、以及其他影响因素对活性炭性能的影响，且实际操作中不会在活性炭达到饱和值时才进行更换，故要求建设单位每半年进行1次活性炭更换工作。即项目年使用活性炭的量为4kg/a。</w:t>
            </w:r>
          </w:p>
          <w:p w14:paraId="1F8E295A">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3）非正常情况排放</w:t>
            </w:r>
          </w:p>
          <w:p w14:paraId="575BFC33">
            <w:pPr>
              <w:keepNext w:val="0"/>
              <w:keepLines w:val="0"/>
              <w:pageBreakBefore w:val="0"/>
              <w:widowControl w:val="0"/>
              <w:kinsoku/>
              <w:wordWrap/>
              <w:overflowPunct/>
              <w:topLinePunct w:val="0"/>
              <w:autoSpaceDE/>
              <w:autoSpaceDN/>
              <w:bidi w:val="0"/>
              <w:adjustRightInd w:val="0"/>
              <w:snapToGrid w:val="0"/>
              <w:textAlignment w:val="auto"/>
              <w:rPr>
                <w:rFonts w:hint="eastAsia"/>
                <w:sz w:val="24"/>
                <w:szCs w:val="24"/>
                <w:lang w:val="en-US" w:eastAsia="zh-CN"/>
              </w:rPr>
            </w:pPr>
            <w:r>
              <w:rPr>
                <w:rFonts w:hint="eastAsia"/>
                <w:sz w:val="24"/>
                <w:szCs w:val="24"/>
                <w:lang w:val="en-US" w:eastAsia="zh-CN"/>
              </w:rPr>
              <w:t>项目废气非正常排放情况是指污染物治理设施停运进行检修，或者运行出现故障，达不到应有治理效率的情况下的污染物排放。本项目可能出现非正常排放的原因主要为排风系统故障、活性炭饱和或失活等情形，从而导致废气不经治理或未达到治理效果直接排放。出现该类情况时，污染物排放计算具体情况见下表。</w:t>
            </w:r>
          </w:p>
          <w:p w14:paraId="2C531092">
            <w:pPr>
              <w:pStyle w:val="11"/>
              <w:bidi w:val="0"/>
              <w:rPr>
                <w:rFonts w:hint="default"/>
                <w:lang w:val="en-US" w:eastAsia="zh-CN"/>
              </w:rPr>
            </w:pPr>
            <w:r>
              <w:rPr>
                <w:rFonts w:hint="eastAsia"/>
                <w:lang w:val="en-US" w:eastAsia="zh-CN"/>
              </w:rPr>
              <w:t>表4-6 项目废气非正常排放情况汇总表（臭气浓度无量纲）</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695"/>
              <w:gridCol w:w="960"/>
              <w:gridCol w:w="1095"/>
              <w:gridCol w:w="1110"/>
              <w:gridCol w:w="2057"/>
            </w:tblGrid>
            <w:tr w14:paraId="54772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restart"/>
                  <w:tcBorders>
                    <w:tl2br w:val="nil"/>
                    <w:tr2bl w:val="nil"/>
                  </w:tcBorders>
                  <w:vAlign w:val="center"/>
                </w:tcPr>
                <w:p w14:paraId="387223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1695" w:type="dxa"/>
                  <w:vMerge w:val="restart"/>
                  <w:tcBorders>
                    <w:tl2br w:val="nil"/>
                    <w:tr2bl w:val="nil"/>
                  </w:tcBorders>
                  <w:vAlign w:val="center"/>
                </w:tcPr>
                <w:p w14:paraId="15C95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非正常排放情况</w:t>
                  </w:r>
                </w:p>
                <w:p w14:paraId="074B1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p>
              </w:tc>
              <w:tc>
                <w:tcPr>
                  <w:tcW w:w="3165" w:type="dxa"/>
                  <w:gridSpan w:val="3"/>
                  <w:tcBorders>
                    <w:tl2br w:val="nil"/>
                    <w:tr2bl w:val="nil"/>
                  </w:tcBorders>
                  <w:vAlign w:val="center"/>
                </w:tcPr>
                <w:p w14:paraId="48740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非正常排放因素</w:t>
                  </w:r>
                </w:p>
              </w:tc>
              <w:tc>
                <w:tcPr>
                  <w:tcW w:w="2057" w:type="dxa"/>
                  <w:vMerge w:val="restart"/>
                  <w:tcBorders>
                    <w:tl2br w:val="nil"/>
                    <w:tr2bl w:val="nil"/>
                  </w:tcBorders>
                  <w:vAlign w:val="center"/>
                </w:tcPr>
                <w:p w14:paraId="782CA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应对措施</w:t>
                  </w:r>
                </w:p>
              </w:tc>
            </w:tr>
            <w:tr w14:paraId="0925E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tcBorders>
                    <w:tl2br w:val="nil"/>
                    <w:tr2bl w:val="nil"/>
                  </w:tcBorders>
                  <w:vAlign w:val="center"/>
                </w:tcPr>
                <w:p w14:paraId="0EB984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695" w:type="dxa"/>
                  <w:vMerge w:val="continue"/>
                  <w:tcBorders>
                    <w:tl2br w:val="nil"/>
                    <w:tr2bl w:val="nil"/>
                  </w:tcBorders>
                  <w:vAlign w:val="center"/>
                </w:tcPr>
                <w:p w14:paraId="4C620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60" w:type="dxa"/>
                  <w:tcBorders>
                    <w:tl2br w:val="nil"/>
                    <w:tr2bl w:val="nil"/>
                  </w:tcBorders>
                  <w:vAlign w:val="center"/>
                </w:tcPr>
                <w:p w14:paraId="3D4ED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原因</w:t>
                  </w:r>
                </w:p>
              </w:tc>
              <w:tc>
                <w:tcPr>
                  <w:tcW w:w="1095" w:type="dxa"/>
                  <w:tcBorders>
                    <w:tl2br w:val="nil"/>
                    <w:tr2bl w:val="nil"/>
                  </w:tcBorders>
                  <w:vAlign w:val="center"/>
                </w:tcPr>
                <w:p w14:paraId="0D13D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可能频次</w:t>
                  </w:r>
                </w:p>
              </w:tc>
              <w:tc>
                <w:tcPr>
                  <w:tcW w:w="1110" w:type="dxa"/>
                  <w:tcBorders>
                    <w:tl2br w:val="nil"/>
                    <w:tr2bl w:val="nil"/>
                  </w:tcBorders>
                  <w:vAlign w:val="center"/>
                </w:tcPr>
                <w:p w14:paraId="405E5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2057" w:type="dxa"/>
                  <w:vMerge w:val="continue"/>
                  <w:tcBorders>
                    <w:tl2br w:val="nil"/>
                    <w:tr2bl w:val="nil"/>
                  </w:tcBorders>
                  <w:vAlign w:val="center"/>
                </w:tcPr>
                <w:p w14:paraId="2AC2F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14844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071D2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695" w:type="dxa"/>
                  <w:tcBorders>
                    <w:tl2br w:val="nil"/>
                    <w:tr2bl w:val="nil"/>
                  </w:tcBorders>
                  <w:vAlign w:val="center"/>
                </w:tcPr>
                <w:p w14:paraId="11F49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960" w:type="dxa"/>
                  <w:vMerge w:val="restart"/>
                  <w:tcBorders>
                    <w:tl2br w:val="nil"/>
                    <w:tr2bl w:val="nil"/>
                  </w:tcBorders>
                  <w:vAlign w:val="center"/>
                </w:tcPr>
                <w:p w14:paraId="4424E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①排风系统故障；</w:t>
                  </w:r>
                </w:p>
                <w:p w14:paraId="452E5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②活性炭饱和或失活。</w:t>
                  </w:r>
                </w:p>
              </w:tc>
              <w:tc>
                <w:tcPr>
                  <w:tcW w:w="1095" w:type="dxa"/>
                  <w:vMerge w:val="restart"/>
                  <w:tcBorders>
                    <w:tl2br w:val="nil"/>
                    <w:tr2bl w:val="nil"/>
                  </w:tcBorders>
                  <w:vAlign w:val="center"/>
                </w:tcPr>
                <w:p w14:paraId="6298C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1次/a</w:t>
                  </w:r>
                </w:p>
              </w:tc>
              <w:tc>
                <w:tcPr>
                  <w:tcW w:w="1110" w:type="dxa"/>
                  <w:vMerge w:val="restart"/>
                  <w:tcBorders>
                    <w:tl2br w:val="nil"/>
                    <w:tr2bl w:val="nil"/>
                  </w:tcBorders>
                  <w:vAlign w:val="center"/>
                </w:tcPr>
                <w:p w14:paraId="6B73E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2h/次</w:t>
                  </w:r>
                </w:p>
              </w:tc>
              <w:tc>
                <w:tcPr>
                  <w:tcW w:w="2057" w:type="dxa"/>
                  <w:vMerge w:val="restart"/>
                  <w:tcBorders>
                    <w:tl2br w:val="nil"/>
                    <w:tr2bl w:val="nil"/>
                  </w:tcBorders>
                  <w:vAlign w:val="center"/>
                </w:tcPr>
                <w:p w14:paraId="035824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①立即停止运行，待相关设备设施修复后再行开展经营活动；②定期检查保养相关设备及设施；③常备新鲜活性炭，并妥善保存；④加强管理，检查设施运行情况。</w:t>
                  </w:r>
                </w:p>
              </w:tc>
            </w:tr>
            <w:tr w14:paraId="2CB7E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23F9E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695" w:type="dxa"/>
                  <w:tcBorders>
                    <w:tl2br w:val="nil"/>
                    <w:tr2bl w:val="nil"/>
                  </w:tcBorders>
                  <w:vAlign w:val="center"/>
                </w:tcPr>
                <w:p w14:paraId="44DAD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0.075</w:t>
                  </w:r>
                </w:p>
              </w:tc>
              <w:tc>
                <w:tcPr>
                  <w:tcW w:w="960" w:type="dxa"/>
                  <w:vMerge w:val="continue"/>
                  <w:tcBorders>
                    <w:tl2br w:val="nil"/>
                    <w:tr2bl w:val="nil"/>
                  </w:tcBorders>
                  <w:vAlign w:val="center"/>
                </w:tcPr>
                <w:p w14:paraId="57978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5" w:type="dxa"/>
                  <w:vMerge w:val="continue"/>
                  <w:tcBorders>
                    <w:tl2br w:val="nil"/>
                    <w:tr2bl w:val="nil"/>
                  </w:tcBorders>
                  <w:vAlign w:val="center"/>
                </w:tcPr>
                <w:p w14:paraId="79965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1120A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057" w:type="dxa"/>
                  <w:vMerge w:val="continue"/>
                  <w:tcBorders>
                    <w:tl2br w:val="nil"/>
                    <w:tr2bl w:val="nil"/>
                  </w:tcBorders>
                  <w:vAlign w:val="center"/>
                </w:tcPr>
                <w:p w14:paraId="102A6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6DADD0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shd w:val="clear" w:color="auto" w:fill="auto"/>
                  <w:vAlign w:val="center"/>
                </w:tcPr>
                <w:p w14:paraId="6B111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臭气浓度</w:t>
                  </w:r>
                </w:p>
              </w:tc>
              <w:tc>
                <w:tcPr>
                  <w:tcW w:w="1695" w:type="dxa"/>
                  <w:tcBorders>
                    <w:tl2br w:val="nil"/>
                    <w:tr2bl w:val="nil"/>
                  </w:tcBorders>
                  <w:vAlign w:val="center"/>
                </w:tcPr>
                <w:p w14:paraId="47884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25</w:t>
                  </w:r>
                </w:p>
              </w:tc>
              <w:tc>
                <w:tcPr>
                  <w:tcW w:w="960" w:type="dxa"/>
                  <w:vMerge w:val="continue"/>
                  <w:tcBorders>
                    <w:tl2br w:val="nil"/>
                    <w:tr2bl w:val="nil"/>
                  </w:tcBorders>
                  <w:vAlign w:val="center"/>
                </w:tcPr>
                <w:p w14:paraId="73960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5" w:type="dxa"/>
                  <w:vMerge w:val="continue"/>
                  <w:tcBorders>
                    <w:tl2br w:val="nil"/>
                    <w:tr2bl w:val="nil"/>
                  </w:tcBorders>
                  <w:vAlign w:val="center"/>
                </w:tcPr>
                <w:p w14:paraId="4B6D6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25EAC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057" w:type="dxa"/>
                  <w:vMerge w:val="continue"/>
                  <w:tcBorders>
                    <w:tl2br w:val="nil"/>
                    <w:tr2bl w:val="nil"/>
                  </w:tcBorders>
                  <w:vAlign w:val="center"/>
                </w:tcPr>
                <w:p w14:paraId="607174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66C060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5" w:type="dxa"/>
                  <w:gridSpan w:val="6"/>
                  <w:tcBorders>
                    <w:tl2br w:val="nil"/>
                    <w:tr2bl w:val="nil"/>
                  </w:tcBorders>
                  <w:vAlign w:val="center"/>
                </w:tcPr>
                <w:p w14:paraId="255BD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非正常情况下的污染物排放浓度即为污染物产生浓度（未经治理），可以通过各污染物治理后的排放浓度与废气净化效率进行反推计算得出</w:t>
                  </w:r>
                </w:p>
              </w:tc>
            </w:tr>
          </w:tbl>
          <w:p w14:paraId="12BB7357">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default"/>
                <w:sz w:val="24"/>
                <w:szCs w:val="24"/>
                <w:lang w:val="en-US" w:eastAsia="zh-CN"/>
              </w:rPr>
              <w:t>经分析计算，项目非正常工况存在时间较短，在该时段下异味会对外环境产生轻微影响。为避免废气的非正常排放，建设单位须加强废气处理设备的管理，定期检修及保养，确保环保设施正常运行。医院内可常备额外的活性炭滤料，并妥善保存以防失效。在出现活性炭饱和或失活的情况下，可自行进行更换。此外，建设单位应加强对员工的环保意识及相关知识的培训与管理，由专人每日检查环保治理设备或设施的运行状况。</w:t>
            </w:r>
          </w:p>
          <w:p w14:paraId="5A60F104">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eastAsia"/>
                <w:sz w:val="24"/>
                <w:szCs w:val="24"/>
                <w:lang w:val="en-US" w:eastAsia="zh-CN"/>
              </w:rPr>
              <w:t>4）大气环境影响结论</w:t>
            </w:r>
          </w:p>
          <w:p w14:paraId="305B4C93">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default"/>
                <w:sz w:val="24"/>
                <w:szCs w:val="24"/>
                <w:lang w:val="en-US" w:eastAsia="zh-CN"/>
              </w:rPr>
              <w:t>项目产生的废气为猫、狗宠物自身产生的异味，以氨、硫化氢、臭气浓度指标计，经分析计算，在采取有效除异味措施的情况下，各项污染物厂界处的无组织排放浓度能够满足北京市《大气污染物综合排放标准》（DB11/501-2017）中</w:t>
            </w:r>
            <w:r>
              <w:rPr>
                <w:rFonts w:hint="eastAsia"/>
                <w:sz w:val="24"/>
                <w:szCs w:val="24"/>
                <w:lang w:val="en-US" w:eastAsia="zh-CN"/>
              </w:rPr>
              <w:t>“</w:t>
            </w:r>
            <w:r>
              <w:rPr>
                <w:rFonts w:hint="default"/>
                <w:sz w:val="24"/>
                <w:szCs w:val="24"/>
                <w:lang w:val="en-US" w:eastAsia="zh-CN"/>
              </w:rPr>
              <w:t>表3 生产工艺废气及其他废气大气污染物排放限值</w:t>
            </w:r>
            <w:r>
              <w:rPr>
                <w:rFonts w:hint="eastAsia"/>
                <w:sz w:val="24"/>
                <w:szCs w:val="24"/>
                <w:lang w:val="en-US" w:eastAsia="zh-CN"/>
              </w:rPr>
              <w:t>”</w:t>
            </w:r>
            <w:r>
              <w:rPr>
                <w:rFonts w:hint="default"/>
                <w:sz w:val="24"/>
                <w:szCs w:val="24"/>
                <w:lang w:val="en-US" w:eastAsia="zh-CN"/>
              </w:rPr>
              <w:t>中的</w:t>
            </w:r>
            <w:r>
              <w:rPr>
                <w:rFonts w:hint="eastAsia"/>
                <w:sz w:val="24"/>
                <w:szCs w:val="24"/>
                <w:lang w:val="en-US" w:eastAsia="zh-CN"/>
              </w:rPr>
              <w:t>“</w:t>
            </w:r>
            <w:r>
              <w:rPr>
                <w:rFonts w:hint="default"/>
                <w:sz w:val="24"/>
                <w:szCs w:val="24"/>
                <w:lang w:val="en-US" w:eastAsia="zh-CN"/>
              </w:rPr>
              <w:t>单位周界无组织排放监控点浓度限值</w:t>
            </w:r>
            <w:r>
              <w:rPr>
                <w:rFonts w:hint="eastAsia"/>
                <w:sz w:val="24"/>
                <w:szCs w:val="24"/>
                <w:lang w:val="en-US" w:eastAsia="zh-CN"/>
              </w:rPr>
              <w:t>”</w:t>
            </w:r>
            <w:r>
              <w:rPr>
                <w:rFonts w:hint="default"/>
                <w:sz w:val="24"/>
                <w:szCs w:val="24"/>
                <w:lang w:val="en-US" w:eastAsia="zh-CN"/>
              </w:rPr>
              <w:t>的要求。建设单位拟采取切实可行的污染防治措施对异味进行清除，项目异味对周边的环境空气，以及周围住宅楼居民的生活环境影响很小。</w:t>
            </w:r>
          </w:p>
          <w:p w14:paraId="1AE91D90">
            <w:pPr>
              <w:keepNext w:val="0"/>
              <w:keepLines w:val="0"/>
              <w:pageBreakBefore w:val="0"/>
              <w:widowControl w:val="0"/>
              <w:kinsoku/>
              <w:wordWrap/>
              <w:overflowPunct/>
              <w:topLinePunct w:val="0"/>
              <w:autoSpaceDE/>
              <w:autoSpaceDN/>
              <w:bidi w:val="0"/>
              <w:adjustRightInd w:val="0"/>
              <w:snapToGrid w:val="0"/>
              <w:textAlignment w:val="auto"/>
              <w:rPr>
                <w:rFonts w:hint="default"/>
                <w:sz w:val="24"/>
                <w:szCs w:val="24"/>
                <w:lang w:val="en-US" w:eastAsia="zh-CN"/>
              </w:rPr>
            </w:pPr>
            <w:r>
              <w:rPr>
                <w:rFonts w:hint="default"/>
                <w:sz w:val="24"/>
                <w:szCs w:val="24"/>
                <w:lang w:val="en-US" w:eastAsia="zh-CN"/>
              </w:rPr>
              <w:t>根据《排污单位自行监测技术指南 总则》（HJ 819-2017），项目废气监测计划见</w:t>
            </w:r>
            <w:r>
              <w:rPr>
                <w:rFonts w:hint="eastAsia"/>
                <w:sz w:val="24"/>
                <w:szCs w:val="24"/>
                <w:lang w:val="en-US" w:eastAsia="zh-CN"/>
              </w:rPr>
              <w:t>下表。</w:t>
            </w:r>
          </w:p>
          <w:p w14:paraId="7641D582">
            <w:pPr>
              <w:pStyle w:val="11"/>
              <w:bidi w:val="0"/>
              <w:rPr>
                <w:rFonts w:hint="default"/>
                <w:lang w:val="en-US" w:eastAsia="zh-CN"/>
              </w:rPr>
            </w:pPr>
            <w:r>
              <w:rPr>
                <w:rFonts w:hint="eastAsia"/>
                <w:lang w:val="en-US" w:eastAsia="zh-CN"/>
              </w:rPr>
              <w:t>表4-7 项目废气监测计划</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915"/>
              <w:gridCol w:w="1125"/>
              <w:gridCol w:w="1305"/>
              <w:gridCol w:w="1276"/>
              <w:gridCol w:w="854"/>
              <w:gridCol w:w="1439"/>
            </w:tblGrid>
            <w:tr w14:paraId="29788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tcBorders>
                    <w:tl2br w:val="nil"/>
                    <w:tr2bl w:val="nil"/>
                  </w:tcBorders>
                  <w:vAlign w:val="center"/>
                </w:tcPr>
                <w:p w14:paraId="5B7CA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监测内容</w:t>
                  </w:r>
                </w:p>
              </w:tc>
              <w:tc>
                <w:tcPr>
                  <w:tcW w:w="915" w:type="dxa"/>
                  <w:vMerge w:val="restart"/>
                  <w:tcBorders>
                    <w:tl2br w:val="nil"/>
                    <w:tr2bl w:val="nil"/>
                  </w:tcBorders>
                  <w:vAlign w:val="center"/>
                </w:tcPr>
                <w:p w14:paraId="65361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排污口</w:t>
                  </w:r>
                </w:p>
              </w:tc>
              <w:tc>
                <w:tcPr>
                  <w:tcW w:w="1125" w:type="dxa"/>
                  <w:vMerge w:val="restart"/>
                  <w:tcBorders>
                    <w:tl2br w:val="nil"/>
                    <w:tr2bl w:val="nil"/>
                  </w:tcBorders>
                  <w:vAlign w:val="center"/>
                </w:tcPr>
                <w:p w14:paraId="0F16D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305" w:type="dxa"/>
                  <w:vMerge w:val="restart"/>
                  <w:tcBorders>
                    <w:tl2br w:val="nil"/>
                    <w:tr2bl w:val="nil"/>
                  </w:tcBorders>
                  <w:vAlign w:val="center"/>
                </w:tcPr>
                <w:p w14:paraId="03C32E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排放限值</w:t>
                  </w:r>
                </w:p>
              </w:tc>
              <w:tc>
                <w:tcPr>
                  <w:tcW w:w="3569" w:type="dxa"/>
                  <w:gridSpan w:val="3"/>
                  <w:tcBorders>
                    <w:tl2br w:val="nil"/>
                    <w:tr2bl w:val="nil"/>
                  </w:tcBorders>
                  <w:vAlign w:val="center"/>
                </w:tcPr>
                <w:p w14:paraId="08727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环境监测</w:t>
                  </w:r>
                </w:p>
              </w:tc>
            </w:tr>
            <w:tr w14:paraId="1411E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tcBorders>
                    <w:tl2br w:val="nil"/>
                    <w:tr2bl w:val="nil"/>
                  </w:tcBorders>
                  <w:vAlign w:val="center"/>
                </w:tcPr>
                <w:p w14:paraId="194B8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53DEA5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5" w:type="dxa"/>
                  <w:vMerge w:val="continue"/>
                  <w:tcBorders>
                    <w:tl2br w:val="nil"/>
                    <w:tr2bl w:val="nil"/>
                  </w:tcBorders>
                  <w:vAlign w:val="center"/>
                </w:tcPr>
                <w:p w14:paraId="2B99F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305" w:type="dxa"/>
                  <w:vMerge w:val="continue"/>
                  <w:tcBorders>
                    <w:tl2br w:val="nil"/>
                    <w:tr2bl w:val="nil"/>
                  </w:tcBorders>
                  <w:vAlign w:val="center"/>
                </w:tcPr>
                <w:p w14:paraId="4820B7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76" w:type="dxa"/>
                  <w:tcBorders>
                    <w:tl2br w:val="nil"/>
                    <w:tr2bl w:val="nil"/>
                  </w:tcBorders>
                  <w:vAlign w:val="center"/>
                </w:tcPr>
                <w:p w14:paraId="2949E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854" w:type="dxa"/>
                  <w:tcBorders>
                    <w:tl2br w:val="nil"/>
                    <w:tr2bl w:val="nil"/>
                  </w:tcBorders>
                  <w:vAlign w:val="center"/>
                </w:tcPr>
                <w:p w14:paraId="467CB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1439" w:type="dxa"/>
                  <w:tcBorders>
                    <w:tl2br w:val="nil"/>
                    <w:tr2bl w:val="nil"/>
                  </w:tcBorders>
                  <w:vAlign w:val="center"/>
                </w:tcPr>
                <w:p w14:paraId="253F6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计划</w:t>
                  </w:r>
                </w:p>
              </w:tc>
            </w:tr>
            <w:tr w14:paraId="23A17A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tcBorders>
                    <w:tl2br w:val="nil"/>
                    <w:tr2bl w:val="nil"/>
                  </w:tcBorders>
                  <w:vAlign w:val="center"/>
                </w:tcPr>
                <w:p w14:paraId="25C03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动物异味</w:t>
                  </w:r>
                </w:p>
              </w:tc>
              <w:tc>
                <w:tcPr>
                  <w:tcW w:w="915" w:type="dxa"/>
                  <w:vMerge w:val="restart"/>
                  <w:tcBorders>
                    <w:tl2br w:val="nil"/>
                    <w:tr2bl w:val="nil"/>
                  </w:tcBorders>
                  <w:vAlign w:val="center"/>
                </w:tcPr>
                <w:p w14:paraId="540E2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无组织排放</w:t>
                  </w:r>
                </w:p>
              </w:tc>
              <w:tc>
                <w:tcPr>
                  <w:tcW w:w="1125" w:type="dxa"/>
                  <w:tcBorders>
                    <w:tl2br w:val="nil"/>
                    <w:tr2bl w:val="nil"/>
                  </w:tcBorders>
                  <w:vAlign w:val="center"/>
                </w:tcPr>
                <w:p w14:paraId="3C57D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c>
                <w:tcPr>
                  <w:tcW w:w="1305" w:type="dxa"/>
                  <w:tcBorders>
                    <w:tl2br w:val="nil"/>
                    <w:tr2bl w:val="nil"/>
                  </w:tcBorders>
                  <w:vAlign w:val="center"/>
                </w:tcPr>
                <w:p w14:paraId="072B0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w:t>
                  </w:r>
                </w:p>
              </w:tc>
              <w:tc>
                <w:tcPr>
                  <w:tcW w:w="1276" w:type="dxa"/>
                  <w:vMerge w:val="restart"/>
                  <w:tcBorders>
                    <w:tl2br w:val="nil"/>
                    <w:tr2bl w:val="nil"/>
                  </w:tcBorders>
                  <w:vAlign w:val="center"/>
                </w:tcPr>
                <w:p w14:paraId="33EEB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单位周界无组织排放监控点</w:t>
                  </w:r>
                </w:p>
              </w:tc>
              <w:tc>
                <w:tcPr>
                  <w:tcW w:w="854" w:type="dxa"/>
                  <w:vMerge w:val="restart"/>
                  <w:tcBorders>
                    <w:tl2br w:val="nil"/>
                    <w:tr2bl w:val="nil"/>
                  </w:tcBorders>
                  <w:vAlign w:val="center"/>
                </w:tcPr>
                <w:p w14:paraId="04DFA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1次/年</w:t>
                  </w:r>
                </w:p>
              </w:tc>
              <w:tc>
                <w:tcPr>
                  <w:tcW w:w="1439" w:type="dxa"/>
                  <w:vMerge w:val="restart"/>
                  <w:tcBorders>
                    <w:tl2br w:val="nil"/>
                    <w:tr2bl w:val="nil"/>
                  </w:tcBorders>
                  <w:vAlign w:val="center"/>
                </w:tcPr>
                <w:p w14:paraId="78B7E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委托具有CMA相关资质的第三方机构监测</w:t>
                  </w:r>
                </w:p>
              </w:tc>
            </w:tr>
            <w:tr w14:paraId="48DB7A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tcBorders>
                    <w:tl2br w:val="nil"/>
                    <w:tr2bl w:val="nil"/>
                  </w:tcBorders>
                  <w:vAlign w:val="center"/>
                </w:tcPr>
                <w:p w14:paraId="34071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3713B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5" w:type="dxa"/>
                  <w:tcBorders>
                    <w:tl2br w:val="nil"/>
                    <w:tr2bl w:val="nil"/>
                  </w:tcBorders>
                  <w:vAlign w:val="center"/>
                </w:tcPr>
                <w:p w14:paraId="29D9A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1305" w:type="dxa"/>
                  <w:tcBorders>
                    <w:tl2br w:val="nil"/>
                    <w:tr2bl w:val="nil"/>
                  </w:tcBorders>
                  <w:vAlign w:val="center"/>
                </w:tcPr>
                <w:p w14:paraId="6A3E2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w:t>
                  </w:r>
                </w:p>
              </w:tc>
              <w:tc>
                <w:tcPr>
                  <w:tcW w:w="1276" w:type="dxa"/>
                  <w:vMerge w:val="continue"/>
                  <w:tcBorders>
                    <w:tl2br w:val="nil"/>
                    <w:tr2bl w:val="nil"/>
                  </w:tcBorders>
                  <w:vAlign w:val="center"/>
                </w:tcPr>
                <w:p w14:paraId="3CFA6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54" w:type="dxa"/>
                  <w:vMerge w:val="continue"/>
                  <w:tcBorders>
                    <w:tl2br w:val="nil"/>
                    <w:tr2bl w:val="nil"/>
                  </w:tcBorders>
                  <w:vAlign w:val="center"/>
                </w:tcPr>
                <w:p w14:paraId="7EFAE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439" w:type="dxa"/>
                  <w:vMerge w:val="continue"/>
                  <w:tcBorders>
                    <w:tl2br w:val="nil"/>
                    <w:tr2bl w:val="nil"/>
                  </w:tcBorders>
                  <w:vAlign w:val="center"/>
                </w:tcPr>
                <w:p w14:paraId="35078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348A83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tcBorders>
                    <w:tl2br w:val="nil"/>
                    <w:tr2bl w:val="nil"/>
                  </w:tcBorders>
                  <w:vAlign w:val="center"/>
                </w:tcPr>
                <w:p w14:paraId="66FCD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3FDF40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5" w:type="dxa"/>
                  <w:tcBorders>
                    <w:tl2br w:val="nil"/>
                    <w:tr2bl w:val="nil"/>
                  </w:tcBorders>
                  <w:vAlign w:val="center"/>
                </w:tcPr>
                <w:p w14:paraId="41E0B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臭气浓度</w:t>
                  </w:r>
                </w:p>
              </w:tc>
              <w:tc>
                <w:tcPr>
                  <w:tcW w:w="1305" w:type="dxa"/>
                  <w:tcBorders>
                    <w:tl2br w:val="nil"/>
                    <w:tr2bl w:val="nil"/>
                  </w:tcBorders>
                  <w:vAlign w:val="center"/>
                </w:tcPr>
                <w:p w14:paraId="5F5F0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20（无量纲）</w:t>
                  </w:r>
                </w:p>
              </w:tc>
              <w:tc>
                <w:tcPr>
                  <w:tcW w:w="1276" w:type="dxa"/>
                  <w:vMerge w:val="continue"/>
                  <w:tcBorders>
                    <w:tl2br w:val="nil"/>
                    <w:tr2bl w:val="nil"/>
                  </w:tcBorders>
                  <w:vAlign w:val="center"/>
                </w:tcPr>
                <w:p w14:paraId="15953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854" w:type="dxa"/>
                  <w:vMerge w:val="continue"/>
                  <w:tcBorders>
                    <w:tl2br w:val="nil"/>
                    <w:tr2bl w:val="nil"/>
                  </w:tcBorders>
                  <w:vAlign w:val="center"/>
                </w:tcPr>
                <w:p w14:paraId="75AC8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439" w:type="dxa"/>
                  <w:vMerge w:val="continue"/>
                  <w:tcBorders>
                    <w:tl2br w:val="nil"/>
                    <w:tr2bl w:val="nil"/>
                  </w:tcBorders>
                  <w:vAlign w:val="center"/>
                </w:tcPr>
                <w:p w14:paraId="4EF7F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63879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tcBorders>
                    <w:tl2br w:val="nil"/>
                    <w:tr2bl w:val="nil"/>
                  </w:tcBorders>
                  <w:vAlign w:val="center"/>
                </w:tcPr>
                <w:p w14:paraId="6F8FF8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备注</w:t>
                  </w:r>
                </w:p>
              </w:tc>
              <w:tc>
                <w:tcPr>
                  <w:tcW w:w="6914" w:type="dxa"/>
                  <w:gridSpan w:val="6"/>
                  <w:tcBorders>
                    <w:tl2br w:val="nil"/>
                    <w:tr2bl w:val="nil"/>
                  </w:tcBorders>
                  <w:vAlign w:val="center"/>
                </w:tcPr>
                <w:p w14:paraId="22E711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在有公众对项目投诉的情况时，建设单位应按照相关要求增加监测频次。</w:t>
                  </w:r>
                </w:p>
              </w:tc>
            </w:tr>
          </w:tbl>
          <w:p w14:paraId="31CF0E5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2、水环境影响分析</w:t>
            </w:r>
          </w:p>
          <w:p w14:paraId="578624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（1）废水源强核算</w:t>
            </w:r>
          </w:p>
          <w:p w14:paraId="15B4325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本项目总排水量为0.79m</w:t>
            </w:r>
            <w:r>
              <w:rPr>
                <w:rFonts w:hint="eastAsia"/>
                <w:vertAlign w:val="superscript"/>
                <w:lang w:val="en-US" w:eastAsia="zh-CN"/>
              </w:rPr>
              <w:t>3</w:t>
            </w:r>
            <w:r>
              <w:rPr>
                <w:rFonts w:hint="eastAsia"/>
                <w:lang w:val="en-US" w:eastAsia="zh-CN"/>
              </w:rPr>
              <w:t>/d、188.64m</w:t>
            </w:r>
            <w:r>
              <w:rPr>
                <w:rFonts w:hint="eastAsia"/>
                <w:vertAlign w:val="superscript"/>
                <w:lang w:val="en-US" w:eastAsia="zh-CN"/>
              </w:rPr>
              <w:t>3</w:t>
            </w:r>
            <w:r>
              <w:rPr>
                <w:rFonts w:hint="eastAsia"/>
                <w:lang w:val="en-US" w:eastAsia="zh-CN"/>
              </w:rPr>
              <w:t>/a，其中动物诊疗废水排水量为0.22m</w:t>
            </w:r>
            <w:r>
              <w:rPr>
                <w:rFonts w:hint="eastAsia"/>
                <w:vertAlign w:val="superscript"/>
                <w:lang w:val="en-US" w:eastAsia="zh-CN"/>
              </w:rPr>
              <w:t>3</w:t>
            </w:r>
            <w:r>
              <w:rPr>
                <w:rFonts w:hint="eastAsia"/>
                <w:lang w:val="en-US" w:eastAsia="zh-CN"/>
              </w:rPr>
              <w:t>/d、51.84m</w:t>
            </w:r>
            <w:r>
              <w:rPr>
                <w:rFonts w:hint="eastAsia"/>
                <w:vertAlign w:val="superscript"/>
                <w:lang w:val="en-US" w:eastAsia="zh-CN"/>
              </w:rPr>
              <w:t>3</w:t>
            </w:r>
            <w:r>
              <w:rPr>
                <w:rFonts w:hint="eastAsia"/>
                <w:lang w:val="en-US" w:eastAsia="zh-CN"/>
              </w:rPr>
              <w:t>/a，美容洗浴废水排水量为0.16m</w:t>
            </w:r>
            <w:r>
              <w:rPr>
                <w:rFonts w:hint="eastAsia"/>
                <w:vertAlign w:val="superscript"/>
                <w:lang w:val="en-US" w:eastAsia="zh-CN"/>
              </w:rPr>
              <w:t>3</w:t>
            </w:r>
            <w:r>
              <w:rPr>
                <w:rFonts w:hint="eastAsia"/>
                <w:lang w:val="en-US" w:eastAsia="zh-CN"/>
              </w:rPr>
              <w:t>/d、38.88m</w:t>
            </w:r>
            <w:r>
              <w:rPr>
                <w:rFonts w:hint="eastAsia"/>
                <w:vertAlign w:val="superscript"/>
                <w:lang w:val="en-US" w:eastAsia="zh-CN"/>
              </w:rPr>
              <w:t>3</w:t>
            </w:r>
            <w:r>
              <w:rPr>
                <w:rFonts w:hint="eastAsia"/>
                <w:lang w:val="en-US" w:eastAsia="zh-CN"/>
              </w:rPr>
              <w:t>/a，生活废水排水量为0.41m</w:t>
            </w:r>
            <w:r>
              <w:rPr>
                <w:rFonts w:hint="eastAsia"/>
                <w:vertAlign w:val="superscript"/>
                <w:lang w:val="en-US" w:eastAsia="zh-CN"/>
              </w:rPr>
              <w:t>3</w:t>
            </w:r>
            <w:r>
              <w:rPr>
                <w:rFonts w:hint="eastAsia"/>
                <w:lang w:val="en-US" w:eastAsia="zh-CN"/>
              </w:rPr>
              <w:t>/d、97.92m</w:t>
            </w:r>
            <w:r>
              <w:rPr>
                <w:rFonts w:hint="eastAsia"/>
                <w:vertAlign w:val="superscript"/>
                <w:lang w:val="en-US" w:eastAsia="zh-CN"/>
              </w:rPr>
              <w:t>3</w:t>
            </w:r>
            <w:r>
              <w:rPr>
                <w:rFonts w:hint="eastAsia"/>
                <w:lang w:val="en-US" w:eastAsia="zh-CN"/>
              </w:rPr>
              <w:t>/a。动物诊疗废水和美容洗浴废水经污水处理设施消毒处理后，同生活废水一同排入所在建筑防渗化粪池进行预处理，最终经市政污水管网排入小红门再生水厂。</w:t>
            </w:r>
          </w:p>
          <w:p w14:paraId="472D13C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项目生活污水水质参照《水工业工程设计手册建筑和小区给水排水》中，P650表12-41公共建筑生活污水水质的数据。废水中主要污染物浓度变化范围：CODcr：350~450mg/L、BOD</w:t>
            </w:r>
            <w:r>
              <w:rPr>
                <w:rFonts w:hint="eastAsia"/>
                <w:vertAlign w:val="subscript"/>
                <w:lang w:val="en-US" w:eastAsia="zh-CN"/>
              </w:rPr>
              <w:t>5</w:t>
            </w:r>
            <w:r>
              <w:rPr>
                <w:rFonts w:hint="eastAsia"/>
                <w:lang w:val="en-US" w:eastAsia="zh-CN"/>
              </w:rPr>
              <w:t>：180~250mg/L、SS：200~300mg/L、氨氮：35~40mg/L，均取最大值。粪大肠菌群参考《酶底物法测定东莞市地下水、地表水、生活污水中粪大肠菌群、总大肠菌群的研究》（广东化工2021年第9期第48卷，刘文亮，东莞市环境监测中心站，广东东莞523000）中生活污水实际样品粪大肠菌群检测结果在1400~1700MPN/L，本项目取最大值。</w:t>
            </w:r>
          </w:p>
          <w:p w14:paraId="6FFEB3E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动物诊疗废水、美容洗浴废水参照《医院污水处理工程技术规范》（HJ2029-2013）中医疗废水浓度范围为：pH：6.5~9（无量纲）、COD：150~300mg/L、BOD</w:t>
            </w:r>
            <w:r>
              <w:rPr>
                <w:rFonts w:hint="eastAsia"/>
                <w:vertAlign w:val="subscript"/>
                <w:lang w:val="en-US" w:eastAsia="zh-CN"/>
              </w:rPr>
              <w:t>5</w:t>
            </w:r>
            <w:r>
              <w:rPr>
                <w:rFonts w:hint="eastAsia"/>
                <w:lang w:val="en-US" w:eastAsia="zh-CN"/>
              </w:rPr>
              <w:t>：80~150mg/L、SS：40~120mg/L、粪大肠菌群：1.0×10</w:t>
            </w:r>
            <w:r>
              <w:rPr>
                <w:rFonts w:hint="eastAsia"/>
                <w:vertAlign w:val="superscript"/>
                <w:lang w:val="en-US" w:eastAsia="zh-CN"/>
              </w:rPr>
              <w:t>6</w:t>
            </w:r>
            <w:r>
              <w:rPr>
                <w:rFonts w:hint="eastAsia"/>
                <w:lang w:val="en-US" w:eastAsia="zh-CN"/>
              </w:rPr>
              <w:t>~3.0×10</w:t>
            </w:r>
            <w:r>
              <w:rPr>
                <w:rFonts w:hint="eastAsia"/>
                <w:vertAlign w:val="superscript"/>
                <w:lang w:val="en-US" w:eastAsia="zh-CN"/>
              </w:rPr>
              <w:t>8</w:t>
            </w:r>
            <w:r>
              <w:rPr>
                <w:rFonts w:hint="eastAsia"/>
                <w:lang w:val="en-US" w:eastAsia="zh-CN"/>
              </w:rPr>
              <w:t>MPN/L、氨氮：20~45mg/L。本项目均按高限取值，即诊疗废水、美容洗浴废水中主要污染物产生浓度是CODcr：300mg/L、BOD</w:t>
            </w:r>
            <w:r>
              <w:rPr>
                <w:rFonts w:hint="eastAsia"/>
                <w:vertAlign w:val="subscript"/>
                <w:lang w:val="en-US" w:eastAsia="zh-CN"/>
              </w:rPr>
              <w:t>5</w:t>
            </w:r>
            <w:r>
              <w:rPr>
                <w:rFonts w:hint="eastAsia"/>
                <w:lang w:val="en-US" w:eastAsia="zh-CN"/>
              </w:rPr>
              <w:t>：150mg/L、SS：120mg/L、氨氮：45mg/L、粪大肠菌群3.0×10</w:t>
            </w:r>
            <w:r>
              <w:rPr>
                <w:rFonts w:hint="eastAsia"/>
                <w:vertAlign w:val="superscript"/>
                <w:lang w:val="en-US" w:eastAsia="zh-CN"/>
              </w:rPr>
              <w:t>8</w:t>
            </w:r>
            <w:r>
              <w:rPr>
                <w:rFonts w:hint="eastAsia"/>
                <w:lang w:val="en-US" w:eastAsia="zh-CN"/>
              </w:rPr>
              <w:t>MPN/L。</w:t>
            </w:r>
          </w:p>
          <w:p w14:paraId="721F2AB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（2）治理措施</w:t>
            </w:r>
          </w:p>
          <w:p w14:paraId="3C2E623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本项目安装3套污水处理设备对动物诊疗废水、美容洗浴废水进行消毒处理，设备分别位于医院美容洗浴室、化验室、手术室，设备日处理能力均为1m</w:t>
            </w:r>
            <w:r>
              <w:rPr>
                <w:rFonts w:hint="eastAsia"/>
                <w:vertAlign w:val="superscript"/>
                <w:lang w:val="en-US" w:eastAsia="zh-CN"/>
              </w:rPr>
              <w:t>3</w:t>
            </w:r>
            <w:r>
              <w:rPr>
                <w:rFonts w:hint="eastAsia"/>
                <w:lang w:val="en-US" w:eastAsia="zh-CN"/>
              </w:rPr>
              <w:t>/d，采用次氯酸钠消毒工艺。污水处理流程为：</w:t>
            </w:r>
          </w:p>
          <w:p w14:paraId="57C74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drawing>
                <wp:inline distT="0" distB="0" distL="114300" distR="114300">
                  <wp:extent cx="3959860" cy="1913255"/>
                  <wp:effectExtent l="0" t="0" r="0" b="0"/>
                  <wp:docPr id="1"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wps"/>
                          <pic:cNvPicPr>
                            <a:picLocks noChangeAspect="1"/>
                          </pic:cNvPicPr>
                        </pic:nvPicPr>
                        <pic:blipFill>
                          <a:blip r:embed="rId21"/>
                          <a:stretch>
                            <a:fillRect/>
                          </a:stretch>
                        </pic:blipFill>
                        <pic:spPr>
                          <a:xfrm>
                            <a:off x="0" y="0"/>
                            <a:ext cx="3959860" cy="1913255"/>
                          </a:xfrm>
                          <a:prstGeom prst="rect">
                            <a:avLst/>
                          </a:prstGeom>
                        </pic:spPr>
                      </pic:pic>
                    </a:graphicData>
                  </a:graphic>
                </wp:inline>
              </w:drawing>
            </w:r>
          </w:p>
          <w:p w14:paraId="3DB68D1A">
            <w:pPr>
              <w:pStyle w:val="11"/>
              <w:bidi w:val="0"/>
              <w:rPr>
                <w:rFonts w:hint="default"/>
                <w:lang w:val="en-US" w:eastAsia="zh-CN"/>
              </w:rPr>
            </w:pPr>
            <w:r>
              <w:rPr>
                <w:rFonts w:hint="eastAsia"/>
                <w:lang w:val="en-US" w:eastAsia="zh-CN"/>
              </w:rPr>
              <w:t>图4-1 污水处理设备处理工艺示意图</w:t>
            </w:r>
          </w:p>
          <w:p w14:paraId="15296922">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废水汇入调节池，经停留时间1小时后，再自流至消毒池。消毒单元采用手工定时投放次氯酸钠消毒药剂，废水与消毒剂充分混合反应，停留时间为1小时，可保证消毒效果。</w:t>
            </w:r>
          </w:p>
          <w:p w14:paraId="03D4C05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（3）环境影响分析</w:t>
            </w:r>
          </w:p>
          <w:p w14:paraId="5AE8AE1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1）废水排放分析</w:t>
            </w:r>
          </w:p>
          <w:p w14:paraId="698EE46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次氯酸钠和二氧化氯消毒液对城市污水消毒效果的研究》，10mg/L次氯酸钠（以有效氯计）接触20min对粪大肠菌群的去除率为99.999%。化粪池预处理效率参照《化粪池原理及水污染物去除率》中数据，化粪池对CODcr的处理效率约为15%，BOD</w:t>
            </w:r>
            <w:r>
              <w:rPr>
                <w:rFonts w:hint="eastAsia"/>
                <w:vertAlign w:val="subscript"/>
                <w:lang w:val="en-US" w:eastAsia="zh-CN"/>
              </w:rPr>
              <w:t>5</w:t>
            </w:r>
            <w:r>
              <w:rPr>
                <w:rFonts w:hint="eastAsia"/>
                <w:lang w:val="en-US" w:eastAsia="zh-CN"/>
              </w:rPr>
              <w:t>的处理效率约为9%，SS的处理效率约为30%，氨氮的处理效率约为3%。</w:t>
            </w:r>
          </w:p>
          <w:p w14:paraId="029AEA2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项目动物诊疗废水、美容洗浴废水经污水处理设备处理前后，与生活污水一同排入集中化粪池，经化粪池预处理前后的水质情况、各项污染物的产生量、排放量，见下表。</w:t>
            </w:r>
          </w:p>
          <w:p w14:paraId="71AB0172">
            <w:pPr>
              <w:pStyle w:val="11"/>
              <w:bidi w:val="0"/>
              <w:rPr>
                <w:rFonts w:hint="default"/>
                <w:lang w:val="en-US" w:eastAsia="zh-CN"/>
              </w:rPr>
            </w:pPr>
            <w:r>
              <w:rPr>
                <w:rFonts w:hint="eastAsia"/>
                <w:lang w:val="en-US" w:eastAsia="zh-CN"/>
              </w:rPr>
              <w:t>表4-8 项目水污染物产生量排放量一览表</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927"/>
              <w:gridCol w:w="927"/>
              <w:gridCol w:w="927"/>
              <w:gridCol w:w="927"/>
              <w:gridCol w:w="927"/>
              <w:gridCol w:w="1304"/>
            </w:tblGrid>
            <w:tr w14:paraId="1D218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3E3A4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指标</w:t>
                  </w:r>
                </w:p>
              </w:tc>
              <w:tc>
                <w:tcPr>
                  <w:tcW w:w="927" w:type="dxa"/>
                  <w:tcBorders>
                    <w:tl2br w:val="nil"/>
                    <w:tr2bl w:val="nil"/>
                  </w:tcBorders>
                  <w:vAlign w:val="center"/>
                </w:tcPr>
                <w:p w14:paraId="0EFFA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CODcr</w:t>
                  </w:r>
                </w:p>
              </w:tc>
              <w:tc>
                <w:tcPr>
                  <w:tcW w:w="927" w:type="dxa"/>
                  <w:tcBorders>
                    <w:tl2br w:val="nil"/>
                    <w:tr2bl w:val="nil"/>
                  </w:tcBorders>
                  <w:vAlign w:val="center"/>
                </w:tcPr>
                <w:p w14:paraId="3CB25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BOD</w:t>
                  </w:r>
                  <w:r>
                    <w:rPr>
                      <w:rFonts w:hint="eastAsia"/>
                      <w:b/>
                      <w:bCs/>
                      <w:sz w:val="21"/>
                      <w:szCs w:val="21"/>
                      <w:vertAlign w:val="subscript"/>
                      <w:lang w:val="en-US" w:eastAsia="zh-CN"/>
                    </w:rPr>
                    <w:t>5</w:t>
                  </w:r>
                </w:p>
              </w:tc>
              <w:tc>
                <w:tcPr>
                  <w:tcW w:w="927" w:type="dxa"/>
                  <w:tcBorders>
                    <w:tl2br w:val="nil"/>
                    <w:tr2bl w:val="nil"/>
                  </w:tcBorders>
                  <w:vAlign w:val="center"/>
                </w:tcPr>
                <w:p w14:paraId="08A51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NH</w:t>
                  </w:r>
                  <w:r>
                    <w:rPr>
                      <w:rFonts w:hint="eastAsia"/>
                      <w:b/>
                      <w:bCs/>
                      <w:sz w:val="21"/>
                      <w:szCs w:val="21"/>
                      <w:vertAlign w:val="subscript"/>
                      <w:lang w:val="en-US" w:eastAsia="zh-CN"/>
                    </w:rPr>
                    <w:t>3</w:t>
                  </w:r>
                  <w:r>
                    <w:rPr>
                      <w:rFonts w:hint="eastAsia"/>
                      <w:b/>
                      <w:bCs/>
                      <w:sz w:val="21"/>
                      <w:szCs w:val="21"/>
                      <w:vertAlign w:val="baseline"/>
                      <w:lang w:val="en-US" w:eastAsia="zh-CN"/>
                    </w:rPr>
                    <w:t>-N</w:t>
                  </w:r>
                </w:p>
              </w:tc>
              <w:tc>
                <w:tcPr>
                  <w:tcW w:w="927" w:type="dxa"/>
                  <w:tcBorders>
                    <w:tl2br w:val="nil"/>
                    <w:tr2bl w:val="nil"/>
                  </w:tcBorders>
                  <w:vAlign w:val="center"/>
                </w:tcPr>
                <w:p w14:paraId="276DC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SS</w:t>
                  </w:r>
                </w:p>
              </w:tc>
              <w:tc>
                <w:tcPr>
                  <w:tcW w:w="927" w:type="dxa"/>
                  <w:tcBorders>
                    <w:tl2br w:val="nil"/>
                    <w:tr2bl w:val="nil"/>
                  </w:tcBorders>
                  <w:vAlign w:val="center"/>
                </w:tcPr>
                <w:p w14:paraId="75984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总余氯</w:t>
                  </w:r>
                </w:p>
              </w:tc>
              <w:tc>
                <w:tcPr>
                  <w:tcW w:w="1304" w:type="dxa"/>
                  <w:tcBorders>
                    <w:tl2br w:val="nil"/>
                    <w:tr2bl w:val="nil"/>
                  </w:tcBorders>
                  <w:vAlign w:val="center"/>
                </w:tcPr>
                <w:p w14:paraId="55F30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粪大肠菌群</w:t>
                  </w:r>
                </w:p>
              </w:tc>
            </w:tr>
            <w:tr w14:paraId="10BE2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57BF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诊疗废水、美容洗浴废水处理前污染物产生浓度（mg/L）</w:t>
                  </w:r>
                </w:p>
              </w:tc>
              <w:tc>
                <w:tcPr>
                  <w:tcW w:w="927" w:type="dxa"/>
                  <w:tcBorders>
                    <w:tl2br w:val="nil"/>
                    <w:tr2bl w:val="nil"/>
                  </w:tcBorders>
                  <w:vAlign w:val="center"/>
                </w:tcPr>
                <w:p w14:paraId="22421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7FCB8E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150</w:t>
                  </w:r>
                </w:p>
              </w:tc>
              <w:tc>
                <w:tcPr>
                  <w:tcW w:w="927" w:type="dxa"/>
                  <w:tcBorders>
                    <w:tl2br w:val="nil"/>
                    <w:tr2bl w:val="nil"/>
                  </w:tcBorders>
                  <w:vAlign w:val="center"/>
                </w:tcPr>
                <w:p w14:paraId="5B978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0A447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120</w:t>
                  </w:r>
                </w:p>
              </w:tc>
              <w:tc>
                <w:tcPr>
                  <w:tcW w:w="927" w:type="dxa"/>
                  <w:tcBorders>
                    <w:tl2br w:val="nil"/>
                    <w:tr2bl w:val="nil"/>
                  </w:tcBorders>
                  <w:vAlign w:val="center"/>
                </w:tcPr>
                <w:p w14:paraId="14A05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1304" w:type="dxa"/>
                  <w:tcBorders>
                    <w:tl2br w:val="nil"/>
                    <w:tr2bl w:val="nil"/>
                  </w:tcBorders>
                  <w:vAlign w:val="center"/>
                </w:tcPr>
                <w:p w14:paraId="7041C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superscript"/>
                      <w:lang w:val="en-US" w:eastAsia="zh-CN"/>
                    </w:rPr>
                  </w:pPr>
                  <w:r>
                    <w:rPr>
                      <w:rFonts w:hint="eastAsia"/>
                      <w:sz w:val="21"/>
                      <w:szCs w:val="21"/>
                      <w:vertAlign w:val="baseline"/>
                      <w:lang w:val="en-US" w:eastAsia="zh-CN"/>
                    </w:rPr>
                    <w:t>3.0×10</w:t>
                  </w:r>
                  <w:r>
                    <w:rPr>
                      <w:rFonts w:hint="eastAsia"/>
                      <w:sz w:val="21"/>
                      <w:szCs w:val="21"/>
                      <w:vertAlign w:val="superscript"/>
                      <w:lang w:val="en-US" w:eastAsia="zh-CN"/>
                    </w:rPr>
                    <w:t>8</w:t>
                  </w:r>
                </w:p>
                <w:p w14:paraId="0E40C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42CA2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C39D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诊疗废水、美容洗浴废水各污染物产生量（t/a）</w:t>
                  </w:r>
                </w:p>
              </w:tc>
              <w:tc>
                <w:tcPr>
                  <w:tcW w:w="927" w:type="dxa"/>
                  <w:tcBorders>
                    <w:tl2br w:val="nil"/>
                    <w:tr2bl w:val="nil"/>
                  </w:tcBorders>
                  <w:vAlign w:val="center"/>
                </w:tcPr>
                <w:p w14:paraId="4704E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0.027</w:t>
                  </w:r>
                </w:p>
              </w:tc>
              <w:tc>
                <w:tcPr>
                  <w:tcW w:w="927" w:type="dxa"/>
                  <w:tcBorders>
                    <w:tl2br w:val="nil"/>
                    <w:tr2bl w:val="nil"/>
                  </w:tcBorders>
                  <w:vAlign w:val="center"/>
                </w:tcPr>
                <w:p w14:paraId="23774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0.014</w:t>
                  </w:r>
                </w:p>
              </w:tc>
              <w:tc>
                <w:tcPr>
                  <w:tcW w:w="927" w:type="dxa"/>
                  <w:tcBorders>
                    <w:tl2br w:val="nil"/>
                    <w:tr2bl w:val="nil"/>
                  </w:tcBorders>
                  <w:vAlign w:val="center"/>
                </w:tcPr>
                <w:p w14:paraId="7B0A0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0.004</w:t>
                  </w:r>
                </w:p>
              </w:tc>
              <w:tc>
                <w:tcPr>
                  <w:tcW w:w="927" w:type="dxa"/>
                  <w:tcBorders>
                    <w:tl2br w:val="nil"/>
                    <w:tr2bl w:val="nil"/>
                  </w:tcBorders>
                  <w:vAlign w:val="center"/>
                </w:tcPr>
                <w:p w14:paraId="3E958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0.011</w:t>
                  </w:r>
                </w:p>
              </w:tc>
              <w:tc>
                <w:tcPr>
                  <w:tcW w:w="927" w:type="dxa"/>
                  <w:tcBorders>
                    <w:tl2br w:val="nil"/>
                    <w:tr2bl w:val="nil"/>
                  </w:tcBorders>
                  <w:vAlign w:val="center"/>
                </w:tcPr>
                <w:p w14:paraId="7AF6D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5AC53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10CA8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722AB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污水处理设备去除率（次氯酸钠消毒）</w:t>
                  </w:r>
                </w:p>
              </w:tc>
              <w:tc>
                <w:tcPr>
                  <w:tcW w:w="927" w:type="dxa"/>
                  <w:tcBorders>
                    <w:tl2br w:val="nil"/>
                    <w:tr2bl w:val="nil"/>
                  </w:tcBorders>
                  <w:vAlign w:val="center"/>
                </w:tcPr>
                <w:p w14:paraId="54C33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4B67A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3979A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1E868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927" w:type="dxa"/>
                  <w:tcBorders>
                    <w:tl2br w:val="nil"/>
                    <w:tr2bl w:val="nil"/>
                  </w:tcBorders>
                  <w:vAlign w:val="center"/>
                </w:tcPr>
                <w:p w14:paraId="0E195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BC2F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＞99.999%</w:t>
                  </w:r>
                </w:p>
              </w:tc>
            </w:tr>
            <w:tr w14:paraId="06775C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59637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诊疗废水、美容洗浴废水处理后排放浓度（mg/L）</w:t>
                  </w:r>
                </w:p>
              </w:tc>
              <w:tc>
                <w:tcPr>
                  <w:tcW w:w="927" w:type="dxa"/>
                  <w:tcBorders>
                    <w:tl2br w:val="nil"/>
                    <w:tr2bl w:val="nil"/>
                  </w:tcBorders>
                  <w:vAlign w:val="center"/>
                </w:tcPr>
                <w:p w14:paraId="30C66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7DB0C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150</w:t>
                  </w:r>
                </w:p>
              </w:tc>
              <w:tc>
                <w:tcPr>
                  <w:tcW w:w="927" w:type="dxa"/>
                  <w:tcBorders>
                    <w:tl2br w:val="nil"/>
                    <w:tr2bl w:val="nil"/>
                  </w:tcBorders>
                  <w:vAlign w:val="center"/>
                </w:tcPr>
                <w:p w14:paraId="6EF52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78D1C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120</w:t>
                  </w:r>
                </w:p>
              </w:tc>
              <w:tc>
                <w:tcPr>
                  <w:tcW w:w="927" w:type="dxa"/>
                  <w:tcBorders>
                    <w:tl2br w:val="nil"/>
                    <w:tr2bl w:val="nil"/>
                  </w:tcBorders>
                  <w:vAlign w:val="center"/>
                </w:tcPr>
                <w:p w14:paraId="6F758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w:t>
                  </w:r>
                </w:p>
              </w:tc>
              <w:tc>
                <w:tcPr>
                  <w:tcW w:w="1304" w:type="dxa"/>
                  <w:tcBorders>
                    <w:tl2br w:val="nil"/>
                    <w:tr2bl w:val="nil"/>
                  </w:tcBorders>
                  <w:vAlign w:val="center"/>
                </w:tcPr>
                <w:p w14:paraId="3F15B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＜3000</w:t>
                  </w:r>
                </w:p>
                <w:p w14:paraId="1D5B7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6197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2FE30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诊疗废水、美容洗浴废水各污染物排放量（t/a）</w:t>
                  </w:r>
                </w:p>
              </w:tc>
              <w:tc>
                <w:tcPr>
                  <w:tcW w:w="927" w:type="dxa"/>
                  <w:tcBorders>
                    <w:tl2br w:val="nil"/>
                    <w:tr2bl w:val="nil"/>
                  </w:tcBorders>
                  <w:vAlign w:val="center"/>
                </w:tcPr>
                <w:p w14:paraId="1FBE7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0.027</w:t>
                  </w:r>
                </w:p>
              </w:tc>
              <w:tc>
                <w:tcPr>
                  <w:tcW w:w="927" w:type="dxa"/>
                  <w:tcBorders>
                    <w:tl2br w:val="nil"/>
                    <w:tr2bl w:val="nil"/>
                  </w:tcBorders>
                  <w:vAlign w:val="center"/>
                </w:tcPr>
                <w:p w14:paraId="2B1ED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0.014</w:t>
                  </w:r>
                </w:p>
              </w:tc>
              <w:tc>
                <w:tcPr>
                  <w:tcW w:w="927" w:type="dxa"/>
                  <w:tcBorders>
                    <w:tl2br w:val="nil"/>
                    <w:tr2bl w:val="nil"/>
                  </w:tcBorders>
                  <w:vAlign w:val="center"/>
                </w:tcPr>
                <w:p w14:paraId="66222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0.004</w:t>
                  </w:r>
                </w:p>
              </w:tc>
              <w:tc>
                <w:tcPr>
                  <w:tcW w:w="927" w:type="dxa"/>
                  <w:tcBorders>
                    <w:tl2br w:val="nil"/>
                    <w:tr2bl w:val="nil"/>
                  </w:tcBorders>
                  <w:vAlign w:val="center"/>
                </w:tcPr>
                <w:p w14:paraId="4D80C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0.011</w:t>
                  </w:r>
                </w:p>
              </w:tc>
              <w:tc>
                <w:tcPr>
                  <w:tcW w:w="927" w:type="dxa"/>
                  <w:tcBorders>
                    <w:tl2br w:val="nil"/>
                    <w:tr2bl w:val="nil"/>
                  </w:tcBorders>
                  <w:vAlign w:val="center"/>
                </w:tcPr>
                <w:p w14:paraId="1C21C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E30B6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5567F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4E26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生活废水产生浓度（mg/L）</w:t>
                  </w:r>
                </w:p>
              </w:tc>
              <w:tc>
                <w:tcPr>
                  <w:tcW w:w="927" w:type="dxa"/>
                  <w:tcBorders>
                    <w:tl2br w:val="nil"/>
                    <w:tr2bl w:val="nil"/>
                  </w:tcBorders>
                  <w:vAlign w:val="center"/>
                </w:tcPr>
                <w:p w14:paraId="46E67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450</w:t>
                  </w:r>
                </w:p>
              </w:tc>
              <w:tc>
                <w:tcPr>
                  <w:tcW w:w="927" w:type="dxa"/>
                  <w:tcBorders>
                    <w:tl2br w:val="nil"/>
                    <w:tr2bl w:val="nil"/>
                  </w:tcBorders>
                  <w:vAlign w:val="center"/>
                </w:tcPr>
                <w:p w14:paraId="42FCE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250</w:t>
                  </w:r>
                </w:p>
              </w:tc>
              <w:tc>
                <w:tcPr>
                  <w:tcW w:w="927" w:type="dxa"/>
                  <w:tcBorders>
                    <w:tl2br w:val="nil"/>
                    <w:tr2bl w:val="nil"/>
                  </w:tcBorders>
                  <w:vAlign w:val="center"/>
                </w:tcPr>
                <w:p w14:paraId="4C103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927" w:type="dxa"/>
                  <w:tcBorders>
                    <w:tl2br w:val="nil"/>
                    <w:tr2bl w:val="nil"/>
                  </w:tcBorders>
                  <w:vAlign w:val="center"/>
                </w:tcPr>
                <w:p w14:paraId="67ECE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46353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1304" w:type="dxa"/>
                  <w:tcBorders>
                    <w:tl2br w:val="nil"/>
                    <w:tr2bl w:val="nil"/>
                  </w:tcBorders>
                  <w:vAlign w:val="center"/>
                </w:tcPr>
                <w:p w14:paraId="5C9E6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1700</w:t>
                  </w:r>
                </w:p>
                <w:p w14:paraId="1012EC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7060C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0A7CB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生活废水各污染物产生量（t/a）</w:t>
                  </w:r>
                </w:p>
              </w:tc>
              <w:tc>
                <w:tcPr>
                  <w:tcW w:w="927" w:type="dxa"/>
                  <w:tcBorders>
                    <w:tl2br w:val="nil"/>
                    <w:tr2bl w:val="nil"/>
                  </w:tcBorders>
                  <w:vAlign w:val="center"/>
                </w:tcPr>
                <w:p w14:paraId="7A0E2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0.044</w:t>
                  </w:r>
                </w:p>
              </w:tc>
              <w:tc>
                <w:tcPr>
                  <w:tcW w:w="927" w:type="dxa"/>
                  <w:tcBorders>
                    <w:tl2br w:val="nil"/>
                    <w:tr2bl w:val="nil"/>
                  </w:tcBorders>
                  <w:vAlign w:val="center"/>
                </w:tcPr>
                <w:p w14:paraId="11C47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0.024</w:t>
                  </w:r>
                </w:p>
              </w:tc>
              <w:tc>
                <w:tcPr>
                  <w:tcW w:w="927" w:type="dxa"/>
                  <w:tcBorders>
                    <w:tl2br w:val="nil"/>
                    <w:tr2bl w:val="nil"/>
                  </w:tcBorders>
                  <w:vAlign w:val="center"/>
                </w:tcPr>
                <w:p w14:paraId="688D6F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0.004</w:t>
                  </w:r>
                </w:p>
              </w:tc>
              <w:tc>
                <w:tcPr>
                  <w:tcW w:w="927" w:type="dxa"/>
                  <w:tcBorders>
                    <w:tl2br w:val="nil"/>
                    <w:tr2bl w:val="nil"/>
                  </w:tcBorders>
                  <w:vAlign w:val="center"/>
                </w:tcPr>
                <w:p w14:paraId="49905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0.029</w:t>
                  </w:r>
                </w:p>
              </w:tc>
              <w:tc>
                <w:tcPr>
                  <w:tcW w:w="927" w:type="dxa"/>
                  <w:tcBorders>
                    <w:tl2br w:val="nil"/>
                    <w:tr2bl w:val="nil"/>
                  </w:tcBorders>
                  <w:vAlign w:val="center"/>
                </w:tcPr>
                <w:p w14:paraId="580087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5BAED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470A6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0B6D4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综合废水各污染物产生量（t/a）</w:t>
                  </w:r>
                </w:p>
              </w:tc>
              <w:tc>
                <w:tcPr>
                  <w:tcW w:w="927" w:type="dxa"/>
                  <w:tcBorders>
                    <w:tl2br w:val="nil"/>
                    <w:tr2bl w:val="nil"/>
                  </w:tcBorders>
                  <w:vAlign w:val="center"/>
                </w:tcPr>
                <w:p w14:paraId="68B7B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0.071</w:t>
                  </w:r>
                </w:p>
              </w:tc>
              <w:tc>
                <w:tcPr>
                  <w:tcW w:w="927" w:type="dxa"/>
                  <w:tcBorders>
                    <w:tl2br w:val="nil"/>
                    <w:tr2bl w:val="nil"/>
                  </w:tcBorders>
                  <w:vAlign w:val="center"/>
                </w:tcPr>
                <w:p w14:paraId="53D36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0.038</w:t>
                  </w:r>
                </w:p>
              </w:tc>
              <w:tc>
                <w:tcPr>
                  <w:tcW w:w="927" w:type="dxa"/>
                  <w:tcBorders>
                    <w:tl2br w:val="nil"/>
                    <w:tr2bl w:val="nil"/>
                  </w:tcBorders>
                  <w:vAlign w:val="center"/>
                </w:tcPr>
                <w:p w14:paraId="3AD05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927" w:type="dxa"/>
                  <w:tcBorders>
                    <w:tl2br w:val="nil"/>
                    <w:tr2bl w:val="nil"/>
                  </w:tcBorders>
                  <w:vAlign w:val="center"/>
                </w:tcPr>
                <w:p w14:paraId="0583D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0.040</w:t>
                  </w:r>
                </w:p>
              </w:tc>
              <w:tc>
                <w:tcPr>
                  <w:tcW w:w="927" w:type="dxa"/>
                  <w:tcBorders>
                    <w:tl2br w:val="nil"/>
                    <w:tr2bl w:val="nil"/>
                  </w:tcBorders>
                  <w:vAlign w:val="center"/>
                </w:tcPr>
                <w:p w14:paraId="11B80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6C74E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3C9D1F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98AE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综合废水各污染物产生浓度（mg/L）</w:t>
                  </w:r>
                </w:p>
              </w:tc>
              <w:tc>
                <w:tcPr>
                  <w:tcW w:w="927" w:type="dxa"/>
                  <w:tcBorders>
                    <w:tl2br w:val="nil"/>
                    <w:tr2bl w:val="nil"/>
                  </w:tcBorders>
                  <w:vAlign w:val="center"/>
                </w:tcPr>
                <w:p w14:paraId="42999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376</w:t>
                  </w:r>
                </w:p>
              </w:tc>
              <w:tc>
                <w:tcPr>
                  <w:tcW w:w="927" w:type="dxa"/>
                  <w:tcBorders>
                    <w:tl2br w:val="nil"/>
                    <w:tr2bl w:val="nil"/>
                  </w:tcBorders>
                  <w:vAlign w:val="center"/>
                </w:tcPr>
                <w:p w14:paraId="563290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201</w:t>
                  </w:r>
                </w:p>
              </w:tc>
              <w:tc>
                <w:tcPr>
                  <w:tcW w:w="927" w:type="dxa"/>
                  <w:tcBorders>
                    <w:tl2br w:val="nil"/>
                    <w:tr2bl w:val="nil"/>
                  </w:tcBorders>
                  <w:vAlign w:val="center"/>
                </w:tcPr>
                <w:p w14:paraId="31B26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w:t>
                  </w:r>
                </w:p>
              </w:tc>
              <w:tc>
                <w:tcPr>
                  <w:tcW w:w="927" w:type="dxa"/>
                  <w:tcBorders>
                    <w:tl2br w:val="nil"/>
                    <w:tr2bl w:val="nil"/>
                  </w:tcBorders>
                  <w:vAlign w:val="center"/>
                </w:tcPr>
                <w:p w14:paraId="775BE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212</w:t>
                  </w:r>
                </w:p>
              </w:tc>
              <w:tc>
                <w:tcPr>
                  <w:tcW w:w="927" w:type="dxa"/>
                  <w:tcBorders>
                    <w:tl2br w:val="nil"/>
                    <w:tr2bl w:val="nil"/>
                  </w:tcBorders>
                  <w:vAlign w:val="center"/>
                </w:tcPr>
                <w:p w14:paraId="79C40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2~8</w:t>
                  </w:r>
                </w:p>
              </w:tc>
              <w:tc>
                <w:tcPr>
                  <w:tcW w:w="1304" w:type="dxa"/>
                  <w:tcBorders>
                    <w:tl2br w:val="nil"/>
                    <w:tr2bl w:val="nil"/>
                  </w:tcBorders>
                  <w:vAlign w:val="center"/>
                </w:tcPr>
                <w:p w14:paraId="12E72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＜2325</w:t>
                  </w:r>
                </w:p>
                <w:p w14:paraId="42047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r w14:paraId="4D087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D5E7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化粪池去除率</w:t>
                  </w:r>
                </w:p>
              </w:tc>
              <w:tc>
                <w:tcPr>
                  <w:tcW w:w="927" w:type="dxa"/>
                  <w:tcBorders>
                    <w:tl2br w:val="nil"/>
                    <w:tr2bl w:val="nil"/>
                  </w:tcBorders>
                  <w:vAlign w:val="center"/>
                </w:tcPr>
                <w:p w14:paraId="2C0F7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927" w:type="dxa"/>
                  <w:tcBorders>
                    <w:tl2br w:val="nil"/>
                    <w:tr2bl w:val="nil"/>
                  </w:tcBorders>
                  <w:vAlign w:val="center"/>
                </w:tcPr>
                <w:p w14:paraId="488F5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w:t>
                  </w:r>
                </w:p>
              </w:tc>
              <w:tc>
                <w:tcPr>
                  <w:tcW w:w="927" w:type="dxa"/>
                  <w:tcBorders>
                    <w:tl2br w:val="nil"/>
                    <w:tr2bl w:val="nil"/>
                  </w:tcBorders>
                  <w:vAlign w:val="center"/>
                </w:tcPr>
                <w:p w14:paraId="1C0DA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927" w:type="dxa"/>
                  <w:tcBorders>
                    <w:tl2br w:val="nil"/>
                    <w:tr2bl w:val="nil"/>
                  </w:tcBorders>
                  <w:vAlign w:val="center"/>
                </w:tcPr>
                <w:p w14:paraId="414E3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927" w:type="dxa"/>
                  <w:tcBorders>
                    <w:tl2br w:val="nil"/>
                    <w:tr2bl w:val="nil"/>
                  </w:tcBorders>
                  <w:vAlign w:val="center"/>
                </w:tcPr>
                <w:p w14:paraId="6508E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7EE8B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0EC0C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34F86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化粪池处理后各污染物产生浓度（mg/L）</w:t>
                  </w:r>
                </w:p>
              </w:tc>
              <w:tc>
                <w:tcPr>
                  <w:tcW w:w="927" w:type="dxa"/>
                  <w:tcBorders>
                    <w:tl2br w:val="nil"/>
                    <w:tr2bl w:val="nil"/>
                  </w:tcBorders>
                  <w:vAlign w:val="center"/>
                </w:tcPr>
                <w:p w14:paraId="7274A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320</w:t>
                  </w:r>
                </w:p>
              </w:tc>
              <w:tc>
                <w:tcPr>
                  <w:tcW w:w="927" w:type="dxa"/>
                  <w:tcBorders>
                    <w:tl2br w:val="nil"/>
                    <w:tr2bl w:val="nil"/>
                  </w:tcBorders>
                  <w:vAlign w:val="center"/>
                </w:tcPr>
                <w:p w14:paraId="141ACD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183</w:t>
                  </w:r>
                </w:p>
              </w:tc>
              <w:tc>
                <w:tcPr>
                  <w:tcW w:w="927" w:type="dxa"/>
                  <w:tcBorders>
                    <w:tl2br w:val="nil"/>
                    <w:tr2bl w:val="nil"/>
                  </w:tcBorders>
                  <w:vAlign w:val="center"/>
                </w:tcPr>
                <w:p w14:paraId="1026A8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41</w:t>
                  </w:r>
                </w:p>
              </w:tc>
              <w:tc>
                <w:tcPr>
                  <w:tcW w:w="927" w:type="dxa"/>
                  <w:tcBorders>
                    <w:tl2br w:val="nil"/>
                    <w:tr2bl w:val="nil"/>
                  </w:tcBorders>
                  <w:vAlign w:val="center"/>
                </w:tcPr>
                <w:p w14:paraId="7D3D6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148</w:t>
                  </w:r>
                </w:p>
              </w:tc>
              <w:tc>
                <w:tcPr>
                  <w:tcW w:w="927" w:type="dxa"/>
                  <w:tcBorders>
                    <w:tl2br w:val="nil"/>
                    <w:tr2bl w:val="nil"/>
                  </w:tcBorders>
                  <w:vAlign w:val="center"/>
                </w:tcPr>
                <w:p w14:paraId="2C6F8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w:t>
                  </w:r>
                </w:p>
              </w:tc>
              <w:tc>
                <w:tcPr>
                  <w:tcW w:w="1304" w:type="dxa"/>
                  <w:tcBorders>
                    <w:tl2br w:val="nil"/>
                    <w:tr2bl w:val="nil"/>
                  </w:tcBorders>
                  <w:vAlign w:val="center"/>
                </w:tcPr>
                <w:p w14:paraId="47A59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2CD39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495077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污染物排放量（t/a）</w:t>
                  </w:r>
                </w:p>
              </w:tc>
              <w:tc>
                <w:tcPr>
                  <w:tcW w:w="927" w:type="dxa"/>
                  <w:tcBorders>
                    <w:tl2br w:val="nil"/>
                    <w:tr2bl w:val="nil"/>
                  </w:tcBorders>
                  <w:vAlign w:val="center"/>
                </w:tcPr>
                <w:p w14:paraId="5004A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0.060</w:t>
                  </w:r>
                </w:p>
              </w:tc>
              <w:tc>
                <w:tcPr>
                  <w:tcW w:w="927" w:type="dxa"/>
                  <w:tcBorders>
                    <w:tl2br w:val="nil"/>
                    <w:tr2bl w:val="nil"/>
                  </w:tcBorders>
                  <w:vAlign w:val="center"/>
                </w:tcPr>
                <w:p w14:paraId="0D19C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0.035</w:t>
                  </w:r>
                </w:p>
              </w:tc>
              <w:tc>
                <w:tcPr>
                  <w:tcW w:w="927" w:type="dxa"/>
                  <w:tcBorders>
                    <w:tl2br w:val="nil"/>
                    <w:tr2bl w:val="nil"/>
                  </w:tcBorders>
                  <w:vAlign w:val="center"/>
                </w:tcPr>
                <w:p w14:paraId="4DBD9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927" w:type="dxa"/>
                  <w:tcBorders>
                    <w:tl2br w:val="nil"/>
                    <w:tr2bl w:val="nil"/>
                  </w:tcBorders>
                  <w:vAlign w:val="center"/>
                </w:tcPr>
                <w:p w14:paraId="0AB21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0.028</w:t>
                  </w:r>
                </w:p>
              </w:tc>
              <w:tc>
                <w:tcPr>
                  <w:tcW w:w="927" w:type="dxa"/>
                  <w:tcBorders>
                    <w:tl2br w:val="nil"/>
                    <w:tr2bl w:val="nil"/>
                  </w:tcBorders>
                  <w:vAlign w:val="center"/>
                </w:tcPr>
                <w:p w14:paraId="46A0C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304" w:type="dxa"/>
                  <w:tcBorders>
                    <w:tl2br w:val="nil"/>
                    <w:tr2bl w:val="nil"/>
                  </w:tcBorders>
                  <w:vAlign w:val="center"/>
                </w:tcPr>
                <w:p w14:paraId="212339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25A58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1" w:type="dxa"/>
                  <w:tcBorders>
                    <w:tl2br w:val="nil"/>
                    <w:tr2bl w:val="nil"/>
                  </w:tcBorders>
                  <w:vAlign w:val="center"/>
                </w:tcPr>
                <w:p w14:paraId="78C37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排放标准（mg/L）</w:t>
                  </w:r>
                </w:p>
              </w:tc>
              <w:tc>
                <w:tcPr>
                  <w:tcW w:w="927" w:type="dxa"/>
                  <w:tcBorders>
                    <w:tl2br w:val="nil"/>
                    <w:tr2bl w:val="nil"/>
                  </w:tcBorders>
                  <w:vAlign w:val="center"/>
                </w:tcPr>
                <w:p w14:paraId="5B713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w:t>
                  </w:r>
                </w:p>
              </w:tc>
              <w:tc>
                <w:tcPr>
                  <w:tcW w:w="927" w:type="dxa"/>
                  <w:tcBorders>
                    <w:tl2br w:val="nil"/>
                    <w:tr2bl w:val="nil"/>
                  </w:tcBorders>
                  <w:vAlign w:val="center"/>
                </w:tcPr>
                <w:p w14:paraId="24F44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w:t>
                  </w:r>
                </w:p>
              </w:tc>
              <w:tc>
                <w:tcPr>
                  <w:tcW w:w="927" w:type="dxa"/>
                  <w:tcBorders>
                    <w:tl2br w:val="nil"/>
                    <w:tr2bl w:val="nil"/>
                  </w:tcBorders>
                  <w:vAlign w:val="center"/>
                </w:tcPr>
                <w:p w14:paraId="0B70F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w:t>
                  </w:r>
                </w:p>
              </w:tc>
              <w:tc>
                <w:tcPr>
                  <w:tcW w:w="927" w:type="dxa"/>
                  <w:tcBorders>
                    <w:tl2br w:val="nil"/>
                    <w:tr2bl w:val="nil"/>
                  </w:tcBorders>
                  <w:vAlign w:val="center"/>
                </w:tcPr>
                <w:p w14:paraId="5F85F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w:t>
                  </w:r>
                </w:p>
              </w:tc>
              <w:tc>
                <w:tcPr>
                  <w:tcW w:w="927" w:type="dxa"/>
                  <w:tcBorders>
                    <w:tl2br w:val="nil"/>
                    <w:tr2bl w:val="nil"/>
                  </w:tcBorders>
                  <w:vAlign w:val="center"/>
                </w:tcPr>
                <w:p w14:paraId="3C434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w:t>
                  </w:r>
                </w:p>
              </w:tc>
              <w:tc>
                <w:tcPr>
                  <w:tcW w:w="1304" w:type="dxa"/>
                  <w:tcBorders>
                    <w:tl2br w:val="nil"/>
                    <w:tr2bl w:val="nil"/>
                  </w:tcBorders>
                  <w:vAlign w:val="center"/>
                </w:tcPr>
                <w:p w14:paraId="3082B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10000</w:t>
                  </w:r>
                </w:p>
                <w:p w14:paraId="5F038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r>
          </w:tbl>
          <w:p w14:paraId="160EE51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由上表可知，项目动物诊疗废水、美容洗浴废水经污水处理设备消毒处理后，与生活污水一同排入所在建筑防渗化粪池处理。项目综合废水中各污染物排放浓度符合北京市《水污染物综合排放标准》（DB11/307-2013）中排入公共污水处理系统的水污染物排放限值。</w:t>
            </w:r>
          </w:p>
          <w:p w14:paraId="16F31E1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2）非正常情况排放</w:t>
            </w:r>
          </w:p>
          <w:p w14:paraId="01B366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项目废水非正常排放情况是指污水处理设备停运进行检修，或者运行出现故障，达不到应有治理效率的情况下的污染物排放。本项目废水可能出现非正常排放的原因主要为污水处理设备故障不运行，以及消毒剂加药泵故障未加药或过量加药；超负荷接诊时，污水池存纳的废水超过有效容积等。出现该类情况时，污染物排放具体情况见下表。</w:t>
            </w:r>
          </w:p>
          <w:p w14:paraId="34B5794D">
            <w:pPr>
              <w:pStyle w:val="11"/>
              <w:bidi w:val="0"/>
              <w:rPr>
                <w:rFonts w:hint="default"/>
                <w:lang w:val="en-US" w:eastAsia="zh-CN"/>
              </w:rPr>
            </w:pPr>
            <w:r>
              <w:rPr>
                <w:rFonts w:hint="eastAsia"/>
                <w:lang w:val="en-US" w:eastAsia="zh-CN"/>
              </w:rPr>
              <w:t>表4-9 项目废水非正常排放情况汇总表</w:t>
            </w:r>
          </w:p>
          <w:tbl>
            <w:tblPr>
              <w:tblStyle w:val="9"/>
              <w:tblW w:w="802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110"/>
              <w:gridCol w:w="1215"/>
              <w:gridCol w:w="1080"/>
              <w:gridCol w:w="1125"/>
              <w:gridCol w:w="2177"/>
            </w:tblGrid>
            <w:tr w14:paraId="48270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vMerge w:val="restart"/>
                  <w:tcBorders>
                    <w:tl2br w:val="nil"/>
                    <w:tr2bl w:val="nil"/>
                  </w:tcBorders>
                  <w:vAlign w:val="center"/>
                </w:tcPr>
                <w:p w14:paraId="1EC34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主要污染物</w:t>
                  </w:r>
                </w:p>
              </w:tc>
              <w:tc>
                <w:tcPr>
                  <w:tcW w:w="1110" w:type="dxa"/>
                  <w:vMerge w:val="restart"/>
                  <w:tcBorders>
                    <w:tl2br w:val="nil"/>
                    <w:tr2bl w:val="nil"/>
                  </w:tcBorders>
                  <w:vAlign w:val="center"/>
                </w:tcPr>
                <w:p w14:paraId="0560F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非正常排放情况排放浓度</w:t>
                  </w:r>
                </w:p>
              </w:tc>
              <w:tc>
                <w:tcPr>
                  <w:tcW w:w="3420" w:type="dxa"/>
                  <w:gridSpan w:val="3"/>
                  <w:tcBorders>
                    <w:tl2br w:val="nil"/>
                    <w:tr2bl w:val="nil"/>
                  </w:tcBorders>
                  <w:vAlign w:val="center"/>
                </w:tcPr>
                <w:p w14:paraId="7B938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非正常排放因素</w:t>
                  </w:r>
                </w:p>
              </w:tc>
              <w:tc>
                <w:tcPr>
                  <w:tcW w:w="2177" w:type="dxa"/>
                  <w:vMerge w:val="restart"/>
                  <w:tcBorders>
                    <w:tl2br w:val="nil"/>
                    <w:tr2bl w:val="nil"/>
                  </w:tcBorders>
                  <w:vAlign w:val="center"/>
                </w:tcPr>
                <w:p w14:paraId="4994A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b/>
                      <w:bCs/>
                      <w:sz w:val="21"/>
                      <w:szCs w:val="21"/>
                      <w:vertAlign w:val="baseline"/>
                      <w:lang w:val="en-US" w:eastAsia="zh-CN"/>
                    </w:rPr>
                    <w:t>应对措施</w:t>
                  </w:r>
                </w:p>
              </w:tc>
            </w:tr>
            <w:tr w14:paraId="5911E0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vMerge w:val="continue"/>
                  <w:tcBorders>
                    <w:tl2br w:val="nil"/>
                    <w:tr2bl w:val="nil"/>
                  </w:tcBorders>
                  <w:vAlign w:val="center"/>
                </w:tcPr>
                <w:p w14:paraId="6F29D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10" w:type="dxa"/>
                  <w:vMerge w:val="continue"/>
                  <w:tcBorders>
                    <w:tl2br w:val="nil"/>
                    <w:tr2bl w:val="nil"/>
                  </w:tcBorders>
                  <w:vAlign w:val="center"/>
                </w:tcPr>
                <w:p w14:paraId="5A09CE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215" w:type="dxa"/>
                  <w:tcBorders>
                    <w:tl2br w:val="nil"/>
                    <w:tr2bl w:val="nil"/>
                  </w:tcBorders>
                  <w:vAlign w:val="center"/>
                </w:tcPr>
                <w:p w14:paraId="52A47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原因</w:t>
                  </w:r>
                </w:p>
              </w:tc>
              <w:tc>
                <w:tcPr>
                  <w:tcW w:w="1080" w:type="dxa"/>
                  <w:tcBorders>
                    <w:tl2br w:val="nil"/>
                    <w:tr2bl w:val="nil"/>
                  </w:tcBorders>
                  <w:vAlign w:val="center"/>
                </w:tcPr>
                <w:p w14:paraId="017081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可能频次</w:t>
                  </w:r>
                </w:p>
              </w:tc>
              <w:tc>
                <w:tcPr>
                  <w:tcW w:w="1125" w:type="dxa"/>
                  <w:tcBorders>
                    <w:tl2br w:val="nil"/>
                    <w:tr2bl w:val="nil"/>
                  </w:tcBorders>
                  <w:vAlign w:val="center"/>
                </w:tcPr>
                <w:p w14:paraId="2E730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2177" w:type="dxa"/>
                  <w:vMerge w:val="continue"/>
                  <w:tcBorders>
                    <w:tl2br w:val="nil"/>
                    <w:tr2bl w:val="nil"/>
                  </w:tcBorders>
                  <w:vAlign w:val="center"/>
                </w:tcPr>
                <w:p w14:paraId="23B8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2C7DE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tcBorders>
                    <w:tl2br w:val="nil"/>
                    <w:tr2bl w:val="nil"/>
                  </w:tcBorders>
                  <w:shd w:val="clear" w:color="auto" w:fill="auto"/>
                  <w:vAlign w:val="center"/>
                </w:tcPr>
                <w:p w14:paraId="7A856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粪大肠菌群</w:t>
                  </w:r>
                </w:p>
              </w:tc>
              <w:tc>
                <w:tcPr>
                  <w:tcW w:w="1110" w:type="dxa"/>
                  <w:tcBorders>
                    <w:tl2br w:val="nil"/>
                    <w:tr2bl w:val="nil"/>
                  </w:tcBorders>
                  <w:vAlign w:val="center"/>
                </w:tcPr>
                <w:p w14:paraId="4DE76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superscript"/>
                      <w:lang w:val="en-US" w:eastAsia="zh-CN"/>
                    </w:rPr>
                  </w:pPr>
                  <w:r>
                    <w:rPr>
                      <w:rFonts w:hint="eastAsia"/>
                      <w:sz w:val="21"/>
                      <w:szCs w:val="21"/>
                      <w:vertAlign w:val="baseline"/>
                      <w:lang w:val="en-US" w:eastAsia="zh-CN"/>
                    </w:rPr>
                    <w:t>3.0×10</w:t>
                  </w:r>
                  <w:r>
                    <w:rPr>
                      <w:rFonts w:hint="eastAsia"/>
                      <w:sz w:val="21"/>
                      <w:szCs w:val="21"/>
                      <w:vertAlign w:val="superscript"/>
                      <w:lang w:val="en-US" w:eastAsia="zh-CN"/>
                    </w:rPr>
                    <w:t>8</w:t>
                  </w:r>
                </w:p>
                <w:p w14:paraId="17B14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c>
                <w:tcPr>
                  <w:tcW w:w="1215" w:type="dxa"/>
                  <w:vMerge w:val="restart"/>
                  <w:tcBorders>
                    <w:tl2br w:val="nil"/>
                    <w:tr2bl w:val="nil"/>
                  </w:tcBorders>
                  <w:vAlign w:val="center"/>
                </w:tcPr>
                <w:p w14:paraId="381EA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①污水处理设备故障，设备停运；</w:t>
                  </w:r>
                </w:p>
                <w:p w14:paraId="6CBEE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②加药系统故障，消毒剂未加或过量；</w:t>
                  </w:r>
                </w:p>
                <w:p w14:paraId="37C50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③超负荷运行，废水水量超过设计要求。</w:t>
                  </w:r>
                </w:p>
              </w:tc>
              <w:tc>
                <w:tcPr>
                  <w:tcW w:w="1080" w:type="dxa"/>
                  <w:vMerge w:val="restart"/>
                  <w:tcBorders>
                    <w:tl2br w:val="nil"/>
                    <w:tr2bl w:val="nil"/>
                  </w:tcBorders>
                  <w:vAlign w:val="center"/>
                </w:tcPr>
                <w:p w14:paraId="277B6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p>
                <w:p w14:paraId="22468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1次/a</w:t>
                  </w:r>
                </w:p>
              </w:tc>
              <w:tc>
                <w:tcPr>
                  <w:tcW w:w="1125" w:type="dxa"/>
                  <w:vMerge w:val="restart"/>
                  <w:tcBorders>
                    <w:tl2br w:val="nil"/>
                    <w:tr2bl w:val="nil"/>
                  </w:tcBorders>
                  <w:vAlign w:val="center"/>
                </w:tcPr>
                <w:p w14:paraId="0ED77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p>
                <w:p w14:paraId="7553D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1小时/次</w:t>
                  </w:r>
                </w:p>
              </w:tc>
              <w:tc>
                <w:tcPr>
                  <w:tcW w:w="2177" w:type="dxa"/>
                  <w:vMerge w:val="restart"/>
                  <w:tcBorders>
                    <w:tl2br w:val="nil"/>
                    <w:tr2bl w:val="nil"/>
                  </w:tcBorders>
                  <w:vAlign w:val="center"/>
                </w:tcPr>
                <w:p w14:paraId="2B100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①立即停止产生污水的诊疗项目，待相关设备设施修复后再行开展经营活动；</w:t>
                  </w:r>
                </w:p>
                <w:p w14:paraId="3B58A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②定期检查保养相关设备及设施；</w:t>
                  </w:r>
                </w:p>
                <w:p w14:paraId="04CDD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③院内可预备三氯异氰尿酸消毒片，设备故障或遇水量高负荷不能保证停留时间时，采取人工加药；</w:t>
                  </w:r>
                </w:p>
                <w:p w14:paraId="1E8CE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default"/>
                      <w:sz w:val="21"/>
                      <w:szCs w:val="21"/>
                      <w:vertAlign w:val="baseline"/>
                      <w:lang w:val="en-US" w:eastAsia="zh-CN"/>
                    </w:rPr>
                    <w:t>④加强管理，检查设施运行情况。</w:t>
                  </w:r>
                </w:p>
              </w:tc>
            </w:tr>
            <w:tr w14:paraId="759D6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dxa"/>
                  <w:tcBorders>
                    <w:tl2br w:val="nil"/>
                    <w:tr2bl w:val="nil"/>
                  </w:tcBorders>
                  <w:shd w:val="clear" w:color="auto" w:fill="auto"/>
                  <w:vAlign w:val="center"/>
                </w:tcPr>
                <w:p w14:paraId="6964E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总余氯</w:t>
                  </w:r>
                </w:p>
              </w:tc>
              <w:tc>
                <w:tcPr>
                  <w:tcW w:w="1110" w:type="dxa"/>
                  <w:tcBorders>
                    <w:tl2br w:val="nil"/>
                    <w:tr2bl w:val="nil"/>
                  </w:tcBorders>
                  <w:vAlign w:val="center"/>
                </w:tcPr>
                <w:p w14:paraId="1C75B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w:t>
                  </w:r>
                  <w:r>
                    <w:rPr>
                      <w:rFonts w:hint="eastAsia"/>
                      <w:sz w:val="21"/>
                      <w:szCs w:val="21"/>
                      <w:vertAlign w:val="baseline"/>
                      <w:lang w:val="en-US" w:eastAsia="zh-CN"/>
                    </w:rPr>
                    <w:t>8</w:t>
                  </w:r>
                  <w:r>
                    <w:rPr>
                      <w:rFonts w:hint="eastAsia"/>
                      <w:b w:val="0"/>
                      <w:bCs w:val="0"/>
                      <w:sz w:val="21"/>
                      <w:szCs w:val="21"/>
                      <w:vertAlign w:val="baseline"/>
                      <w:lang w:val="en-US" w:eastAsia="zh-CN"/>
                    </w:rPr>
                    <w:t>mg/m</w:t>
                  </w:r>
                  <w:r>
                    <w:rPr>
                      <w:rFonts w:hint="eastAsia"/>
                      <w:b w:val="0"/>
                      <w:bCs w:val="0"/>
                      <w:sz w:val="21"/>
                      <w:szCs w:val="21"/>
                      <w:vertAlign w:val="superscript"/>
                      <w:lang w:val="en-US" w:eastAsia="zh-CN"/>
                    </w:rPr>
                    <w:t>3</w:t>
                  </w:r>
                </w:p>
              </w:tc>
              <w:tc>
                <w:tcPr>
                  <w:tcW w:w="1215" w:type="dxa"/>
                  <w:vMerge w:val="continue"/>
                  <w:tcBorders>
                    <w:tl2br w:val="nil"/>
                    <w:tr2bl w:val="nil"/>
                  </w:tcBorders>
                  <w:vAlign w:val="center"/>
                </w:tcPr>
                <w:p w14:paraId="5032A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80" w:type="dxa"/>
                  <w:vMerge w:val="continue"/>
                  <w:tcBorders>
                    <w:tl2br w:val="nil"/>
                    <w:tr2bl w:val="nil"/>
                  </w:tcBorders>
                  <w:vAlign w:val="center"/>
                </w:tcPr>
                <w:p w14:paraId="7DD40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5" w:type="dxa"/>
                  <w:vMerge w:val="continue"/>
                  <w:tcBorders>
                    <w:tl2br w:val="nil"/>
                    <w:tr2bl w:val="nil"/>
                  </w:tcBorders>
                  <w:vAlign w:val="center"/>
                </w:tcPr>
                <w:p w14:paraId="5A3C76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2177" w:type="dxa"/>
                  <w:vMerge w:val="continue"/>
                  <w:tcBorders>
                    <w:tl2br w:val="nil"/>
                    <w:tr2bl w:val="nil"/>
                  </w:tcBorders>
                  <w:vAlign w:val="center"/>
                </w:tcPr>
                <w:p w14:paraId="40393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bl>
          <w:p w14:paraId="076EB78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经分析，项目非正常工况存在时间较短，由于污水处理设备具有调节池，可以存纳废水，在非正常工况较短时间内不会发生废水外排情况。同时为避免废水的非正常排放，建设单位须加强污水处理设备的管理，定期检修及保养，确保环保设施正常运行。此外，建设单位应加强对员工的环保意识及相关知识的培训与管理，由专人每日检查环保治理设备或设施的运行状况。</w:t>
            </w:r>
          </w:p>
          <w:p w14:paraId="223D85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3）污水处理措施可行性分析</w:t>
            </w:r>
          </w:p>
          <w:p w14:paraId="408719E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项目动物诊疗废水产生于手术室、化验室等，美容洗浴废水产生于美容洗浴室，建设单位在手术室、化验室、美容洗浴室安装污水处理设备，保证废水全部收集并进行消毒处理。</w:t>
            </w:r>
          </w:p>
          <w:p w14:paraId="647B3B5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根据污水处理工程设计单位提供的项目污水处理方案，污水设备处理能力为1m</w:t>
            </w:r>
            <w:r>
              <w:rPr>
                <w:rFonts w:hint="eastAsia"/>
                <w:vertAlign w:val="superscript"/>
                <w:lang w:val="en-US" w:eastAsia="zh-CN"/>
              </w:rPr>
              <w:t>3</w:t>
            </w:r>
            <w:r>
              <w:rPr>
                <w:rFonts w:hint="eastAsia"/>
                <w:lang w:val="en-US" w:eastAsia="zh-CN"/>
              </w:rPr>
              <w:t>/d。本项目动物诊疗废水、美容洗浴废水最大排放量为0.38m</w:t>
            </w:r>
            <w:r>
              <w:rPr>
                <w:rFonts w:hint="eastAsia"/>
                <w:vertAlign w:val="superscript"/>
                <w:lang w:val="en-US" w:eastAsia="zh-CN"/>
              </w:rPr>
              <w:t>3</w:t>
            </w:r>
            <w:r>
              <w:rPr>
                <w:rFonts w:hint="eastAsia"/>
                <w:lang w:val="en-US" w:eastAsia="zh-CN"/>
              </w:rPr>
              <w:t>/d，如遇设备故障不能正常运行时，医院立即联系厂家，第一时间进行故障排查或现场维修。如果未能完成维修的，项目方应根据自身经营情况，停止产生污水的诊疗项目，待设备维修完毕后再恢复开诊。</w:t>
            </w:r>
          </w:p>
          <w:p w14:paraId="2647CD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项目采取上述措施后，项目不会出现未经处理的动物诊疗废水、美容洗浴废水直接排放的问题。综上，本项目污水治理措施可行。</w:t>
            </w:r>
          </w:p>
          <w:p w14:paraId="7C5214B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4）排入污水处理厂的可行性分析</w:t>
            </w:r>
          </w:p>
          <w:p w14:paraId="2F89530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废水最终汇入小红门再生水厂，小红门再生水厂设在南四环路与公路环间的绿化带内，流域范围包括石景山区、海淀区、西城区的部分地区，以及西南郊和南郊大部分地区，规划流域面积223.5平方公里，设计处理规模为60万m</w:t>
            </w:r>
            <w:r>
              <w:rPr>
                <w:rFonts w:hint="eastAsia"/>
                <w:vertAlign w:val="superscript"/>
                <w:lang w:val="en-US" w:eastAsia="zh-CN"/>
              </w:rPr>
              <w:t>3</w:t>
            </w:r>
            <w:r>
              <w:rPr>
                <w:rFonts w:hint="eastAsia"/>
                <w:lang w:val="en-US" w:eastAsia="zh-CN"/>
              </w:rPr>
              <w:t>/d。小红门再生水厂设计进水水质为化学需氧量500mg/L、五日生化需氧量300mg/L、悬浮物400mg/L、氨氮45mg/L。设计出水水质达到北京市《城镇污水处理厂水污染物排放标准》（DB11/890-2012）中“表1 新（改、扩）建城镇污水处理厂基本控制项目排放限值B标准”相关要求，即化学需氧量30mg/L、五日生化需氧量6mg/L、悬浮物5mg/L、氨氮1.5（2.5）mg/L。</w:t>
            </w:r>
          </w:p>
          <w:p w14:paraId="3D0669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根据北京北排水环境发展有限公司小红门再生水厂发布的2021年度《企业自行监测年度报告》，小红门再生水厂2021年运行365天，累计处理污水19085.1227万m</w:t>
            </w:r>
            <w:r>
              <w:rPr>
                <w:rFonts w:hint="eastAsia"/>
                <w:vertAlign w:val="superscript"/>
                <w:lang w:val="en-US" w:eastAsia="zh-CN"/>
              </w:rPr>
              <w:t>3</w:t>
            </w:r>
            <w:r>
              <w:rPr>
                <w:rFonts w:hint="eastAsia"/>
                <w:lang w:val="en-US" w:eastAsia="zh-CN"/>
              </w:rPr>
              <w:t>，平均每日处理污水52.29万m</w:t>
            </w:r>
            <w:r>
              <w:rPr>
                <w:rFonts w:hint="eastAsia"/>
                <w:vertAlign w:val="superscript"/>
                <w:lang w:val="en-US" w:eastAsia="zh-CN"/>
              </w:rPr>
              <w:t>3</w:t>
            </w:r>
            <w:r>
              <w:rPr>
                <w:rFonts w:hint="eastAsia"/>
                <w:lang w:val="en-US" w:eastAsia="zh-CN"/>
              </w:rPr>
              <w:t>，污染物检测全部达到排放标准。项目运营期废水最大排放量为0.78m</w:t>
            </w:r>
            <w:r>
              <w:rPr>
                <w:rFonts w:hint="eastAsia"/>
                <w:vertAlign w:val="superscript"/>
                <w:lang w:val="en-US" w:eastAsia="zh-CN"/>
              </w:rPr>
              <w:t>3</w:t>
            </w:r>
            <w:r>
              <w:rPr>
                <w:rFonts w:hint="eastAsia"/>
                <w:lang w:val="en-US" w:eastAsia="zh-CN"/>
              </w:rPr>
              <w:t>/d，占小红门污水处理厂可接纳污水处理能力的比例很小，且项目排水水质能够达到北京市《水污染物综合排放标准》（DB11/307-2013）中排入公共污水处理系统的水污染物排放限值。故小红门再生水厂接纳项目污水不会造成明显的负荷冲击。</w:t>
            </w:r>
          </w:p>
          <w:p w14:paraId="39BE54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因此，本项目废水最终排入小红门再生水厂是可行的。</w:t>
            </w:r>
          </w:p>
          <w:p w14:paraId="046C0E8D">
            <w:pPr>
              <w:pStyle w:val="11"/>
              <w:bidi w:val="0"/>
              <w:rPr>
                <w:rFonts w:hint="eastAsia"/>
                <w:lang w:val="en-US" w:eastAsia="zh-CN"/>
              </w:rPr>
            </w:pPr>
            <w:r>
              <w:rPr>
                <w:rFonts w:hint="eastAsia"/>
                <w:lang w:val="en-US" w:eastAsia="zh-CN"/>
              </w:rPr>
              <w:t>表4-10 项目废水治理措施及排放口说明汇总表</w:t>
            </w:r>
          </w:p>
          <w:tbl>
            <w:tblPr>
              <w:tblStyle w:val="9"/>
              <w:tblW w:w="80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122"/>
              <w:gridCol w:w="1003"/>
              <w:gridCol w:w="1003"/>
              <w:gridCol w:w="1003"/>
              <w:gridCol w:w="1003"/>
              <w:gridCol w:w="1091"/>
              <w:gridCol w:w="915"/>
            </w:tblGrid>
            <w:tr w14:paraId="77939A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restart"/>
                  <w:tcBorders>
                    <w:tl2br w:val="nil"/>
                    <w:tr2bl w:val="nil"/>
                  </w:tcBorders>
                  <w:vAlign w:val="center"/>
                </w:tcPr>
                <w:p w14:paraId="44EC0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废水类别</w:t>
                  </w:r>
                </w:p>
              </w:tc>
              <w:tc>
                <w:tcPr>
                  <w:tcW w:w="1122" w:type="dxa"/>
                  <w:vMerge w:val="restart"/>
                  <w:tcBorders>
                    <w:tl2br w:val="nil"/>
                    <w:tr2bl w:val="nil"/>
                  </w:tcBorders>
                  <w:vAlign w:val="center"/>
                </w:tcPr>
                <w:p w14:paraId="7012D1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污染物</w:t>
                  </w:r>
                </w:p>
              </w:tc>
              <w:tc>
                <w:tcPr>
                  <w:tcW w:w="3009" w:type="dxa"/>
                  <w:gridSpan w:val="3"/>
                  <w:tcBorders>
                    <w:tl2br w:val="nil"/>
                    <w:tr2bl w:val="nil"/>
                  </w:tcBorders>
                  <w:vAlign w:val="center"/>
                </w:tcPr>
                <w:p w14:paraId="1F5EC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废水治理措施</w:t>
                  </w:r>
                </w:p>
              </w:tc>
              <w:tc>
                <w:tcPr>
                  <w:tcW w:w="1003" w:type="dxa"/>
                  <w:vMerge w:val="restart"/>
                  <w:tcBorders>
                    <w:tl2br w:val="nil"/>
                    <w:tr2bl w:val="nil"/>
                  </w:tcBorders>
                  <w:vAlign w:val="center"/>
                </w:tcPr>
                <w:p w14:paraId="47E05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highlight w:val="yellow"/>
                      <w:vertAlign w:val="baseline"/>
                      <w:lang w:val="en-US" w:eastAsia="zh-CN"/>
                    </w:rPr>
                    <w:t>废水排放口编号及位置</w:t>
                  </w:r>
                </w:p>
              </w:tc>
              <w:tc>
                <w:tcPr>
                  <w:tcW w:w="1091" w:type="dxa"/>
                  <w:vMerge w:val="restart"/>
                  <w:tcBorders>
                    <w:tl2br w:val="nil"/>
                    <w:tr2bl w:val="nil"/>
                  </w:tcBorders>
                  <w:vAlign w:val="center"/>
                </w:tcPr>
                <w:p w14:paraId="2D8F5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排放去向</w:t>
                  </w:r>
                </w:p>
              </w:tc>
              <w:tc>
                <w:tcPr>
                  <w:tcW w:w="915" w:type="dxa"/>
                  <w:vMerge w:val="restart"/>
                  <w:tcBorders>
                    <w:tl2br w:val="nil"/>
                    <w:tr2bl w:val="nil"/>
                  </w:tcBorders>
                  <w:vAlign w:val="center"/>
                </w:tcPr>
                <w:p w14:paraId="689CF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排放</w:t>
                  </w:r>
                </w:p>
                <w:p w14:paraId="3ACC7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规律</w:t>
                  </w:r>
                </w:p>
              </w:tc>
            </w:tr>
            <w:tr w14:paraId="1DDB82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continue"/>
                  <w:tcBorders>
                    <w:tl2br w:val="nil"/>
                    <w:tr2bl w:val="nil"/>
                  </w:tcBorders>
                  <w:vAlign w:val="center"/>
                </w:tcPr>
                <w:p w14:paraId="4712A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2" w:type="dxa"/>
                  <w:vMerge w:val="continue"/>
                  <w:tcBorders>
                    <w:tl2br w:val="nil"/>
                    <w:tr2bl w:val="nil"/>
                  </w:tcBorders>
                  <w:vAlign w:val="center"/>
                </w:tcPr>
                <w:p w14:paraId="6EBEE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03" w:type="dxa"/>
                  <w:tcBorders>
                    <w:tl2br w:val="nil"/>
                    <w:tr2bl w:val="nil"/>
                  </w:tcBorders>
                  <w:vAlign w:val="center"/>
                </w:tcPr>
                <w:p w14:paraId="7488B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编号名称</w:t>
                  </w:r>
                </w:p>
              </w:tc>
              <w:tc>
                <w:tcPr>
                  <w:tcW w:w="1003" w:type="dxa"/>
                  <w:tcBorders>
                    <w:tl2br w:val="nil"/>
                    <w:tr2bl w:val="nil"/>
                  </w:tcBorders>
                  <w:vAlign w:val="center"/>
                </w:tcPr>
                <w:p w14:paraId="098ED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工艺</w:t>
                  </w:r>
                </w:p>
              </w:tc>
              <w:tc>
                <w:tcPr>
                  <w:tcW w:w="1003" w:type="dxa"/>
                  <w:tcBorders>
                    <w:tl2br w:val="nil"/>
                    <w:tr2bl w:val="nil"/>
                  </w:tcBorders>
                  <w:vAlign w:val="center"/>
                </w:tcPr>
                <w:p w14:paraId="31A19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处理量</w:t>
                  </w:r>
                </w:p>
              </w:tc>
              <w:tc>
                <w:tcPr>
                  <w:tcW w:w="1003" w:type="dxa"/>
                  <w:vMerge w:val="continue"/>
                  <w:tcBorders>
                    <w:tl2br w:val="nil"/>
                    <w:tr2bl w:val="nil"/>
                  </w:tcBorders>
                  <w:vAlign w:val="center"/>
                </w:tcPr>
                <w:p w14:paraId="7A2DB5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1" w:type="dxa"/>
                  <w:vMerge w:val="continue"/>
                  <w:tcBorders>
                    <w:tl2br w:val="nil"/>
                    <w:tr2bl w:val="nil"/>
                  </w:tcBorders>
                  <w:vAlign w:val="center"/>
                </w:tcPr>
                <w:p w14:paraId="6D9F4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47C08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r w14:paraId="1FD76D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restart"/>
                  <w:tcBorders>
                    <w:tl2br w:val="nil"/>
                    <w:tr2bl w:val="nil"/>
                  </w:tcBorders>
                  <w:vAlign w:val="center"/>
                </w:tcPr>
                <w:p w14:paraId="092C9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诊疗废水、美容洗浴废水、生活废水</w:t>
                  </w:r>
                </w:p>
              </w:tc>
              <w:tc>
                <w:tcPr>
                  <w:tcW w:w="1122" w:type="dxa"/>
                  <w:vMerge w:val="restart"/>
                  <w:tcBorders>
                    <w:tl2br w:val="nil"/>
                    <w:tr2bl w:val="nil"/>
                  </w:tcBorders>
                  <w:vAlign w:val="center"/>
                </w:tcPr>
                <w:p w14:paraId="14139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pH</w:t>
                  </w:r>
                </w:p>
                <w:p w14:paraId="31515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CODcr</w:t>
                  </w:r>
                </w:p>
                <w:p w14:paraId="663F8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BOD</w:t>
                  </w:r>
                  <w:r>
                    <w:rPr>
                      <w:rFonts w:hint="eastAsia"/>
                      <w:sz w:val="21"/>
                      <w:szCs w:val="21"/>
                      <w:vertAlign w:val="subscript"/>
                      <w:lang w:val="en-US" w:eastAsia="zh-CN"/>
                    </w:rPr>
                    <w:t>5</w:t>
                  </w:r>
                </w:p>
                <w:p w14:paraId="3EE4E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SS</w:t>
                  </w:r>
                </w:p>
                <w:p w14:paraId="5ADC4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NH3-N</w:t>
                  </w:r>
                </w:p>
                <w:p w14:paraId="682FD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总余氯</w:t>
                  </w:r>
                </w:p>
                <w:p w14:paraId="58FB8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1003" w:type="dxa"/>
                  <w:tcBorders>
                    <w:tl2br w:val="nil"/>
                    <w:tr2bl w:val="nil"/>
                  </w:tcBorders>
                  <w:vAlign w:val="center"/>
                </w:tcPr>
                <w:p w14:paraId="45741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w:t>
                  </w:r>
                </w:p>
              </w:tc>
              <w:tc>
                <w:tcPr>
                  <w:tcW w:w="1003" w:type="dxa"/>
                  <w:tcBorders>
                    <w:tl2br w:val="nil"/>
                    <w:tr2bl w:val="nil"/>
                  </w:tcBorders>
                  <w:vAlign w:val="center"/>
                </w:tcPr>
                <w:p w14:paraId="2423FB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采用次氯酸钠消毒，对粪大肠菌群去除率99.999%</w:t>
                  </w:r>
                </w:p>
              </w:tc>
              <w:tc>
                <w:tcPr>
                  <w:tcW w:w="1003" w:type="dxa"/>
                  <w:tcBorders>
                    <w:tl2br w:val="nil"/>
                    <w:tr2bl w:val="nil"/>
                  </w:tcBorders>
                  <w:vAlign w:val="center"/>
                </w:tcPr>
                <w:p w14:paraId="3844C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1.0m</w:t>
                  </w:r>
                  <w:r>
                    <w:rPr>
                      <w:rFonts w:hint="eastAsia"/>
                      <w:sz w:val="21"/>
                      <w:szCs w:val="21"/>
                      <w:vertAlign w:val="superscript"/>
                      <w:lang w:val="en-US" w:eastAsia="zh-CN"/>
                    </w:rPr>
                    <w:t>3</w:t>
                  </w:r>
                  <w:r>
                    <w:rPr>
                      <w:rFonts w:hint="eastAsia"/>
                      <w:sz w:val="21"/>
                      <w:szCs w:val="21"/>
                      <w:vertAlign w:val="baseline"/>
                      <w:lang w:val="en-US" w:eastAsia="zh-CN"/>
                    </w:rPr>
                    <w:t>/d</w:t>
                  </w:r>
                </w:p>
              </w:tc>
              <w:tc>
                <w:tcPr>
                  <w:tcW w:w="1003" w:type="dxa"/>
                  <w:vMerge w:val="restart"/>
                  <w:tcBorders>
                    <w:tl2br w:val="nil"/>
                    <w:tr2bl w:val="nil"/>
                  </w:tcBorders>
                  <w:vAlign w:val="center"/>
                </w:tcPr>
                <w:p w14:paraId="3F325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1" w:type="dxa"/>
                  <w:vMerge w:val="restart"/>
                  <w:tcBorders>
                    <w:tl2br w:val="nil"/>
                    <w:tr2bl w:val="nil"/>
                  </w:tcBorders>
                  <w:vAlign w:val="center"/>
                </w:tcPr>
                <w:p w14:paraId="0B113B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诊疗废水经消毒后与生活污水排入所在建筑防渗化粪池，最终经市政污水管网排入小红门再生水厂</w:t>
                  </w:r>
                </w:p>
              </w:tc>
              <w:tc>
                <w:tcPr>
                  <w:tcW w:w="915" w:type="dxa"/>
                  <w:vMerge w:val="restart"/>
                  <w:tcBorders>
                    <w:tl2br w:val="nil"/>
                    <w:tr2bl w:val="nil"/>
                  </w:tcBorders>
                  <w:vAlign w:val="center"/>
                </w:tcPr>
                <w:p w14:paraId="0930C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间断排放排放期间流量不稳定且无规律，但不属于冲击性排放</w:t>
                  </w:r>
                </w:p>
              </w:tc>
            </w:tr>
            <w:tr w14:paraId="685C9F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Merge w:val="continue"/>
                  <w:tcBorders>
                    <w:tl2br w:val="nil"/>
                    <w:tr2bl w:val="nil"/>
                  </w:tcBorders>
                  <w:vAlign w:val="center"/>
                </w:tcPr>
                <w:p w14:paraId="5D34A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122" w:type="dxa"/>
                  <w:vMerge w:val="continue"/>
                  <w:tcBorders>
                    <w:tl2br w:val="nil"/>
                    <w:tr2bl w:val="nil"/>
                  </w:tcBorders>
                  <w:vAlign w:val="center"/>
                </w:tcPr>
                <w:p w14:paraId="52945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03" w:type="dxa"/>
                  <w:tcBorders>
                    <w:tl2br w:val="nil"/>
                    <w:tr2bl w:val="nil"/>
                  </w:tcBorders>
                  <w:vAlign w:val="center"/>
                </w:tcPr>
                <w:p w14:paraId="7E702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化粪池</w:t>
                  </w:r>
                </w:p>
              </w:tc>
              <w:tc>
                <w:tcPr>
                  <w:tcW w:w="1003" w:type="dxa"/>
                  <w:tcBorders>
                    <w:tl2br w:val="nil"/>
                    <w:tr2bl w:val="nil"/>
                  </w:tcBorders>
                  <w:vAlign w:val="center"/>
                </w:tcPr>
                <w:p w14:paraId="75652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厌氧</w:t>
                  </w:r>
                </w:p>
                <w:p w14:paraId="1F4984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发酵</w:t>
                  </w:r>
                </w:p>
              </w:tc>
              <w:tc>
                <w:tcPr>
                  <w:tcW w:w="1003" w:type="dxa"/>
                  <w:tcBorders>
                    <w:tl2br w:val="nil"/>
                    <w:tr2bl w:val="nil"/>
                  </w:tcBorders>
                  <w:vAlign w:val="center"/>
                </w:tcPr>
                <w:p w14:paraId="7D7A5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03" w:type="dxa"/>
                  <w:vMerge w:val="continue"/>
                  <w:tcBorders>
                    <w:tl2br w:val="nil"/>
                    <w:tr2bl w:val="nil"/>
                  </w:tcBorders>
                  <w:vAlign w:val="center"/>
                </w:tcPr>
                <w:p w14:paraId="15A8D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91" w:type="dxa"/>
                  <w:vMerge w:val="continue"/>
                  <w:tcBorders>
                    <w:tl2br w:val="nil"/>
                    <w:tr2bl w:val="nil"/>
                  </w:tcBorders>
                  <w:vAlign w:val="center"/>
                </w:tcPr>
                <w:p w14:paraId="3735CA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915" w:type="dxa"/>
                  <w:vMerge w:val="continue"/>
                  <w:tcBorders>
                    <w:tl2br w:val="nil"/>
                    <w:tr2bl w:val="nil"/>
                  </w:tcBorders>
                  <w:vAlign w:val="center"/>
                </w:tcPr>
                <w:p w14:paraId="1ACE0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r>
          </w:tbl>
          <w:p w14:paraId="74240B5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（4）水环境影响结论</w:t>
            </w:r>
          </w:p>
          <w:p w14:paraId="59EB00B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排放的废水为动物诊疗废水、美容洗浴废水和生活污水。其中诊疗废水经污水处理设备处理达标后与生活污水一同排入所在建筑防渗化粪池，最终经市政污水管网汇入小红门再生水厂集中处理。项目购置安装3台污水处理设备，采用次氯酸钠消毒工艺对诊疗废水消毒处理。经预测计算，项目废水排放浓度能够符合北京市《水污染物合排放标准》（DB11/307-2013）中排入公共污水处理系统的水污染物限值，可达标排放。废水不直接排入地表水体，对当地水环境影响很小。本项目污水处理设备安装区采取防渗处理。在日常运行时，将加强对污水处理设施的管理，确保污水稳定达标排放。</w:t>
            </w:r>
          </w:p>
          <w:p w14:paraId="5208DC0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根据《排污单位自行监测技术指南 总则》（HJ 819-2017），项目废水监测计划见下表。</w:t>
            </w:r>
          </w:p>
          <w:p w14:paraId="058419A8">
            <w:pPr>
              <w:pStyle w:val="11"/>
              <w:bidi w:val="0"/>
              <w:rPr>
                <w:rFonts w:hint="default"/>
                <w:lang w:val="en-US" w:eastAsia="zh-CN"/>
              </w:rPr>
            </w:pPr>
            <w:r>
              <w:rPr>
                <w:rFonts w:hint="eastAsia"/>
                <w:lang w:val="en-US" w:eastAsia="zh-CN"/>
              </w:rPr>
              <w:t>表4-11 项目废水监测计划</w:t>
            </w:r>
          </w:p>
          <w:tbl>
            <w:tblPr>
              <w:tblStyle w:val="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140"/>
              <w:gridCol w:w="1665"/>
              <w:gridCol w:w="1395"/>
              <w:gridCol w:w="735"/>
              <w:gridCol w:w="855"/>
              <w:gridCol w:w="809"/>
            </w:tblGrid>
            <w:tr w14:paraId="419C5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restart"/>
                  <w:tcBorders>
                    <w:tl2br w:val="nil"/>
                    <w:tr2bl w:val="nil"/>
                  </w:tcBorders>
                  <w:vAlign w:val="center"/>
                </w:tcPr>
                <w:p w14:paraId="6EA76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监测内容</w:t>
                  </w:r>
                </w:p>
              </w:tc>
              <w:tc>
                <w:tcPr>
                  <w:tcW w:w="1140" w:type="dxa"/>
                  <w:vMerge w:val="restart"/>
                  <w:tcBorders>
                    <w:tl2br w:val="nil"/>
                    <w:tr2bl w:val="nil"/>
                  </w:tcBorders>
                  <w:vAlign w:val="center"/>
                </w:tcPr>
                <w:p w14:paraId="0FEE6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排污口数量及位置</w:t>
                  </w:r>
                </w:p>
              </w:tc>
              <w:tc>
                <w:tcPr>
                  <w:tcW w:w="1665" w:type="dxa"/>
                  <w:vMerge w:val="restart"/>
                  <w:tcBorders>
                    <w:tl2br w:val="nil"/>
                    <w:tr2bl w:val="nil"/>
                  </w:tcBorders>
                  <w:vAlign w:val="center"/>
                </w:tcPr>
                <w:p w14:paraId="156EE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395" w:type="dxa"/>
                  <w:vMerge w:val="restart"/>
                  <w:tcBorders>
                    <w:tl2br w:val="nil"/>
                    <w:tr2bl w:val="nil"/>
                  </w:tcBorders>
                  <w:vAlign w:val="center"/>
                </w:tcPr>
                <w:p w14:paraId="3AEE8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排放限值</w:t>
                  </w:r>
                </w:p>
              </w:tc>
              <w:tc>
                <w:tcPr>
                  <w:tcW w:w="735" w:type="dxa"/>
                  <w:vMerge w:val="restart"/>
                  <w:tcBorders>
                    <w:tl2br w:val="nil"/>
                    <w:tr2bl w:val="nil"/>
                  </w:tcBorders>
                  <w:vAlign w:val="center"/>
                </w:tcPr>
                <w:p w14:paraId="641F9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排放方式</w:t>
                  </w:r>
                </w:p>
              </w:tc>
              <w:tc>
                <w:tcPr>
                  <w:tcW w:w="1664" w:type="dxa"/>
                  <w:gridSpan w:val="2"/>
                  <w:tcBorders>
                    <w:tl2br w:val="nil"/>
                    <w:tr2bl w:val="nil"/>
                  </w:tcBorders>
                  <w:vAlign w:val="center"/>
                </w:tcPr>
                <w:p w14:paraId="7E41C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环境监测</w:t>
                  </w:r>
                </w:p>
              </w:tc>
            </w:tr>
            <w:tr w14:paraId="3364D4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411E0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7EC94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vMerge w:val="continue"/>
                  <w:tcBorders>
                    <w:tl2br w:val="nil"/>
                    <w:tr2bl w:val="nil"/>
                  </w:tcBorders>
                  <w:vAlign w:val="center"/>
                </w:tcPr>
                <w:p w14:paraId="70E20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395" w:type="dxa"/>
                  <w:vMerge w:val="continue"/>
                  <w:tcBorders>
                    <w:tl2br w:val="nil"/>
                    <w:tr2bl w:val="nil"/>
                  </w:tcBorders>
                  <w:vAlign w:val="center"/>
                </w:tcPr>
                <w:p w14:paraId="6FB85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735" w:type="dxa"/>
                  <w:vMerge w:val="continue"/>
                  <w:tcBorders>
                    <w:tl2br w:val="nil"/>
                    <w:tr2bl w:val="nil"/>
                  </w:tcBorders>
                  <w:vAlign w:val="center"/>
                </w:tcPr>
                <w:p w14:paraId="5EDCD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tcBorders>
                    <w:tl2br w:val="nil"/>
                    <w:tr2bl w:val="nil"/>
                  </w:tcBorders>
                  <w:vAlign w:val="center"/>
                </w:tcPr>
                <w:p w14:paraId="52094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809" w:type="dxa"/>
                  <w:tcBorders>
                    <w:tl2br w:val="nil"/>
                    <w:tr2bl w:val="nil"/>
                  </w:tcBorders>
                  <w:vAlign w:val="center"/>
                </w:tcPr>
                <w:p w14:paraId="1EFA4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计划</w:t>
                  </w:r>
                </w:p>
              </w:tc>
            </w:tr>
            <w:tr w14:paraId="03AE1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restart"/>
                  <w:tcBorders>
                    <w:tl2br w:val="nil"/>
                    <w:tr2bl w:val="nil"/>
                  </w:tcBorders>
                  <w:vAlign w:val="center"/>
                </w:tcPr>
                <w:p w14:paraId="7A429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诊疗废水、美容洗浴废水、生活废水</w:t>
                  </w:r>
                </w:p>
              </w:tc>
              <w:tc>
                <w:tcPr>
                  <w:tcW w:w="1140" w:type="dxa"/>
                  <w:vMerge w:val="restart"/>
                  <w:tcBorders>
                    <w:tl2br w:val="nil"/>
                    <w:tr2bl w:val="nil"/>
                  </w:tcBorders>
                  <w:vAlign w:val="center"/>
                </w:tcPr>
                <w:p w14:paraId="208B2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废水总排口DW001</w:t>
                  </w:r>
                </w:p>
              </w:tc>
              <w:tc>
                <w:tcPr>
                  <w:tcW w:w="1665" w:type="dxa"/>
                  <w:tcBorders>
                    <w:tl2br w:val="nil"/>
                    <w:tr2bl w:val="nil"/>
                  </w:tcBorders>
                  <w:vAlign w:val="center"/>
                </w:tcPr>
                <w:p w14:paraId="02497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w:t>
                  </w:r>
                </w:p>
              </w:tc>
              <w:tc>
                <w:tcPr>
                  <w:tcW w:w="1395" w:type="dxa"/>
                  <w:tcBorders>
                    <w:tl2br w:val="nil"/>
                    <w:tr2bl w:val="nil"/>
                  </w:tcBorders>
                  <w:vAlign w:val="center"/>
                </w:tcPr>
                <w:p w14:paraId="22B79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6.5~9</w:t>
                  </w:r>
                </w:p>
              </w:tc>
              <w:tc>
                <w:tcPr>
                  <w:tcW w:w="735" w:type="dxa"/>
                  <w:vMerge w:val="restart"/>
                  <w:tcBorders>
                    <w:tl2br w:val="nil"/>
                    <w:tr2bl w:val="nil"/>
                  </w:tcBorders>
                  <w:vAlign w:val="center"/>
                </w:tcPr>
                <w:p w14:paraId="595F7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间接排放</w:t>
                  </w:r>
                </w:p>
              </w:tc>
              <w:tc>
                <w:tcPr>
                  <w:tcW w:w="855" w:type="dxa"/>
                  <w:vMerge w:val="restart"/>
                  <w:tcBorders>
                    <w:tl2br w:val="nil"/>
                    <w:tr2bl w:val="nil"/>
                  </w:tcBorders>
                  <w:vAlign w:val="center"/>
                </w:tcPr>
                <w:p w14:paraId="36FE3D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1次/年</w:t>
                  </w:r>
                </w:p>
              </w:tc>
              <w:tc>
                <w:tcPr>
                  <w:tcW w:w="809" w:type="dxa"/>
                  <w:vMerge w:val="restart"/>
                  <w:tcBorders>
                    <w:tl2br w:val="nil"/>
                    <w:tr2bl w:val="nil"/>
                  </w:tcBorders>
                  <w:vAlign w:val="center"/>
                </w:tcPr>
                <w:p w14:paraId="7DE9B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委托具有CMA相关资质的第三方机构进行监测</w:t>
                  </w:r>
                </w:p>
              </w:tc>
            </w:tr>
            <w:tr w14:paraId="23BF1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5C358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3C44C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3608C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CODcr</w:t>
                  </w:r>
                </w:p>
              </w:tc>
              <w:tc>
                <w:tcPr>
                  <w:tcW w:w="1395" w:type="dxa"/>
                  <w:tcBorders>
                    <w:tl2br w:val="nil"/>
                    <w:tr2bl w:val="nil"/>
                  </w:tcBorders>
                  <w:vAlign w:val="center"/>
                </w:tcPr>
                <w:p w14:paraId="701AC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500mg/L</w:t>
                  </w:r>
                </w:p>
              </w:tc>
              <w:tc>
                <w:tcPr>
                  <w:tcW w:w="735" w:type="dxa"/>
                  <w:vMerge w:val="continue"/>
                  <w:tcBorders>
                    <w:tl2br w:val="nil"/>
                    <w:tr2bl w:val="nil"/>
                  </w:tcBorders>
                  <w:vAlign w:val="center"/>
                </w:tcPr>
                <w:p w14:paraId="13EBB2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531DB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41098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5E37F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73876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51FD1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58EA0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BOD5</w:t>
                  </w:r>
                </w:p>
              </w:tc>
              <w:tc>
                <w:tcPr>
                  <w:tcW w:w="1395" w:type="dxa"/>
                  <w:tcBorders>
                    <w:tl2br w:val="nil"/>
                    <w:tr2bl w:val="nil"/>
                  </w:tcBorders>
                  <w:vAlign w:val="center"/>
                </w:tcPr>
                <w:p w14:paraId="03EEA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300mg/L</w:t>
                  </w:r>
                </w:p>
              </w:tc>
              <w:tc>
                <w:tcPr>
                  <w:tcW w:w="735" w:type="dxa"/>
                  <w:vMerge w:val="continue"/>
                  <w:tcBorders>
                    <w:tl2br w:val="nil"/>
                    <w:tr2bl w:val="nil"/>
                  </w:tcBorders>
                  <w:vAlign w:val="center"/>
                </w:tcPr>
                <w:p w14:paraId="2869A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6E8BED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2205E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32867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3C47D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7CE12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4F605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SS</w:t>
                  </w:r>
                </w:p>
              </w:tc>
              <w:tc>
                <w:tcPr>
                  <w:tcW w:w="1395" w:type="dxa"/>
                  <w:tcBorders>
                    <w:tl2br w:val="nil"/>
                    <w:tr2bl w:val="nil"/>
                  </w:tcBorders>
                  <w:vAlign w:val="center"/>
                </w:tcPr>
                <w:p w14:paraId="56375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400mg/L</w:t>
                  </w:r>
                </w:p>
              </w:tc>
              <w:tc>
                <w:tcPr>
                  <w:tcW w:w="735" w:type="dxa"/>
                  <w:vMerge w:val="continue"/>
                  <w:tcBorders>
                    <w:tl2br w:val="nil"/>
                    <w:tr2bl w:val="nil"/>
                  </w:tcBorders>
                  <w:vAlign w:val="center"/>
                </w:tcPr>
                <w:p w14:paraId="54A854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0FF97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1DDA1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1EDF0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3DE4DC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5C1C7A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0E0F1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NH3-N</w:t>
                  </w:r>
                </w:p>
              </w:tc>
              <w:tc>
                <w:tcPr>
                  <w:tcW w:w="1395" w:type="dxa"/>
                  <w:tcBorders>
                    <w:tl2br w:val="nil"/>
                    <w:tr2bl w:val="nil"/>
                  </w:tcBorders>
                  <w:vAlign w:val="center"/>
                </w:tcPr>
                <w:p w14:paraId="4B8E8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45mg/L</w:t>
                  </w:r>
                </w:p>
              </w:tc>
              <w:tc>
                <w:tcPr>
                  <w:tcW w:w="735" w:type="dxa"/>
                  <w:vMerge w:val="continue"/>
                  <w:tcBorders>
                    <w:tl2br w:val="nil"/>
                    <w:tr2bl w:val="nil"/>
                  </w:tcBorders>
                  <w:vAlign w:val="center"/>
                </w:tcPr>
                <w:p w14:paraId="76004F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4AFEE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2D4B9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6631B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58288E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43293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6C6B9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总余氯</w:t>
                  </w:r>
                </w:p>
              </w:tc>
              <w:tc>
                <w:tcPr>
                  <w:tcW w:w="1395" w:type="dxa"/>
                  <w:tcBorders>
                    <w:tl2br w:val="nil"/>
                    <w:tr2bl w:val="nil"/>
                  </w:tcBorders>
                  <w:vAlign w:val="center"/>
                </w:tcPr>
                <w:p w14:paraId="210AA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8mg/L</w:t>
                  </w:r>
                </w:p>
              </w:tc>
              <w:tc>
                <w:tcPr>
                  <w:tcW w:w="735" w:type="dxa"/>
                  <w:vMerge w:val="continue"/>
                  <w:tcBorders>
                    <w:tl2br w:val="nil"/>
                    <w:tr2bl w:val="nil"/>
                  </w:tcBorders>
                  <w:vAlign w:val="center"/>
                </w:tcPr>
                <w:p w14:paraId="29748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7D1A0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1FF45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7B823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vMerge w:val="continue"/>
                  <w:tcBorders>
                    <w:tl2br w:val="nil"/>
                    <w:tr2bl w:val="nil"/>
                  </w:tcBorders>
                  <w:vAlign w:val="center"/>
                </w:tcPr>
                <w:p w14:paraId="6A87B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140" w:type="dxa"/>
                  <w:vMerge w:val="continue"/>
                  <w:tcBorders>
                    <w:tl2br w:val="nil"/>
                    <w:tr2bl w:val="nil"/>
                  </w:tcBorders>
                  <w:vAlign w:val="center"/>
                </w:tcPr>
                <w:p w14:paraId="6F896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65" w:type="dxa"/>
                  <w:tcBorders>
                    <w:tl2br w:val="nil"/>
                    <w:tr2bl w:val="nil"/>
                  </w:tcBorders>
                  <w:vAlign w:val="center"/>
                </w:tcPr>
                <w:p w14:paraId="3D520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粪大肠菌群</w:t>
                  </w:r>
                </w:p>
              </w:tc>
              <w:tc>
                <w:tcPr>
                  <w:tcW w:w="1395" w:type="dxa"/>
                  <w:tcBorders>
                    <w:tl2br w:val="nil"/>
                    <w:tr2bl w:val="nil"/>
                  </w:tcBorders>
                  <w:vAlign w:val="center"/>
                </w:tcPr>
                <w:p w14:paraId="45F58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10000MPN/L</w:t>
                  </w:r>
                </w:p>
              </w:tc>
              <w:tc>
                <w:tcPr>
                  <w:tcW w:w="735" w:type="dxa"/>
                  <w:vMerge w:val="continue"/>
                  <w:tcBorders>
                    <w:tl2br w:val="nil"/>
                    <w:tr2bl w:val="nil"/>
                  </w:tcBorders>
                  <w:vAlign w:val="center"/>
                </w:tcPr>
                <w:p w14:paraId="79061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55" w:type="dxa"/>
                  <w:vMerge w:val="continue"/>
                  <w:tcBorders>
                    <w:tl2br w:val="nil"/>
                    <w:tr2bl w:val="nil"/>
                  </w:tcBorders>
                  <w:vAlign w:val="center"/>
                </w:tcPr>
                <w:p w14:paraId="4A359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809" w:type="dxa"/>
                  <w:vMerge w:val="continue"/>
                  <w:tcBorders>
                    <w:tl2br w:val="nil"/>
                    <w:tr2bl w:val="nil"/>
                  </w:tcBorders>
                  <w:vAlign w:val="center"/>
                </w:tcPr>
                <w:p w14:paraId="04EE7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73560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1" w:type="dxa"/>
                  <w:tcBorders>
                    <w:tl2br w:val="nil"/>
                    <w:tr2bl w:val="nil"/>
                  </w:tcBorders>
                  <w:vAlign w:val="center"/>
                </w:tcPr>
                <w:p w14:paraId="5B0E7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备注</w:t>
                  </w:r>
                </w:p>
              </w:tc>
              <w:tc>
                <w:tcPr>
                  <w:tcW w:w="6599" w:type="dxa"/>
                  <w:gridSpan w:val="6"/>
                  <w:tcBorders>
                    <w:tl2br w:val="nil"/>
                    <w:tr2bl w:val="nil"/>
                  </w:tcBorders>
                  <w:vAlign w:val="center"/>
                </w:tcPr>
                <w:p w14:paraId="5317D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在公众对项目投诉的情况时，建设单位应按照相关要求增加监测频次</w:t>
                  </w:r>
                </w:p>
              </w:tc>
            </w:tr>
          </w:tbl>
          <w:p w14:paraId="32DE727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3、声环境影响分析</w:t>
            </w:r>
          </w:p>
          <w:p w14:paraId="7A1A6CD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（1）噪声源强及防治措施</w:t>
            </w:r>
          </w:p>
          <w:p w14:paraId="16444D8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本项目营运期噪声源主要包括污水处理设备水泵、排风机、诊疗设备、空调外机、就诊动物的叫声。</w:t>
            </w:r>
          </w:p>
          <w:p w14:paraId="77B1B09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本项目主要噪声源强及采取的主要防治措施详见下表。</w:t>
            </w:r>
          </w:p>
          <w:p w14:paraId="7262348B">
            <w:pPr>
              <w:pStyle w:val="11"/>
              <w:bidi w:val="0"/>
              <w:rPr>
                <w:rFonts w:hint="default"/>
                <w:lang w:val="en-US" w:eastAsia="zh-CN"/>
              </w:rPr>
            </w:pPr>
            <w:r>
              <w:rPr>
                <w:rFonts w:hint="eastAsia"/>
                <w:lang w:val="en-US" w:eastAsia="zh-CN"/>
              </w:rPr>
              <w:t>表4-12 项目噪声源及源强   （dB(A)）</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840"/>
              <w:gridCol w:w="1395"/>
              <w:gridCol w:w="1245"/>
              <w:gridCol w:w="1230"/>
              <w:gridCol w:w="1696"/>
            </w:tblGrid>
            <w:tr w14:paraId="388E2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0F900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噪声源</w:t>
                  </w:r>
                </w:p>
              </w:tc>
              <w:tc>
                <w:tcPr>
                  <w:tcW w:w="840" w:type="dxa"/>
                  <w:tcBorders>
                    <w:tl2br w:val="nil"/>
                    <w:tr2bl w:val="nil"/>
                  </w:tcBorders>
                  <w:vAlign w:val="center"/>
                </w:tcPr>
                <w:p w14:paraId="2112E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数量</w:t>
                  </w:r>
                </w:p>
              </w:tc>
              <w:tc>
                <w:tcPr>
                  <w:tcW w:w="1395" w:type="dxa"/>
                  <w:tcBorders>
                    <w:tl2br w:val="nil"/>
                    <w:tr2bl w:val="nil"/>
                  </w:tcBorders>
                  <w:vAlign w:val="center"/>
                </w:tcPr>
                <w:p w14:paraId="39912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1245" w:type="dxa"/>
                  <w:tcBorders>
                    <w:tl2br w:val="nil"/>
                    <w:tr2bl w:val="nil"/>
                  </w:tcBorders>
                  <w:vAlign w:val="center"/>
                </w:tcPr>
                <w:p w14:paraId="1F3AB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持续时间</w:t>
                  </w:r>
                </w:p>
              </w:tc>
              <w:tc>
                <w:tcPr>
                  <w:tcW w:w="1230" w:type="dxa"/>
                  <w:tcBorders>
                    <w:tl2br w:val="nil"/>
                    <w:tr2bl w:val="nil"/>
                  </w:tcBorders>
                  <w:vAlign w:val="center"/>
                </w:tcPr>
                <w:p w14:paraId="5CC43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声源源强</w:t>
                  </w:r>
                </w:p>
              </w:tc>
              <w:tc>
                <w:tcPr>
                  <w:tcW w:w="1696" w:type="dxa"/>
                  <w:tcBorders>
                    <w:tl2br w:val="nil"/>
                    <w:tr2bl w:val="nil"/>
                  </w:tcBorders>
                  <w:vAlign w:val="center"/>
                </w:tcPr>
                <w:p w14:paraId="5FA0B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治理措施</w:t>
                  </w:r>
                </w:p>
              </w:tc>
            </w:tr>
            <w:tr w14:paraId="48CB78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7C9F2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诊疗设备</w:t>
                  </w:r>
                </w:p>
              </w:tc>
              <w:tc>
                <w:tcPr>
                  <w:tcW w:w="840" w:type="dxa"/>
                  <w:tcBorders>
                    <w:tl2br w:val="nil"/>
                    <w:tr2bl w:val="nil"/>
                  </w:tcBorders>
                  <w:vAlign w:val="center"/>
                </w:tcPr>
                <w:p w14:paraId="136E0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若干</w:t>
                  </w:r>
                </w:p>
              </w:tc>
              <w:tc>
                <w:tcPr>
                  <w:tcW w:w="1395" w:type="dxa"/>
                  <w:tcBorders>
                    <w:tl2br w:val="nil"/>
                    <w:tr2bl w:val="nil"/>
                  </w:tcBorders>
                  <w:vAlign w:val="center"/>
                </w:tcPr>
                <w:p w14:paraId="06532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各诊室内</w:t>
                  </w:r>
                </w:p>
              </w:tc>
              <w:tc>
                <w:tcPr>
                  <w:tcW w:w="1245" w:type="dxa"/>
                  <w:tcBorders>
                    <w:tl2br w:val="nil"/>
                    <w:tr2bl w:val="nil"/>
                  </w:tcBorders>
                  <w:vAlign w:val="center"/>
                </w:tcPr>
                <w:p w14:paraId="0BBD4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10-20min</w:t>
                  </w:r>
                </w:p>
              </w:tc>
              <w:tc>
                <w:tcPr>
                  <w:tcW w:w="1230" w:type="dxa"/>
                  <w:tcBorders>
                    <w:tl2br w:val="nil"/>
                    <w:tr2bl w:val="nil"/>
                  </w:tcBorders>
                  <w:vAlign w:val="center"/>
                </w:tcPr>
                <w:p w14:paraId="5EDBA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50-55</w:t>
                  </w:r>
                </w:p>
              </w:tc>
              <w:tc>
                <w:tcPr>
                  <w:tcW w:w="1696" w:type="dxa"/>
                  <w:tcBorders>
                    <w:tl2br w:val="nil"/>
                    <w:tr2bl w:val="nil"/>
                  </w:tcBorders>
                  <w:vAlign w:val="center"/>
                </w:tcPr>
                <w:p w14:paraId="55E6C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室内安装</w:t>
                  </w:r>
                </w:p>
              </w:tc>
            </w:tr>
            <w:tr w14:paraId="73458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vAlign w:val="center"/>
                </w:tcPr>
                <w:p w14:paraId="00396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污水处理设备</w:t>
                  </w:r>
                </w:p>
              </w:tc>
              <w:tc>
                <w:tcPr>
                  <w:tcW w:w="840" w:type="dxa"/>
                  <w:tcBorders>
                    <w:tl2br w:val="nil"/>
                    <w:tr2bl w:val="nil"/>
                  </w:tcBorders>
                  <w:vAlign w:val="center"/>
                </w:tcPr>
                <w:p w14:paraId="23D1E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3台</w:t>
                  </w:r>
                </w:p>
              </w:tc>
              <w:tc>
                <w:tcPr>
                  <w:tcW w:w="1395" w:type="dxa"/>
                  <w:tcBorders>
                    <w:tl2br w:val="nil"/>
                    <w:tr2bl w:val="nil"/>
                  </w:tcBorders>
                  <w:vAlign w:val="center"/>
                </w:tcPr>
                <w:p w14:paraId="71EFB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室内南侧</w:t>
                  </w:r>
                </w:p>
              </w:tc>
              <w:tc>
                <w:tcPr>
                  <w:tcW w:w="1245" w:type="dxa"/>
                  <w:tcBorders>
                    <w:tl2br w:val="nil"/>
                    <w:tr2bl w:val="nil"/>
                  </w:tcBorders>
                  <w:vAlign w:val="center"/>
                </w:tcPr>
                <w:p w14:paraId="00B74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10min</w:t>
                  </w:r>
                </w:p>
              </w:tc>
              <w:tc>
                <w:tcPr>
                  <w:tcW w:w="1230" w:type="dxa"/>
                  <w:tcBorders>
                    <w:tl2br w:val="nil"/>
                    <w:tr2bl w:val="nil"/>
                  </w:tcBorders>
                  <w:vAlign w:val="center"/>
                </w:tcPr>
                <w:p w14:paraId="1BCFF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70</w:t>
                  </w:r>
                </w:p>
              </w:tc>
              <w:tc>
                <w:tcPr>
                  <w:tcW w:w="1696" w:type="dxa"/>
                  <w:tcBorders>
                    <w:tl2br w:val="nil"/>
                    <w:tr2bl w:val="nil"/>
                  </w:tcBorders>
                  <w:vAlign w:val="center"/>
                </w:tcPr>
                <w:p w14:paraId="0FEDCE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减振、室内安装</w:t>
                  </w:r>
                </w:p>
              </w:tc>
            </w:tr>
            <w:tr w14:paraId="62B7C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shd w:val="clear" w:color="auto" w:fill="auto"/>
                  <w:vAlign w:val="center"/>
                </w:tcPr>
                <w:p w14:paraId="56B2C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排风机</w:t>
                  </w:r>
                </w:p>
              </w:tc>
              <w:tc>
                <w:tcPr>
                  <w:tcW w:w="840" w:type="dxa"/>
                  <w:tcBorders>
                    <w:tl2br w:val="nil"/>
                    <w:tr2bl w:val="nil"/>
                  </w:tcBorders>
                  <w:vAlign w:val="center"/>
                </w:tcPr>
                <w:p w14:paraId="06926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1台</w:t>
                  </w:r>
                </w:p>
              </w:tc>
              <w:tc>
                <w:tcPr>
                  <w:tcW w:w="1395" w:type="dxa"/>
                  <w:tcBorders>
                    <w:tl2br w:val="nil"/>
                    <w:tr2bl w:val="nil"/>
                  </w:tcBorders>
                  <w:vAlign w:val="center"/>
                </w:tcPr>
                <w:p w14:paraId="02174E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室内吊顶</w:t>
                  </w:r>
                </w:p>
              </w:tc>
              <w:tc>
                <w:tcPr>
                  <w:tcW w:w="1245" w:type="dxa"/>
                  <w:tcBorders>
                    <w:tl2br w:val="nil"/>
                    <w:tr2bl w:val="nil"/>
                  </w:tcBorders>
                  <w:vAlign w:val="center"/>
                </w:tcPr>
                <w:p w14:paraId="5B61E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600min</w:t>
                  </w:r>
                </w:p>
              </w:tc>
              <w:tc>
                <w:tcPr>
                  <w:tcW w:w="1230" w:type="dxa"/>
                  <w:tcBorders>
                    <w:tl2br w:val="nil"/>
                    <w:tr2bl w:val="nil"/>
                  </w:tcBorders>
                  <w:vAlign w:val="center"/>
                </w:tcPr>
                <w:p w14:paraId="2CD76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w:t>
                  </w:r>
                </w:p>
              </w:tc>
              <w:tc>
                <w:tcPr>
                  <w:tcW w:w="1696" w:type="dxa"/>
                  <w:tcBorders>
                    <w:tl2br w:val="nil"/>
                    <w:tr2bl w:val="nil"/>
                  </w:tcBorders>
                  <w:vAlign w:val="center"/>
                </w:tcPr>
                <w:p w14:paraId="59750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减振、室内安装</w:t>
                  </w:r>
                </w:p>
              </w:tc>
            </w:tr>
            <w:tr w14:paraId="191D16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shd w:val="clear" w:color="auto" w:fill="auto"/>
                  <w:vAlign w:val="center"/>
                </w:tcPr>
                <w:p w14:paraId="56EFC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空调外机</w:t>
                  </w:r>
                </w:p>
              </w:tc>
              <w:tc>
                <w:tcPr>
                  <w:tcW w:w="840" w:type="dxa"/>
                  <w:tcBorders>
                    <w:tl2br w:val="nil"/>
                    <w:tr2bl w:val="nil"/>
                  </w:tcBorders>
                  <w:vAlign w:val="center"/>
                </w:tcPr>
                <w:p w14:paraId="45398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1台</w:t>
                  </w:r>
                </w:p>
              </w:tc>
              <w:tc>
                <w:tcPr>
                  <w:tcW w:w="1395" w:type="dxa"/>
                  <w:tcBorders>
                    <w:tl2br w:val="nil"/>
                    <w:tr2bl w:val="nil"/>
                  </w:tcBorders>
                  <w:vAlign w:val="center"/>
                </w:tcPr>
                <w:p w14:paraId="1E1D9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北侧室外</w:t>
                  </w:r>
                </w:p>
              </w:tc>
              <w:tc>
                <w:tcPr>
                  <w:tcW w:w="1245" w:type="dxa"/>
                  <w:tcBorders>
                    <w:tl2br w:val="nil"/>
                    <w:tr2bl w:val="nil"/>
                  </w:tcBorders>
                  <w:vAlign w:val="center"/>
                </w:tcPr>
                <w:p w14:paraId="5CC83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600min</w:t>
                  </w:r>
                </w:p>
              </w:tc>
              <w:tc>
                <w:tcPr>
                  <w:tcW w:w="1230" w:type="dxa"/>
                  <w:tcBorders>
                    <w:tl2br w:val="nil"/>
                    <w:tr2bl w:val="nil"/>
                  </w:tcBorders>
                  <w:vAlign w:val="center"/>
                </w:tcPr>
                <w:p w14:paraId="01F1F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50-55</w:t>
                  </w:r>
                </w:p>
              </w:tc>
              <w:tc>
                <w:tcPr>
                  <w:tcW w:w="1696" w:type="dxa"/>
                  <w:tcBorders>
                    <w:tl2br w:val="nil"/>
                    <w:tr2bl w:val="nil"/>
                  </w:tcBorders>
                  <w:vAlign w:val="center"/>
                </w:tcPr>
                <w:p w14:paraId="3133A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减振</w:t>
                  </w:r>
                </w:p>
              </w:tc>
            </w:tr>
            <w:tr w14:paraId="511402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7" w:type="dxa"/>
                  <w:tcBorders>
                    <w:tl2br w:val="nil"/>
                    <w:tr2bl w:val="nil"/>
                  </w:tcBorders>
                  <w:shd w:val="clear" w:color="auto" w:fill="auto"/>
                  <w:vAlign w:val="center"/>
                </w:tcPr>
                <w:p w14:paraId="5B629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动物吠叫</w:t>
                  </w:r>
                </w:p>
              </w:tc>
              <w:tc>
                <w:tcPr>
                  <w:tcW w:w="840" w:type="dxa"/>
                  <w:tcBorders>
                    <w:tl2br w:val="nil"/>
                    <w:tr2bl w:val="nil"/>
                  </w:tcBorders>
                  <w:vAlign w:val="center"/>
                </w:tcPr>
                <w:p w14:paraId="21B909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395" w:type="dxa"/>
                  <w:tcBorders>
                    <w:tl2br w:val="nil"/>
                    <w:tr2bl w:val="nil"/>
                  </w:tcBorders>
                  <w:vAlign w:val="center"/>
                </w:tcPr>
                <w:p w14:paraId="463BE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室内</w:t>
                  </w:r>
                </w:p>
              </w:tc>
              <w:tc>
                <w:tcPr>
                  <w:tcW w:w="1245" w:type="dxa"/>
                  <w:tcBorders>
                    <w:tl2br w:val="nil"/>
                    <w:tr2bl w:val="nil"/>
                  </w:tcBorders>
                  <w:vAlign w:val="center"/>
                </w:tcPr>
                <w:p w14:paraId="264BF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10min</w:t>
                  </w:r>
                </w:p>
              </w:tc>
              <w:tc>
                <w:tcPr>
                  <w:tcW w:w="1230" w:type="dxa"/>
                  <w:tcBorders>
                    <w:tl2br w:val="nil"/>
                    <w:tr2bl w:val="nil"/>
                  </w:tcBorders>
                  <w:vAlign w:val="center"/>
                </w:tcPr>
                <w:p w14:paraId="6F1B4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75</w:t>
                  </w:r>
                </w:p>
              </w:tc>
              <w:tc>
                <w:tcPr>
                  <w:tcW w:w="1696" w:type="dxa"/>
                  <w:tcBorders>
                    <w:tl2br w:val="nil"/>
                    <w:tr2bl w:val="nil"/>
                  </w:tcBorders>
                  <w:vAlign w:val="center"/>
                </w:tcPr>
                <w:p w14:paraId="40958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加强约束、管理</w:t>
                  </w:r>
                </w:p>
              </w:tc>
            </w:tr>
          </w:tbl>
          <w:p w14:paraId="0C6F5A9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（2）治理措施</w:t>
            </w:r>
          </w:p>
          <w:p w14:paraId="690175A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项目无寄养服务，夜间不接诊。项目设有住院服务，故有夜间运行。</w:t>
            </w:r>
          </w:p>
          <w:p w14:paraId="4F8AA86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污水处理设备配套水泵位于室内，噪声源强为70dB(A)。项目使用的医疗设备全部位于诊室、手术室等房间内，噪声级约为50~55dB(A)。排风机位于室内吊顶内安装，运行时噪声级约为60dB(A)。就诊动物的叫声约75dB(A)，为间断性噪声。空调外机安装在北侧外墙处，仅在夏季3个月昼间运行，声源源强50~55dB(A)。</w:t>
            </w:r>
          </w:p>
          <w:p w14:paraId="61A7537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针对污水处理设备等产噪设备，采取安装减振垫、减振基础等措施。减振对噪声降噪可以达到10~15dB(A)。除空调外机，项目主要设备均安装在室内，建筑墙体、天花板、隔断等能够起到有效的隔声作用。对于需要复杂处置或进行手术的动物个体，一般较为虚弱，该类动物由于身体原因不会吠叫，或叫声十分微弱。对于简单诊疗处置的就诊动物，其在医院内停留时间较短，如遇发生吠叫的，由主人或医护及时制止。院方可预备一些宠物零食、玩具，在动物吠叫时转移其注意力。</w:t>
            </w:r>
          </w:p>
          <w:p w14:paraId="06502E1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采取上述措施，并经建筑物隔声（建筑物墙体、隔断，以及门窗的综合隔声量约35dB(A)），室外基本无动物吠叫噪声传播。</w:t>
            </w:r>
          </w:p>
          <w:p w14:paraId="1E0B0BC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（3）达标分析</w:t>
            </w:r>
          </w:p>
          <w:p w14:paraId="00934B3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本项目噪声源主要位于室内，根据《环境影响评价技术导则 声环境》（HJ2.4-2021），噪声预测模式如下：</w:t>
            </w:r>
          </w:p>
          <w:p w14:paraId="39E0DA4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①室内声源等效室外声源声功率级计算方法</w:t>
            </w:r>
          </w:p>
          <w:p w14:paraId="0DFEDB1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default"/>
                <w:lang w:val="en-US" w:eastAsia="zh-CN"/>
              </w:rPr>
              <w:t>声源位于室内，室内声源可采用等效室外声源声功率级法进行计算。设靠近开口处（或窗户）室内、室外某倍频带的声压级或A声级分别为</w:t>
            </w:r>
            <w:r>
              <w:rPr>
                <w:rFonts w:hint="eastAsia"/>
                <w:lang w:val="en-US" w:eastAsia="zh-CN"/>
              </w:rPr>
              <w:t>L</w:t>
            </w:r>
            <w:r>
              <w:rPr>
                <w:rFonts w:hint="eastAsia"/>
                <w:vertAlign w:val="subscript"/>
                <w:lang w:val="en-US" w:eastAsia="zh-CN"/>
              </w:rPr>
              <w:t>p1</w:t>
            </w:r>
            <w:r>
              <w:rPr>
                <w:rFonts w:hint="eastAsia"/>
                <w:lang w:val="en-US" w:eastAsia="zh-CN"/>
              </w:rPr>
              <w:t>和L</w:t>
            </w:r>
            <w:r>
              <w:rPr>
                <w:rFonts w:hint="eastAsia"/>
                <w:vertAlign w:val="subscript"/>
                <w:lang w:val="en-US" w:eastAsia="zh-CN"/>
              </w:rPr>
              <w:t>p2</w:t>
            </w:r>
            <w:r>
              <w:rPr>
                <w:rFonts w:hint="eastAsia"/>
                <w:vertAlign w:val="baseline"/>
                <w:lang w:val="en-US" w:eastAsia="zh-CN"/>
              </w:rPr>
              <w:t>。若声源所在室内声场为近似扩散声场，则室外的倍频带声压级可按以下公式近似求出：</w:t>
            </w:r>
          </w:p>
          <w:p w14:paraId="638EA546">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p2</m:t>
                    </m:r>
                    <m:ctrlPr>
                      <w:rPr>
                        <w:rFonts w:ascii="Cambria Math" w:hAnsi="Cambria Math"/>
                        <w:i/>
                        <w:vertAlign w:val="baseline"/>
                        <w:lang w:val="en-US"/>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p1</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m:t>
                </m:r>
                <m:d>
                  <m:dPr>
                    <m:ctrlPr>
                      <w:rPr>
                        <w:rFonts w:hint="default" w:ascii="Cambria Math" w:hAnsi="Cambria Math"/>
                        <w:i/>
                        <w:vertAlign w:val="baseline"/>
                        <w:lang w:val="en-US" w:eastAsia="zh-CN"/>
                      </w:rPr>
                    </m:ctrlPr>
                  </m:dPr>
                  <m:e>
                    <m:r>
                      <m:rPr/>
                      <w:rPr>
                        <w:rFonts w:hint="default" w:ascii="Cambria Math" w:hAnsi="Cambria Math"/>
                        <w:vertAlign w:val="baseline"/>
                        <w:lang w:val="en-US" w:eastAsia="zh-CN"/>
                      </w:rPr>
                      <m:t>TL+6</m:t>
                    </m:r>
                    <m:ctrlPr>
                      <w:rPr>
                        <w:rFonts w:hint="default" w:ascii="Cambria Math" w:hAnsi="Cambria Math"/>
                        <w:i/>
                        <w:vertAlign w:val="baseline"/>
                        <w:lang w:val="en-US" w:eastAsia="zh-CN"/>
                      </w:rPr>
                    </m:ctrlPr>
                  </m:e>
                </m:d>
              </m:oMath>
            </m:oMathPara>
          </w:p>
          <w:p w14:paraId="2BF4F6A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04EAB6FC">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lang w:val="en-US" w:eastAsia="zh-CN"/>
              </w:rPr>
              <w:t>L</w:t>
            </w:r>
            <w:r>
              <w:rPr>
                <w:rFonts w:hint="eastAsia"/>
                <w:vertAlign w:val="subscript"/>
                <w:lang w:val="en-US" w:eastAsia="zh-CN"/>
              </w:rPr>
              <w:t>p1</w:t>
            </w:r>
            <w:r>
              <w:rPr>
                <w:rFonts w:hint="eastAsia"/>
                <w:vertAlign w:val="baseline"/>
                <w:lang w:val="en-US" w:eastAsia="zh-CN"/>
              </w:rPr>
              <w:t>—靠近开口处（或窗户）室内某倍频带的声压级或A声级，dB；</w:t>
            </w:r>
          </w:p>
          <w:p w14:paraId="1C99429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lang w:val="en-US" w:eastAsia="zh-CN"/>
              </w:rPr>
              <w:t>L</w:t>
            </w:r>
            <w:r>
              <w:rPr>
                <w:rFonts w:hint="eastAsia"/>
                <w:vertAlign w:val="subscript"/>
                <w:lang w:val="en-US" w:eastAsia="zh-CN"/>
              </w:rPr>
              <w:t>p2</w:t>
            </w:r>
            <w:r>
              <w:rPr>
                <w:rFonts w:hint="eastAsia"/>
                <w:vertAlign w:val="baseline"/>
                <w:lang w:val="en-US" w:eastAsia="zh-CN"/>
              </w:rPr>
              <w:t>—靠近开口处（或窗户）室外某倍频带的声压级或A声级，dB；</w:t>
            </w:r>
          </w:p>
          <w:p w14:paraId="241EC92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TL—隔墙（或窗户）倍频带或A声级的隔声量，dB。</w:t>
            </w:r>
          </w:p>
          <w:p w14:paraId="50C2387A">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②某一室内声源靠近围护结构处产生的倍频带声压级或A声级</w:t>
            </w:r>
          </w:p>
          <w:p w14:paraId="2B969E50">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p1</m:t>
                    </m:r>
                    <m:ctrlPr>
                      <w:rPr>
                        <w:rFonts w:ascii="Cambria Math" w:hAnsi="Cambria Math"/>
                        <w:i/>
                        <w:vertAlign w:val="baseline"/>
                        <w:lang w:val="en-US"/>
                      </w:rPr>
                    </m:ctrlPr>
                  </m:sub>
                </m:sSub>
                <m:r>
                  <m:rPr/>
                  <w:rPr>
                    <w:rFonts w:hint="default" w:ascii="Cambria Math" w:hAnsi="Cambria Math"/>
                    <w:vertAlign w:val="baseline"/>
                    <w:lang w:val="en-US" w:eastAsia="zh-CN"/>
                  </w:rPr>
                  <m:t>=</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w</m:t>
                    </m:r>
                    <m:ctrlPr>
                      <w:rPr>
                        <w:rFonts w:hint="default" w:ascii="Cambria Math" w:hAnsi="Cambria Math"/>
                        <w:i/>
                        <w:vertAlign w:val="baseline"/>
                        <w:lang w:val="en-US" w:eastAsia="zh-CN"/>
                      </w:rPr>
                    </m:ctrlPr>
                  </m:sub>
                </m:sSub>
                <m:r>
                  <m:rPr/>
                  <w:rPr>
                    <w:rFonts w:hint="default" w:ascii="Cambria Math" w:hAnsi="Cambria Math"/>
                    <w:vertAlign w:val="baseline"/>
                    <w:lang w:val="en-US" w:eastAsia="zh-CN"/>
                  </w:rPr>
                  <m:t>+10</m:t>
                </m:r>
                <m:func>
                  <m:funcPr>
                    <m:ctrlPr>
                      <w:rPr>
                        <w:rFonts w:hint="default" w:ascii="Cambria Math" w:hAnsi="Cambria Math"/>
                        <w:vertAlign w:val="baseline"/>
                        <w:lang w:val="en-US" w:eastAsia="zh-CN"/>
                      </w:rPr>
                    </m:ctrlPr>
                  </m:funcPr>
                  <m:fName>
                    <m:r>
                      <m:rPr>
                        <m:sty m:val="p"/>
                      </m:rPr>
                      <w:rPr>
                        <w:rFonts w:ascii="Cambria Math" w:hAnsi="Cambria Math"/>
                        <w:vertAlign w:val="baseline"/>
                        <w:lang w:val="en-US"/>
                      </w:rPr>
                      <m:t>lg</m:t>
                    </m:r>
                    <m:ctrlPr>
                      <w:rPr>
                        <w:rFonts w:hint="default" w:ascii="Cambria Math" w:hAnsi="Cambria Math"/>
                        <w:i/>
                        <w:vertAlign w:val="baseline"/>
                        <w:lang w:val="en-US" w:eastAsia="zh-CN"/>
                      </w:rPr>
                    </m:ctrlPr>
                  </m:fName>
                  <m:e>
                    <m:d>
                      <m:dPr>
                        <m:ctrlPr>
                          <w:rPr>
                            <w:rFonts w:hint="default" w:ascii="Cambria Math" w:hAnsi="Cambria Math"/>
                            <w:i/>
                            <w:vertAlign w:val="baseline"/>
                            <w:lang w:val="en-US" w:eastAsia="zh-CN"/>
                          </w:rPr>
                        </m:ctrlPr>
                      </m:dPr>
                      <m:e>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Q</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4</m:t>
                            </m:r>
                            <m:r>
                              <m:rPr/>
                              <w:rPr>
                                <w:rFonts w:ascii="Cambria Math" w:hAnsi="Cambria Math"/>
                                <w:vertAlign w:val="baseline"/>
                                <w:lang w:val="en-US"/>
                              </w:rPr>
                              <m:t>π</m:t>
                            </m:r>
                            <m:sSup>
                              <m:sSupPr>
                                <m:ctrlPr>
                                  <w:rPr>
                                    <w:rFonts w:ascii="Cambria Math" w:hAnsi="Cambria Math"/>
                                    <w:i/>
                                    <w:vertAlign w:val="baseline"/>
                                    <w:lang w:val="en-US"/>
                                  </w:rPr>
                                </m:ctrlPr>
                              </m:sSupPr>
                              <m:e>
                                <m:r>
                                  <m:rPr/>
                                  <w:rPr>
                                    <w:rFonts w:hint="default" w:ascii="Cambria Math" w:hAnsi="Cambria Math"/>
                                    <w:vertAlign w:val="baseline"/>
                                    <w:lang w:val="en-US" w:eastAsia="zh-CN"/>
                                  </w:rPr>
                                  <m:t>r</m:t>
                                </m:r>
                                <m:ctrlPr>
                                  <w:rPr>
                                    <w:rFonts w:ascii="Cambria Math" w:hAnsi="Cambria Math"/>
                                    <w:i/>
                                    <w:vertAlign w:val="baseline"/>
                                    <w:lang w:val="en-US"/>
                                  </w:rPr>
                                </m:ctrlPr>
                              </m:e>
                              <m:sup>
                                <m:r>
                                  <m:rPr/>
                                  <w:rPr>
                                    <w:rFonts w:hint="default" w:ascii="Cambria Math" w:hAnsi="Cambria Math"/>
                                    <w:vertAlign w:val="baseline"/>
                                    <w:lang w:val="en-US" w:eastAsia="zh-CN"/>
                                  </w:rPr>
                                  <m:t>2</m:t>
                                </m:r>
                                <m:ctrlPr>
                                  <w:rPr>
                                    <w:rFonts w:ascii="Cambria Math" w:hAnsi="Cambria Math"/>
                                    <w:i/>
                                    <w:vertAlign w:val="baseline"/>
                                    <w:lang w:val="en-US"/>
                                  </w:rPr>
                                </m:ctrlPr>
                              </m:sup>
                            </m:sSup>
                            <m:ctrlPr>
                              <w:rPr>
                                <w:rFonts w:hint="default" w:ascii="Cambria Math" w:hAnsi="Cambria Math"/>
                                <w:i/>
                                <w:vertAlign w:val="baseline"/>
                                <w:lang w:val="en-US" w:eastAsia="zh-CN"/>
                              </w:rPr>
                            </m:ctrlPr>
                          </m:den>
                        </m:f>
                        <m:r>
                          <m:rPr/>
                          <w:rPr>
                            <w:rFonts w:hint="default" w:ascii="Cambria Math" w:hAnsi="Cambria Math"/>
                            <w:vertAlign w:val="baseline"/>
                            <w:lang w:val="en-US" w:eastAsia="zh-CN"/>
                          </w:rPr>
                          <m:t>+</m:t>
                        </m:r>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4</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R</m:t>
                            </m:r>
                            <m:ctrlPr>
                              <w:rPr>
                                <w:rFonts w:hint="default" w:ascii="Cambria Math" w:hAnsi="Cambria Math"/>
                                <w:i/>
                                <w:vertAlign w:val="baseline"/>
                                <w:lang w:val="en-US" w:eastAsia="zh-CN"/>
                              </w:rPr>
                            </m:ctrlPr>
                          </m:den>
                        </m:f>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func>
              </m:oMath>
            </m:oMathPara>
          </w:p>
          <w:p w14:paraId="60E81931">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式中：</w:t>
            </w:r>
          </w:p>
          <w:p w14:paraId="64A381D9">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lang w:val="en-US" w:eastAsia="zh-CN"/>
              </w:rPr>
              <w:t>L</w:t>
            </w:r>
            <w:r>
              <w:rPr>
                <w:rFonts w:hint="eastAsia"/>
                <w:vertAlign w:val="subscript"/>
                <w:lang w:val="en-US" w:eastAsia="zh-CN"/>
              </w:rPr>
              <w:t>p1</w:t>
            </w:r>
            <w:r>
              <w:rPr>
                <w:rFonts w:hint="eastAsia"/>
                <w:vertAlign w:val="baseline"/>
                <w:lang w:val="en-US" w:eastAsia="zh-CN"/>
              </w:rPr>
              <w:t>—靠近开口处（或窗户）室内某倍频带的声压级或A声级，dB；</w:t>
            </w:r>
          </w:p>
          <w:p w14:paraId="162C789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L</w:t>
            </w:r>
            <w:r>
              <w:rPr>
                <w:rFonts w:hint="default" w:ascii="Times New Roman" w:hAnsi="Times New Roman" w:eastAsia="清雅楷书" w:cs="Times New Roman"/>
                <w:vertAlign w:val="subscript"/>
                <w:lang w:val="en-US" w:eastAsia="zh-CN"/>
              </w:rPr>
              <w:t>w</w:t>
            </w:r>
            <w:r>
              <w:rPr>
                <w:rFonts w:hint="eastAsia"/>
                <w:vertAlign w:val="baseline"/>
                <w:lang w:val="en-US" w:eastAsia="zh-CN"/>
              </w:rPr>
              <w:t>—靠近开口处（或窗户）室内某倍频带的声压级或A声级，dB；</w:t>
            </w:r>
          </w:p>
          <w:p w14:paraId="0505934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Q—指向性因数，通常对无指向性声源，当声源放在房间中心时，Q=1；当放在一面墙的中心时，Q=2；当放在两面墙夹角处时，Q=4；当放在三面墙夹角处时，Q=8；</w:t>
            </w:r>
          </w:p>
          <w:p w14:paraId="017FC37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R—房间常数，R=Sa/（1-a），S为房间内表面面积，m</w:t>
            </w:r>
            <w:r>
              <w:rPr>
                <w:rFonts w:hint="eastAsia"/>
                <w:vertAlign w:val="superscript"/>
                <w:lang w:val="en-US" w:eastAsia="zh-CN"/>
              </w:rPr>
              <w:t>2</w:t>
            </w:r>
            <w:r>
              <w:rPr>
                <w:rFonts w:hint="eastAsia"/>
                <w:lang w:val="en-US" w:eastAsia="zh-CN"/>
              </w:rPr>
              <w:t>；a为平均吸声系数；</w:t>
            </w:r>
          </w:p>
          <w:p w14:paraId="5671431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r—声源到靠近围护结构某点处的距离，m。</w:t>
            </w:r>
          </w:p>
          <w:p w14:paraId="2FFCEFA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③户外声传播衰减公式</w:t>
            </w:r>
          </w:p>
          <w:p w14:paraId="376352EC">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m:oMathPara>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w:rPr>
                        <w:rFonts w:hint="default" w:ascii="Cambria Math" w:hAnsi="Cambria Math"/>
                        <w:lang w:val="en-US" w:eastAsia="zh-CN"/>
                      </w:rPr>
                      <m:t>p</m:t>
                    </m:r>
                    <m:ctrlPr>
                      <w:rPr>
                        <w:rFonts w:ascii="Cambria Math" w:hAnsi="Cambria Math"/>
                        <w:i/>
                        <w:lang w:val="en-US"/>
                      </w:rPr>
                    </m:ctrlPr>
                  </m:sub>
                </m:sSub>
                <m:d>
                  <m:dPr>
                    <m:ctrlPr>
                      <w:rPr>
                        <w:rFonts w:ascii="Cambria Math" w:hAnsi="Cambria Math"/>
                        <w:i/>
                        <w:lang w:val="en-US"/>
                      </w:rPr>
                    </m:ctrlPr>
                  </m:dPr>
                  <m:e>
                    <m:r>
                      <m:rPr/>
                      <w:rPr>
                        <w:rFonts w:hint="default" w:ascii="Cambria Math" w:hAnsi="Cambria Math"/>
                        <w:lang w:val="en-US" w:eastAsia="zh-CN"/>
                      </w:rPr>
                      <m:t>r</m:t>
                    </m:r>
                    <m:ctrlPr>
                      <w:rPr>
                        <w:rFonts w:ascii="Cambria Math" w:hAnsi="Cambria Math"/>
                        <w:i/>
                        <w:lang w:val="en-US"/>
                      </w:rPr>
                    </m:ctrlPr>
                  </m:e>
                </m:d>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L</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d>
                  <m:dPr>
                    <m:ctrlPr>
                      <w:rPr>
                        <w:rFonts w:hint="default" w:ascii="Cambria Math" w:hAnsi="Cambria Math"/>
                        <w:i/>
                        <w:lang w:val="en-US" w:eastAsia="zh-CN"/>
                      </w:rPr>
                    </m:ctrlPr>
                  </m:dPr>
                  <m:e>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e>
                </m:d>
                <m:r>
                  <m:rPr/>
                  <w:rPr>
                    <w:rFonts w:hint="default" w:ascii="Cambria Math" w:hAnsi="Cambria Math"/>
                    <w:lang w:val="en-US" w:eastAsia="zh-CN"/>
                  </w:rPr>
                  <m:t>−20</m:t>
                </m:r>
                <m:func>
                  <m:funcPr>
                    <m:ctrlPr>
                      <w:rPr>
                        <w:rFonts w:hint="default" w:ascii="Cambria Math" w:hAnsi="Cambria Math"/>
                        <w:lang w:val="en-US" w:eastAsia="zh-CN"/>
                      </w:rPr>
                    </m:ctrlPr>
                  </m:funcPr>
                  <m:fName>
                    <m:r>
                      <m:rPr>
                        <m:sty m:val="p"/>
                      </m:rPr>
                      <w:rPr>
                        <w:rFonts w:ascii="Cambria Math" w:hAnsi="Cambria Math"/>
                        <w:lang w:val="en-US"/>
                      </w:rPr>
                      <m:t>lg</m:t>
                    </m:r>
                    <m:ctrlPr>
                      <w:rPr>
                        <w:rFonts w:hint="default" w:ascii="Cambria Math" w:hAnsi="Cambria Math"/>
                        <w:i/>
                        <w:lang w:val="en-US" w:eastAsia="zh-CN"/>
                      </w:rPr>
                    </m:ctrlPr>
                  </m:fName>
                  <m:e>
                    <m:d>
                      <m:dPr>
                        <m:ctrlPr>
                          <w:rPr>
                            <w:rFonts w:hint="default" w:ascii="Cambria Math" w:hAnsi="Cambria Math"/>
                            <w:i/>
                            <w:lang w:val="en-US" w:eastAsia="zh-CN"/>
                          </w:rPr>
                        </m:ctrlPr>
                      </m:dPr>
                      <m:e>
                        <m:f>
                          <m:fPr>
                            <m:type m:val="skw"/>
                            <m:ctrlPr>
                              <w:rPr>
                                <w:rFonts w:hint="default" w:ascii="Cambria Math" w:hAnsi="Cambria Math"/>
                                <w:i/>
                                <w:lang w:val="en-US" w:eastAsia="zh-CN"/>
                              </w:rPr>
                            </m:ctrlPr>
                          </m:fPr>
                          <m:num>
                            <m:r>
                              <m:rPr/>
                              <w:rPr>
                                <w:rFonts w:hint="default" w:ascii="Cambria Math" w:hAnsi="Cambria Math"/>
                                <w:lang w:val="en-US" w:eastAsia="zh-CN"/>
                              </w:rPr>
                              <m:t>r</m:t>
                            </m:r>
                            <m:ctrlPr>
                              <w:rPr>
                                <w:rFonts w:hint="default" w:ascii="Cambria Math" w:hAnsi="Cambria Math"/>
                                <w:i/>
                                <w:lang w:val="en-US" w:eastAsia="zh-CN"/>
                              </w:rPr>
                            </m:ctrlPr>
                          </m:num>
                          <m:den>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den>
                        </m:f>
                        <m:ctrlPr>
                          <w:rPr>
                            <w:rFonts w:hint="default" w:ascii="Cambria Math" w:hAnsi="Cambria Math"/>
                            <w:i/>
                            <w:lang w:val="en-US" w:eastAsia="zh-CN"/>
                          </w:rPr>
                        </m:ctrlPr>
                      </m:e>
                    </m:d>
                    <m:ctrlPr>
                      <w:rPr>
                        <w:rFonts w:hint="default" w:ascii="Cambria Math" w:hAnsi="Cambria Math"/>
                        <w:i/>
                        <w:lang w:val="en-US" w:eastAsia="zh-CN"/>
                      </w:rPr>
                    </m:ctrlPr>
                  </m:e>
                </m:func>
              </m:oMath>
            </m:oMathPara>
          </w:p>
          <w:p w14:paraId="4404A07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25C7DF9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val="en-US" w:eastAsia="zh-CN"/>
              </w:rPr>
            </w:pPr>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w:rPr>
                      <w:rFonts w:hint="default" w:ascii="Cambria Math" w:hAnsi="Cambria Math"/>
                      <w:lang w:val="en-US" w:eastAsia="zh-CN"/>
                    </w:rPr>
                    <m:t>p</m:t>
                  </m:r>
                  <m:ctrlPr>
                    <w:rPr>
                      <w:rFonts w:ascii="Cambria Math" w:hAnsi="Cambria Math"/>
                      <w:i/>
                      <w:lang w:val="en-US"/>
                    </w:rPr>
                  </m:ctrlPr>
                </m:sub>
              </m:sSub>
              <m:d>
                <m:dPr>
                  <m:ctrlPr>
                    <w:rPr>
                      <w:rFonts w:ascii="Cambria Math" w:hAnsi="Cambria Math"/>
                      <w:i/>
                      <w:lang w:val="en-US"/>
                    </w:rPr>
                  </m:ctrlPr>
                </m:dPr>
                <m:e>
                  <m:r>
                    <m:rPr/>
                    <w:rPr>
                      <w:rFonts w:hint="default" w:ascii="Cambria Math" w:hAnsi="Cambria Math"/>
                      <w:lang w:val="en-US" w:eastAsia="zh-CN"/>
                    </w:rPr>
                    <m:t>r</m:t>
                  </m:r>
                  <m:ctrlPr>
                    <w:rPr>
                      <w:rFonts w:ascii="Cambria Math" w:hAnsi="Cambria Math"/>
                      <w:i/>
                      <w:lang w:val="en-US"/>
                    </w:rPr>
                  </m:ctrlPr>
                </m:e>
              </m:d>
            </m:oMath>
            <w:r>
              <w:rPr>
                <w:rFonts w:hint="eastAsia" w:hAnsi="Cambria Math"/>
                <w:i w:val="0"/>
                <w:lang w:val="en-US" w:eastAsia="zh-CN"/>
              </w:rPr>
              <w:t>—预测点处声压级，</w:t>
            </w:r>
            <w:r>
              <w:rPr>
                <w:rFonts w:hint="eastAsia"/>
                <w:vertAlign w:val="baseline"/>
                <w:lang w:val="en-US" w:eastAsia="zh-CN"/>
              </w:rPr>
              <w:t>dB；</w:t>
            </w:r>
          </w:p>
          <w:p w14:paraId="593C80C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m:oMath>
              <m:sSub>
                <m:sSubPr>
                  <m:ctrlPr>
                    <w:rPr>
                      <w:rFonts w:hint="default" w:ascii="Cambria Math" w:hAnsi="Cambria Math"/>
                      <w:i/>
                      <w:lang w:val="en-US" w:eastAsia="zh-CN"/>
                    </w:rPr>
                  </m:ctrlPr>
                </m:sSubPr>
                <m:e>
                  <m:r>
                    <m:rPr/>
                    <w:rPr>
                      <w:rFonts w:hint="default" w:ascii="Cambria Math" w:hAnsi="Cambria Math"/>
                      <w:lang w:val="en-US" w:eastAsia="zh-CN"/>
                    </w:rPr>
                    <m:t>L</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d>
                <m:dPr>
                  <m:ctrlPr>
                    <w:rPr>
                      <w:rFonts w:hint="default" w:ascii="Cambria Math" w:hAnsi="Cambria Math"/>
                      <w:i/>
                      <w:lang w:val="en-US" w:eastAsia="zh-CN"/>
                    </w:rPr>
                  </m:ctrlPr>
                </m:dPr>
                <m:e>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0</m:t>
                      </m:r>
                      <m:ctrlPr>
                        <w:rPr>
                          <w:rFonts w:hint="default" w:ascii="Cambria Math" w:hAnsi="Cambria Math"/>
                          <w:i/>
                          <w:lang w:val="en-US" w:eastAsia="zh-CN"/>
                        </w:rPr>
                      </m:ctrlPr>
                    </m:sub>
                  </m:sSub>
                  <m:ctrlPr>
                    <w:rPr>
                      <w:rFonts w:hint="default" w:ascii="Cambria Math" w:hAnsi="Cambria Math"/>
                      <w:i/>
                      <w:lang w:val="en-US" w:eastAsia="zh-CN"/>
                    </w:rPr>
                  </m:ctrlPr>
                </m:e>
              </m:d>
            </m:oMath>
            <w:r>
              <w:rPr>
                <w:rFonts w:hint="eastAsia" w:hAnsi="Cambria Math"/>
                <w:i w:val="0"/>
                <w:lang w:val="en-US" w:eastAsia="zh-CN"/>
              </w:rPr>
              <w:t>—参考位置𝑟</w:t>
            </w:r>
            <w:r>
              <w:rPr>
                <w:rFonts w:hint="eastAsia" w:hAnsi="Cambria Math"/>
                <w:i w:val="0"/>
                <w:vertAlign w:val="subscript"/>
                <w:lang w:val="en-US" w:eastAsia="zh-CN"/>
              </w:rPr>
              <w:t>0</w:t>
            </w:r>
            <w:r>
              <w:rPr>
                <w:rFonts w:hint="eastAsia" w:hAnsi="Cambria Math"/>
                <w:i w:val="0"/>
                <w:lang w:val="en-US" w:eastAsia="zh-CN"/>
              </w:rPr>
              <w:t>处的声压级，</w:t>
            </w:r>
            <w:r>
              <w:rPr>
                <w:rFonts w:hint="eastAsia"/>
                <w:vertAlign w:val="baseline"/>
                <w:lang w:val="en-US" w:eastAsia="zh-CN"/>
              </w:rPr>
              <w:t>dB；</w:t>
            </w:r>
          </w:p>
          <w:p w14:paraId="4556D622">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r—预测点距离声源的距离，m；</w:t>
            </w:r>
          </w:p>
          <w:p w14:paraId="0EFB7F6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r</w:t>
            </w:r>
            <w:r>
              <w:rPr>
                <w:rFonts w:hint="eastAsia"/>
                <w:vertAlign w:val="subscript"/>
                <w:lang w:val="en-US" w:eastAsia="zh-CN"/>
              </w:rPr>
              <w:t>0</w:t>
            </w:r>
            <w:r>
              <w:rPr>
                <w:rFonts w:hint="eastAsia"/>
                <w:vertAlign w:val="baseline"/>
                <w:lang w:val="en-US" w:eastAsia="zh-CN"/>
              </w:rPr>
              <w:t>—参考位置距离声源的距离，1m。</w:t>
            </w:r>
          </w:p>
          <w:p w14:paraId="51DF9692">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④噪声源对预测点产生的贡献值公式</w:t>
            </w:r>
          </w:p>
          <w:p w14:paraId="5E73581C">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vertAlign w:val="baseline"/>
                <w:lang w:val="en-US" w:eastAsia="zh-CN"/>
              </w:rPr>
            </w:pPr>
            <m:oMathPara>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eqg</m:t>
                    </m:r>
                    <m:ctrlPr>
                      <w:rPr>
                        <w:rFonts w:ascii="Cambria Math" w:hAnsi="Cambria Math"/>
                        <w:i/>
                        <w:vertAlign w:val="baseline"/>
                        <w:lang w:val="en-US"/>
                      </w:rPr>
                    </m:ctrlPr>
                  </m:sub>
                </m:sSub>
                <m:r>
                  <m:rPr/>
                  <w:rPr>
                    <w:rFonts w:hint="default" w:ascii="Cambria Math" w:hAnsi="Cambria Math"/>
                    <w:vertAlign w:val="baseline"/>
                    <w:lang w:val="en-US" w:eastAsia="zh-CN"/>
                  </w:rPr>
                  <m:t>=10</m:t>
                </m:r>
                <m:func>
                  <m:funcPr>
                    <m:ctrlPr>
                      <w:rPr>
                        <w:rFonts w:hint="default" w:ascii="Cambria Math" w:hAnsi="Cambria Math"/>
                        <w:vertAlign w:val="baseline"/>
                        <w:lang w:val="en-US" w:eastAsia="zh-CN"/>
                      </w:rPr>
                    </m:ctrlPr>
                  </m:funcPr>
                  <m:fName>
                    <m:r>
                      <m:rPr>
                        <m:sty m:val="p"/>
                      </m:rPr>
                      <w:rPr>
                        <w:rFonts w:ascii="Cambria Math" w:hAnsi="Cambria Math"/>
                        <w:vertAlign w:val="baseline"/>
                        <w:lang w:val="en-US"/>
                      </w:rPr>
                      <m:t>lg</m:t>
                    </m:r>
                    <m:ctrlPr>
                      <w:rPr>
                        <w:rFonts w:hint="default" w:ascii="Cambria Math" w:hAnsi="Cambria Math"/>
                        <w:i/>
                        <w:vertAlign w:val="baseline"/>
                        <w:lang w:val="en-US" w:eastAsia="zh-CN"/>
                      </w:rPr>
                    </m:ctrlPr>
                  </m:fName>
                  <m:e>
                    <m:d>
                      <m:dPr>
                        <m:begChr m:val="["/>
                        <m:endChr m:val="]"/>
                        <m:ctrlPr>
                          <w:rPr>
                            <w:rFonts w:hint="default" w:ascii="Cambria Math" w:hAnsi="Cambria Math"/>
                            <w:i/>
                            <w:vertAlign w:val="baseline"/>
                            <w:lang w:val="en-US" w:eastAsia="zh-CN"/>
                          </w:rPr>
                        </m:ctrlPr>
                      </m:dPr>
                      <m:e>
                        <m:f>
                          <m:fPr>
                            <m:ctrlPr>
                              <w:rPr>
                                <w:rFonts w:hint="default" w:ascii="Cambria Math" w:hAnsi="Cambria Math"/>
                                <w:i/>
                                <w:vertAlign w:val="baseline"/>
                                <w:lang w:val="en-US" w:eastAsia="zh-CN"/>
                              </w:rPr>
                            </m:ctrlPr>
                          </m:fPr>
                          <m:num>
                            <m:r>
                              <m:rPr/>
                              <w:rPr>
                                <w:rFonts w:hint="default" w:ascii="Cambria Math" w:hAnsi="Cambria Math"/>
                                <w:vertAlign w:val="baseline"/>
                                <w:lang w:val="en-US" w:eastAsia="zh-CN"/>
                              </w:rPr>
                              <m:t>1</m:t>
                            </m:r>
                            <m:ctrlPr>
                              <w:rPr>
                                <w:rFonts w:hint="default" w:ascii="Cambria Math" w:hAnsi="Cambria Math"/>
                                <w:i/>
                                <w:vertAlign w:val="baseline"/>
                                <w:lang w:val="en-US" w:eastAsia="zh-CN"/>
                              </w:rPr>
                            </m:ctrlPr>
                          </m:num>
                          <m:den>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den>
                        </m:f>
                        <m:d>
                          <m:dPr>
                            <m:ctrlPr>
                              <w:rPr>
                                <w:rFonts w:hint="default" w:ascii="Cambria Math" w:hAnsi="Cambria Math"/>
                                <w:i/>
                                <w:vertAlign w:val="baseline"/>
                                <w:lang w:val="en-US" w:eastAsia="zh-CN"/>
                              </w:rPr>
                            </m:ctrlPr>
                          </m:dPr>
                          <m:e>
                            <m:nary>
                              <m:naryPr>
                                <m:chr m:val="∑"/>
                                <m:limLoc m:val="undOvr"/>
                                <m:ctrlPr>
                                  <w:rPr>
                                    <w:rFonts w:hint="default" w:ascii="Cambria Math" w:hAnsi="Cambria Math"/>
                                    <w:i/>
                                    <w:vertAlign w:val="baseline"/>
                                    <w:lang w:val="en-US" w:eastAsia="zh-CN"/>
                                  </w:rPr>
                                </m:ctrlPr>
                              </m:naryPr>
                              <m:sub>
                                <m:r>
                                  <m:rPr/>
                                  <w:rPr>
                                    <w:rFonts w:hint="default" w:ascii="Cambria Math" w:hAnsi="Cambria Math"/>
                                    <w:vertAlign w:val="baseline"/>
                                    <w:lang w:val="en-US" w:eastAsia="zh-CN"/>
                                  </w:rPr>
                                  <m:t>i=1</m:t>
                                </m:r>
                                <m:ctrlPr>
                                  <w:rPr>
                                    <w:rFonts w:hint="default" w:ascii="Cambria Math" w:hAnsi="Cambria Math"/>
                                    <w:i/>
                                    <w:vertAlign w:val="baseline"/>
                                    <w:lang w:val="en-US" w:eastAsia="zh-CN"/>
                                  </w:rPr>
                                </m:ctrlPr>
                              </m:sub>
                              <m:sup>
                                <m:r>
                                  <m:rPr/>
                                  <w:rPr>
                                    <w:rFonts w:hint="default" w:ascii="Cambria Math" w:hAnsi="Cambria Math"/>
                                    <w:vertAlign w:val="baseline"/>
                                    <w:lang w:val="en-US" w:eastAsia="zh-CN"/>
                                  </w:rPr>
                                  <m:t>N</m:t>
                                </m:r>
                                <m:ctrlPr>
                                  <w:rPr>
                                    <w:rFonts w:hint="default" w:ascii="Cambria Math" w:hAnsi="Cambria Math"/>
                                    <w:i/>
                                    <w:vertAlign w:val="baseline"/>
                                    <w:lang w:val="en-US" w:eastAsia="zh-CN"/>
                                  </w:rPr>
                                </m:ctrlPr>
                              </m:sup>
                              <m:e>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i</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e>
                            </m:nary>
                            <m:sSup>
                              <m:sSupPr>
                                <m:ctrlPr>
                                  <w:rPr>
                                    <w:rFonts w:hint="default" w:ascii="Cambria Math" w:hAnsi="Cambria Math"/>
                                    <w:i/>
                                    <w:vertAlign w:val="baseline"/>
                                    <w:lang w:val="en-US" w:eastAsia="zh-CN"/>
                                  </w:rPr>
                                </m:ctrlPr>
                              </m:sSupPr>
                              <m:e>
                                <m:r>
                                  <m:rPr/>
                                  <w:rPr>
                                    <w:rFonts w:hint="default" w:ascii="Cambria Math" w:hAnsi="Cambria Math"/>
                                    <w:vertAlign w:val="baseline"/>
                                    <w:lang w:val="en-US" w:eastAsia="zh-CN"/>
                                  </w:rPr>
                                  <m:t>10</m:t>
                                </m:r>
                                <m:ctrlPr>
                                  <w:rPr>
                                    <w:rFonts w:hint="default" w:ascii="Cambria Math" w:hAnsi="Cambria Math"/>
                                    <w:i/>
                                    <w:vertAlign w:val="baseline"/>
                                    <w:lang w:val="en-US" w:eastAsia="zh-CN"/>
                                  </w:rPr>
                                </m:ctrlPr>
                              </m:e>
                              <m:sup>
                                <m:r>
                                  <m:rPr/>
                                  <w:rPr>
                                    <w:rFonts w:hint="default" w:ascii="Cambria Math" w:hAnsi="Cambria Math"/>
                                    <w:vertAlign w:val="baseline"/>
                                    <w:lang w:val="en-US" w:eastAsia="zh-CN"/>
                                  </w:rPr>
                                  <m:t>0.1</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Ai</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sup>
                            </m:sSup>
                            <m:r>
                              <m:rPr/>
                              <w:rPr>
                                <w:rFonts w:hint="default" w:ascii="Cambria Math" w:hAnsi="Cambria Math"/>
                                <w:vertAlign w:val="baseline"/>
                                <w:lang w:val="en-US" w:eastAsia="zh-CN"/>
                              </w:rPr>
                              <m:t>+</m:t>
                            </m:r>
                            <m:nary>
                              <m:naryPr>
                                <m:chr m:val="∑"/>
                                <m:limLoc m:val="undOvr"/>
                                <m:ctrlPr>
                                  <w:rPr>
                                    <w:rFonts w:hint="default" w:ascii="Cambria Math" w:hAnsi="Cambria Math"/>
                                    <w:i/>
                                    <w:vertAlign w:val="baseline"/>
                                    <w:lang w:val="en-US" w:eastAsia="zh-CN"/>
                                  </w:rPr>
                                </m:ctrlPr>
                              </m:naryPr>
                              <m:sub>
                                <m:r>
                                  <m:rPr/>
                                  <w:rPr>
                                    <w:rFonts w:hint="default" w:ascii="Cambria Math" w:hAnsi="Cambria Math"/>
                                    <w:vertAlign w:val="baseline"/>
                                    <w:lang w:val="en-US" w:eastAsia="zh-CN"/>
                                  </w:rPr>
                                  <m:t>j=1</m:t>
                                </m:r>
                                <m:ctrlPr>
                                  <w:rPr>
                                    <w:rFonts w:hint="default" w:ascii="Cambria Math" w:hAnsi="Cambria Math"/>
                                    <w:i/>
                                    <w:vertAlign w:val="baseline"/>
                                    <w:lang w:val="en-US" w:eastAsia="zh-CN"/>
                                  </w:rPr>
                                </m:ctrlPr>
                              </m:sub>
                              <m:sup>
                                <m:r>
                                  <m:rPr/>
                                  <w:rPr>
                                    <w:rFonts w:hint="default" w:ascii="Cambria Math" w:hAnsi="Cambria Math"/>
                                    <w:vertAlign w:val="baseline"/>
                                    <w:lang w:val="en-US" w:eastAsia="zh-CN"/>
                                  </w:rPr>
                                  <m:t>M</m:t>
                                </m:r>
                                <m:ctrlPr>
                                  <w:rPr>
                                    <w:rFonts w:hint="default" w:ascii="Cambria Math" w:hAnsi="Cambria Math"/>
                                    <w:i/>
                                    <w:vertAlign w:val="baseline"/>
                                    <w:lang w:val="en-US" w:eastAsia="zh-CN"/>
                                  </w:rPr>
                                </m:ctrlPr>
                              </m:sup>
                              <m:e>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t</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j</m:t>
                                    </m:r>
                                    <m:ctrlPr>
                                      <w:rPr>
                                        <w:rFonts w:hint="default" w:ascii="Cambria Math" w:hAnsi="Cambria Math"/>
                                        <w:i/>
                                        <w:vertAlign w:val="baseline"/>
                                        <w:lang w:val="en-US" w:eastAsia="zh-CN"/>
                                      </w:rPr>
                                    </m:ctrlPr>
                                  </m:sub>
                                </m:sSub>
                                <m:sSup>
                                  <m:sSupPr>
                                    <m:ctrlPr>
                                      <w:rPr>
                                        <w:rFonts w:hint="default" w:ascii="Cambria Math" w:hAnsi="Cambria Math"/>
                                        <w:i/>
                                        <w:vertAlign w:val="baseline"/>
                                        <w:lang w:val="en-US" w:eastAsia="zh-CN"/>
                                      </w:rPr>
                                    </m:ctrlPr>
                                  </m:sSupPr>
                                  <m:e>
                                    <m:r>
                                      <m:rPr/>
                                      <w:rPr>
                                        <w:rFonts w:hint="default" w:ascii="Cambria Math" w:hAnsi="Cambria Math"/>
                                        <w:vertAlign w:val="baseline"/>
                                        <w:lang w:val="en-US" w:eastAsia="zh-CN"/>
                                      </w:rPr>
                                      <m:t>10</m:t>
                                    </m:r>
                                    <m:ctrlPr>
                                      <w:rPr>
                                        <w:rFonts w:hint="default" w:ascii="Cambria Math" w:hAnsi="Cambria Math"/>
                                        <w:i/>
                                        <w:vertAlign w:val="baseline"/>
                                        <w:lang w:val="en-US" w:eastAsia="zh-CN"/>
                                      </w:rPr>
                                    </m:ctrlPr>
                                  </m:e>
                                  <m:sup>
                                    <m:r>
                                      <m:rPr/>
                                      <w:rPr>
                                        <w:rFonts w:hint="default" w:ascii="Cambria Math" w:hAnsi="Cambria Math"/>
                                        <w:vertAlign w:val="baseline"/>
                                        <w:lang w:val="en-US" w:eastAsia="zh-CN"/>
                                      </w:rPr>
                                      <m:t>0.1</m:t>
                                    </m:r>
                                    <m:sSub>
                                      <m:sSubPr>
                                        <m:ctrlPr>
                                          <w:rPr>
                                            <w:rFonts w:hint="default" w:ascii="Cambria Math" w:hAnsi="Cambria Math"/>
                                            <w:i/>
                                            <w:vertAlign w:val="baseline"/>
                                            <w:lang w:val="en-US" w:eastAsia="zh-CN"/>
                                          </w:rPr>
                                        </m:ctrlPr>
                                      </m:sSubPr>
                                      <m:e>
                                        <m:r>
                                          <m:rPr/>
                                          <w:rPr>
                                            <w:rFonts w:hint="default" w:ascii="Cambria Math" w:hAnsi="Cambria Math"/>
                                            <w:vertAlign w:val="baseline"/>
                                            <w:lang w:val="en-US" w:eastAsia="zh-CN"/>
                                          </w:rPr>
                                          <m:t>L</m:t>
                                        </m:r>
                                        <m:ctrlPr>
                                          <w:rPr>
                                            <w:rFonts w:hint="default" w:ascii="Cambria Math" w:hAnsi="Cambria Math"/>
                                            <w:i/>
                                            <w:vertAlign w:val="baseline"/>
                                            <w:lang w:val="en-US" w:eastAsia="zh-CN"/>
                                          </w:rPr>
                                        </m:ctrlPr>
                                      </m:e>
                                      <m:sub>
                                        <m:r>
                                          <m:rPr/>
                                          <w:rPr>
                                            <w:rFonts w:hint="default" w:ascii="Cambria Math" w:hAnsi="Cambria Math"/>
                                            <w:vertAlign w:val="baseline"/>
                                            <w:lang w:val="en-US" w:eastAsia="zh-CN"/>
                                          </w:rPr>
                                          <m:t>Aj</m:t>
                                        </m:r>
                                        <m:ctrlPr>
                                          <w:rPr>
                                            <w:rFonts w:hint="default" w:ascii="Cambria Math" w:hAnsi="Cambria Math"/>
                                            <w:i/>
                                            <w:vertAlign w:val="baseline"/>
                                            <w:lang w:val="en-US" w:eastAsia="zh-CN"/>
                                          </w:rPr>
                                        </m:ctrlPr>
                                      </m:sub>
                                    </m:sSub>
                                    <m:ctrlPr>
                                      <w:rPr>
                                        <w:rFonts w:hint="default" w:ascii="Cambria Math" w:hAnsi="Cambria Math"/>
                                        <w:i/>
                                        <w:vertAlign w:val="baseline"/>
                                        <w:lang w:val="en-US" w:eastAsia="zh-CN"/>
                                      </w:rPr>
                                    </m:ctrlPr>
                                  </m:sup>
                                </m:sSup>
                                <m:ctrlPr>
                                  <w:rPr>
                                    <w:rFonts w:hint="default" w:ascii="Cambria Math" w:hAnsi="Cambria Math"/>
                                    <w:i/>
                                    <w:vertAlign w:val="baseline"/>
                                    <w:lang w:val="en-US" w:eastAsia="zh-CN"/>
                                  </w:rPr>
                                </m:ctrlPr>
                              </m:e>
                            </m:nary>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d>
                    <m:ctrlPr>
                      <w:rPr>
                        <w:rFonts w:hint="default" w:ascii="Cambria Math" w:hAnsi="Cambria Math"/>
                        <w:i/>
                        <w:vertAlign w:val="baseline"/>
                        <w:lang w:val="en-US" w:eastAsia="zh-CN"/>
                      </w:rPr>
                    </m:ctrlPr>
                  </m:e>
                </m:func>
              </m:oMath>
            </m:oMathPara>
          </w:p>
          <w:p w14:paraId="34BCDA47">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式中：</w:t>
            </w:r>
          </w:p>
          <w:p w14:paraId="6F2E7E80">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m:oMath>
              <m:sSub>
                <m:sSubPr>
                  <m:ctrlPr>
                    <w:rPr>
                      <w:rFonts w:ascii="Cambria Math" w:hAnsi="Cambria Math"/>
                      <w:i/>
                      <w:vertAlign w:val="baseline"/>
                      <w:lang w:val="en-US"/>
                    </w:rPr>
                  </m:ctrlPr>
                </m:sSubPr>
                <m:e>
                  <m:r>
                    <m:rPr/>
                    <w:rPr>
                      <w:rFonts w:hint="default" w:ascii="Cambria Math" w:hAnsi="Cambria Math"/>
                      <w:vertAlign w:val="baseline"/>
                      <w:lang w:val="en-US" w:eastAsia="zh-CN"/>
                    </w:rPr>
                    <m:t>L</m:t>
                  </m:r>
                  <m:ctrlPr>
                    <w:rPr>
                      <w:rFonts w:ascii="Cambria Math" w:hAnsi="Cambria Math"/>
                      <w:i/>
                      <w:vertAlign w:val="baseline"/>
                      <w:lang w:val="en-US"/>
                    </w:rPr>
                  </m:ctrlPr>
                </m:e>
                <m:sub>
                  <m:r>
                    <m:rPr/>
                    <w:rPr>
                      <w:rFonts w:hint="default" w:ascii="Cambria Math" w:hAnsi="Cambria Math"/>
                      <w:vertAlign w:val="baseline"/>
                      <w:lang w:val="en-US" w:eastAsia="zh-CN"/>
                    </w:rPr>
                    <m:t>eqg</m:t>
                  </m:r>
                  <m:ctrlPr>
                    <w:rPr>
                      <w:rFonts w:ascii="Cambria Math" w:hAnsi="Cambria Math"/>
                      <w:i/>
                      <w:vertAlign w:val="baseline"/>
                      <w:lang w:val="en-US"/>
                    </w:rPr>
                  </m:ctrlPr>
                </m:sub>
              </m:sSub>
            </m:oMath>
            <w:r>
              <w:rPr>
                <w:rFonts w:hint="eastAsia" w:hAnsi="Cambria Math"/>
                <w:i w:val="0"/>
                <w:vertAlign w:val="baseline"/>
                <w:lang w:val="en-US" w:eastAsia="zh-CN"/>
              </w:rPr>
              <w:t>—建设项目声源在预测点产生的噪声贡献值，</w:t>
            </w:r>
            <w:r>
              <w:rPr>
                <w:rFonts w:hint="eastAsia"/>
                <w:vertAlign w:val="baseline"/>
                <w:lang w:val="en-US" w:eastAsia="zh-CN"/>
              </w:rPr>
              <w:t>dB；</w:t>
            </w:r>
          </w:p>
          <w:p w14:paraId="1F2CF634">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T—用于计算等效声级的时间，s；</w:t>
            </w:r>
          </w:p>
          <w:p w14:paraId="6675DE36">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vertAlign w:val="baseline"/>
                <w:lang w:val="en-US" w:eastAsia="zh-CN"/>
              </w:rPr>
              <w:t>N—室外声源个数；</w:t>
            </w:r>
          </w:p>
          <w:p w14:paraId="6EE78615">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t</w:t>
            </w:r>
            <w:r>
              <w:rPr>
                <w:rFonts w:hint="eastAsia"/>
                <w:vertAlign w:val="subscript"/>
                <w:lang w:val="en-US" w:eastAsia="zh-CN"/>
              </w:rPr>
              <w:t>i</w:t>
            </w:r>
            <w:r>
              <w:rPr>
                <w:rFonts w:hint="eastAsia"/>
                <w:vertAlign w:val="baseline"/>
                <w:lang w:val="en-US" w:eastAsia="zh-CN"/>
              </w:rPr>
              <w:t>—在T时间内i声源工作时间，s；</w:t>
            </w:r>
          </w:p>
          <w:p w14:paraId="3ED1041E">
            <w:pPr>
              <w:keepNext w:val="0"/>
              <w:keepLines w:val="0"/>
              <w:pageBreakBefore w:val="0"/>
              <w:widowControl w:val="0"/>
              <w:kinsoku/>
              <w:wordWrap/>
              <w:overflowPunct/>
              <w:topLinePunct w:val="0"/>
              <w:autoSpaceDE/>
              <w:autoSpaceDN/>
              <w:bidi w:val="0"/>
              <w:adjustRightInd w:val="0"/>
              <w:snapToGrid w:val="0"/>
              <w:textAlignment w:val="auto"/>
              <w:rPr>
                <w:rFonts w:hint="eastAsia"/>
                <w:vertAlign w:val="baseline"/>
                <w:lang w:val="en-US" w:eastAsia="zh-CN"/>
              </w:rPr>
            </w:pPr>
            <w:r>
              <w:rPr>
                <w:rFonts w:hint="eastAsia"/>
                <w:vertAlign w:val="baseline"/>
                <w:lang w:val="en-US" w:eastAsia="zh-CN"/>
              </w:rPr>
              <w:t>L</w:t>
            </w:r>
            <w:r>
              <w:rPr>
                <w:rFonts w:hint="eastAsia"/>
                <w:vertAlign w:val="subscript"/>
                <w:lang w:val="en-US" w:eastAsia="zh-CN"/>
              </w:rPr>
              <w:t>Ai</w:t>
            </w:r>
            <w:r>
              <w:rPr>
                <w:rFonts w:hint="eastAsia"/>
                <w:vertAlign w:val="baseline"/>
                <w:lang w:val="en-US" w:eastAsia="zh-CN"/>
              </w:rPr>
              <w:t>—i声源在预测点产生的等效连续A声级，dB；</w:t>
            </w:r>
          </w:p>
          <w:p w14:paraId="7EA1FF53">
            <w:pPr>
              <w:keepNext w:val="0"/>
              <w:keepLines w:val="0"/>
              <w:pageBreakBefore w:val="0"/>
              <w:widowControl w:val="0"/>
              <w:kinsoku/>
              <w:wordWrap/>
              <w:overflowPunct/>
              <w:topLinePunct w:val="0"/>
              <w:autoSpaceDE/>
              <w:autoSpaceDN/>
              <w:bidi w:val="0"/>
              <w:adjustRightInd w:val="0"/>
              <w:snapToGrid w:val="0"/>
              <w:textAlignment w:val="auto"/>
              <w:rPr>
                <w:rFonts w:hint="default"/>
                <w:vertAlign w:val="baseline"/>
                <w:lang w:val="en-US" w:eastAsia="zh-CN"/>
              </w:rPr>
            </w:pPr>
            <w:r>
              <w:rPr>
                <w:rFonts w:hint="eastAsia"/>
                <w:vertAlign w:val="baseline"/>
                <w:lang w:val="en-US" w:eastAsia="zh-CN"/>
              </w:rPr>
              <w:t>M—等效室外声源个数；</w:t>
            </w:r>
          </w:p>
          <w:p w14:paraId="02D043B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vertAlign w:val="baseline"/>
                <w:lang w:val="en-US" w:eastAsia="zh-CN"/>
              </w:rPr>
              <w:t>t</w:t>
            </w:r>
            <w:r>
              <w:rPr>
                <w:rFonts w:hint="eastAsia"/>
                <w:vertAlign w:val="subscript"/>
                <w:lang w:val="en-US" w:eastAsia="zh-CN"/>
              </w:rPr>
              <w:t>j</w:t>
            </w:r>
            <w:r>
              <w:rPr>
                <w:rFonts w:hint="eastAsia"/>
                <w:vertAlign w:val="baseline"/>
                <w:lang w:val="en-US" w:eastAsia="zh-CN"/>
              </w:rPr>
              <w:t>—在T时间内j声源工作时间，s；</w:t>
            </w:r>
          </w:p>
          <w:p w14:paraId="3615956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vertAlign w:val="baseline"/>
                <w:lang w:val="en-US" w:eastAsia="zh-CN"/>
              </w:rPr>
              <w:t>L</w:t>
            </w:r>
            <w:r>
              <w:rPr>
                <w:rFonts w:hint="eastAsia"/>
                <w:vertAlign w:val="subscript"/>
                <w:lang w:val="en-US" w:eastAsia="zh-CN"/>
              </w:rPr>
              <w:t>Aj</w:t>
            </w:r>
            <w:r>
              <w:rPr>
                <w:rFonts w:hint="eastAsia"/>
                <w:vertAlign w:val="baseline"/>
                <w:lang w:val="en-US" w:eastAsia="zh-CN"/>
              </w:rPr>
              <w:t>—j声源在预测点产生的等效连续A声级，dB。</w:t>
            </w:r>
          </w:p>
          <w:p w14:paraId="3D423672">
            <w:pPr>
              <w:pStyle w:val="11"/>
              <w:bidi w:val="0"/>
              <w:rPr>
                <w:rFonts w:hint="default"/>
                <w:lang w:val="en-US" w:eastAsia="zh-CN"/>
              </w:rPr>
            </w:pPr>
            <w:r>
              <w:rPr>
                <w:rFonts w:hint="eastAsia"/>
                <w:lang w:val="en-US" w:eastAsia="zh-CN"/>
              </w:rPr>
              <w:t xml:space="preserve">表4-13 </w:t>
            </w:r>
            <w:r>
              <w:rPr>
                <w:rFonts w:hint="eastAsia"/>
                <w:highlight w:val="none"/>
                <w:lang w:val="en-US" w:eastAsia="zh-CN"/>
              </w:rPr>
              <w:t xml:space="preserve">运营期间噪声预测结果  </w:t>
            </w:r>
            <w:r>
              <w:rPr>
                <w:rFonts w:hint="eastAsia"/>
                <w:lang w:val="en-US" w:eastAsia="zh-CN"/>
              </w:rPr>
              <w:t>单位：dB(A)</w:t>
            </w:r>
          </w:p>
          <w:tbl>
            <w:tblPr>
              <w:tblStyle w:val="8"/>
              <w:tblW w:w="80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756"/>
              <w:gridCol w:w="756"/>
              <w:gridCol w:w="756"/>
              <w:gridCol w:w="934"/>
              <w:gridCol w:w="1334"/>
              <w:gridCol w:w="1334"/>
              <w:gridCol w:w="1118"/>
            </w:tblGrid>
            <w:tr w14:paraId="36E7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restart"/>
                  <w:tcBorders>
                    <w:tl2br w:val="nil"/>
                    <w:tr2bl w:val="nil"/>
                  </w:tcBorders>
                  <w:vAlign w:val="center"/>
                </w:tcPr>
                <w:p w14:paraId="3B4825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268" w:type="dxa"/>
                  <w:gridSpan w:val="3"/>
                  <w:tcBorders>
                    <w:tl2br w:val="nil"/>
                    <w:tr2bl w:val="nil"/>
                  </w:tcBorders>
                  <w:vAlign w:val="center"/>
                </w:tcPr>
                <w:p w14:paraId="519DC4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934" w:type="dxa"/>
                  <w:vMerge w:val="restart"/>
                  <w:tcBorders>
                    <w:tl2br w:val="nil"/>
                    <w:tr2bl w:val="nil"/>
                  </w:tcBorders>
                  <w:vAlign w:val="center"/>
                </w:tcPr>
                <w:p w14:paraId="4B002C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1334" w:type="dxa"/>
                  <w:vMerge w:val="restart"/>
                  <w:tcBorders>
                    <w:tl2br w:val="nil"/>
                    <w:tr2bl w:val="nil"/>
                  </w:tcBorders>
                  <w:vAlign w:val="center"/>
                </w:tcPr>
                <w:p w14:paraId="30A704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贡献值（dB(A)）</w:t>
                  </w:r>
                </w:p>
              </w:tc>
              <w:tc>
                <w:tcPr>
                  <w:tcW w:w="1334" w:type="dxa"/>
                  <w:vMerge w:val="restart"/>
                  <w:tcBorders>
                    <w:tl2br w:val="nil"/>
                    <w:tr2bl w:val="nil"/>
                  </w:tcBorders>
                  <w:vAlign w:val="center"/>
                </w:tcPr>
                <w:p w14:paraId="219F48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标准限值（dB(A)）</w:t>
                  </w:r>
                </w:p>
              </w:tc>
              <w:tc>
                <w:tcPr>
                  <w:tcW w:w="1118" w:type="dxa"/>
                  <w:vMerge w:val="restart"/>
                  <w:tcBorders>
                    <w:tl2br w:val="nil"/>
                    <w:tr2bl w:val="nil"/>
                  </w:tcBorders>
                  <w:vAlign w:val="center"/>
                </w:tcPr>
                <w:p w14:paraId="603266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23100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shd w:val="clear" w:color="auto" w:fill="FFFFFF"/>
                  <w:vAlign w:val="center"/>
                </w:tcPr>
                <w:p w14:paraId="16C714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756" w:type="dxa"/>
                  <w:tcBorders>
                    <w:tl2br w:val="nil"/>
                    <w:tr2bl w:val="nil"/>
                  </w:tcBorders>
                  <w:shd w:val="clear" w:color="auto" w:fill="FFFFFF"/>
                  <w:vAlign w:val="center"/>
                </w:tcPr>
                <w:p w14:paraId="689145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56" w:type="dxa"/>
                  <w:tcBorders>
                    <w:tl2br w:val="nil"/>
                    <w:tr2bl w:val="nil"/>
                  </w:tcBorders>
                  <w:shd w:val="clear" w:color="auto" w:fill="FFFFFF"/>
                  <w:vAlign w:val="center"/>
                </w:tcPr>
                <w:p w14:paraId="341B6B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56" w:type="dxa"/>
                  <w:tcBorders>
                    <w:tl2br w:val="nil"/>
                    <w:tr2bl w:val="nil"/>
                  </w:tcBorders>
                  <w:shd w:val="clear" w:color="auto" w:fill="FFFFFF"/>
                  <w:vAlign w:val="center"/>
                </w:tcPr>
                <w:p w14:paraId="72F98D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934" w:type="dxa"/>
                  <w:vMerge w:val="continue"/>
                  <w:tcBorders>
                    <w:tl2br w:val="nil"/>
                    <w:tr2bl w:val="nil"/>
                  </w:tcBorders>
                  <w:shd w:val="clear" w:color="auto" w:fill="FFFFFF"/>
                  <w:vAlign w:val="center"/>
                </w:tcPr>
                <w:p w14:paraId="44B397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4" w:type="dxa"/>
                  <w:vMerge w:val="continue"/>
                  <w:tcBorders>
                    <w:tl2br w:val="nil"/>
                    <w:tr2bl w:val="nil"/>
                  </w:tcBorders>
                  <w:shd w:val="clear" w:color="auto" w:fill="FFFFFF"/>
                  <w:vAlign w:val="center"/>
                </w:tcPr>
                <w:p w14:paraId="1D5B7E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334" w:type="dxa"/>
                  <w:vMerge w:val="continue"/>
                  <w:tcBorders>
                    <w:tl2br w:val="nil"/>
                    <w:tr2bl w:val="nil"/>
                  </w:tcBorders>
                  <w:shd w:val="clear" w:color="auto" w:fill="FFFFFF"/>
                  <w:vAlign w:val="center"/>
                </w:tcPr>
                <w:p w14:paraId="222C4E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8" w:type="dxa"/>
                  <w:vMerge w:val="continue"/>
                  <w:tcBorders>
                    <w:tl2br w:val="nil"/>
                    <w:tr2bl w:val="nil"/>
                  </w:tcBorders>
                  <w:shd w:val="clear" w:color="auto" w:fill="FFFFFF"/>
                  <w:vAlign w:val="center"/>
                </w:tcPr>
                <w:p w14:paraId="3D5C0F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E729C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036" w:type="dxa"/>
                  <w:vMerge w:val="restart"/>
                  <w:tcBorders>
                    <w:tl2br w:val="nil"/>
                    <w:tr2bl w:val="nil"/>
                  </w:tcBorders>
                  <w:shd w:val="clear" w:color="auto" w:fill="FFFFFF"/>
                  <w:vAlign w:val="center"/>
                </w:tcPr>
                <w:p w14:paraId="1703A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56" w:type="dxa"/>
                  <w:tcBorders>
                    <w:tl2br w:val="nil"/>
                    <w:tr2bl w:val="nil"/>
                  </w:tcBorders>
                  <w:shd w:val="clear" w:color="auto" w:fill="FFFFFF"/>
                  <w:vAlign w:val="center"/>
                </w:tcPr>
                <w:p w14:paraId="58DBC9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756" w:type="dxa"/>
                  <w:tcBorders>
                    <w:tl2br w:val="nil"/>
                    <w:tr2bl w:val="nil"/>
                  </w:tcBorders>
                  <w:shd w:val="clear" w:color="auto" w:fill="FFFFFF"/>
                  <w:vAlign w:val="center"/>
                </w:tcPr>
                <w:p w14:paraId="4642E8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-16.4</w:t>
                  </w:r>
                </w:p>
              </w:tc>
              <w:tc>
                <w:tcPr>
                  <w:tcW w:w="756" w:type="dxa"/>
                  <w:tcBorders>
                    <w:tl2br w:val="nil"/>
                    <w:tr2bl w:val="nil"/>
                  </w:tcBorders>
                  <w:shd w:val="clear" w:color="auto" w:fill="FFFFFF"/>
                  <w:vAlign w:val="center"/>
                </w:tcPr>
                <w:p w14:paraId="122046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34" w:type="dxa"/>
                  <w:tcBorders>
                    <w:tl2br w:val="nil"/>
                    <w:tr2bl w:val="nil"/>
                  </w:tcBorders>
                  <w:shd w:val="clear" w:color="auto" w:fill="FFFFFF"/>
                  <w:vAlign w:val="center"/>
                </w:tcPr>
                <w:p w14:paraId="430808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334" w:type="dxa"/>
                  <w:tcBorders>
                    <w:tl2br w:val="nil"/>
                    <w:tr2bl w:val="nil"/>
                  </w:tcBorders>
                  <w:shd w:val="clear" w:color="auto" w:fill="FFFFFF"/>
                  <w:vAlign w:val="center"/>
                </w:tcPr>
                <w:p w14:paraId="2CD5EC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36.6</w:t>
                  </w:r>
                </w:p>
              </w:tc>
              <w:tc>
                <w:tcPr>
                  <w:tcW w:w="1334" w:type="dxa"/>
                  <w:tcBorders>
                    <w:tl2br w:val="nil"/>
                    <w:tr2bl w:val="nil"/>
                  </w:tcBorders>
                  <w:shd w:val="clear" w:color="auto" w:fill="FFFFFF"/>
                  <w:vAlign w:val="center"/>
                </w:tcPr>
                <w:p w14:paraId="44F014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18" w:type="dxa"/>
                  <w:tcBorders>
                    <w:tl2br w:val="nil"/>
                    <w:tr2bl w:val="nil"/>
                  </w:tcBorders>
                  <w:shd w:val="clear" w:color="auto" w:fill="FFFFFF"/>
                  <w:vAlign w:val="center"/>
                </w:tcPr>
                <w:p w14:paraId="488AD9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AE010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shd w:val="clear" w:color="auto" w:fill="FFFFFF"/>
                  <w:vAlign w:val="center"/>
                </w:tcPr>
                <w:p w14:paraId="273C72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56" w:type="dxa"/>
                  <w:tcBorders>
                    <w:tl2br w:val="nil"/>
                    <w:tr2bl w:val="nil"/>
                  </w:tcBorders>
                  <w:shd w:val="clear" w:color="auto" w:fill="FFFFFF"/>
                  <w:vAlign w:val="center"/>
                </w:tcPr>
                <w:p w14:paraId="39F2807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8.5</w:t>
                  </w:r>
                </w:p>
              </w:tc>
              <w:tc>
                <w:tcPr>
                  <w:tcW w:w="756" w:type="dxa"/>
                  <w:tcBorders>
                    <w:tl2br w:val="nil"/>
                    <w:tr2bl w:val="nil"/>
                  </w:tcBorders>
                  <w:shd w:val="clear" w:color="auto" w:fill="FFFFFF"/>
                  <w:vAlign w:val="center"/>
                </w:tcPr>
                <w:p w14:paraId="28B95B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-16.4</w:t>
                  </w:r>
                </w:p>
              </w:tc>
              <w:tc>
                <w:tcPr>
                  <w:tcW w:w="756" w:type="dxa"/>
                  <w:tcBorders>
                    <w:tl2br w:val="nil"/>
                    <w:tr2bl w:val="nil"/>
                  </w:tcBorders>
                  <w:shd w:val="clear" w:color="auto" w:fill="FFFFFF"/>
                  <w:vAlign w:val="center"/>
                </w:tcPr>
                <w:p w14:paraId="71E52B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1.2</w:t>
                  </w:r>
                </w:p>
              </w:tc>
              <w:tc>
                <w:tcPr>
                  <w:tcW w:w="934" w:type="dxa"/>
                  <w:tcBorders>
                    <w:tl2br w:val="nil"/>
                    <w:tr2bl w:val="nil"/>
                  </w:tcBorders>
                  <w:shd w:val="clear" w:color="auto" w:fill="FFFFFF"/>
                  <w:vAlign w:val="center"/>
                </w:tcPr>
                <w:p w14:paraId="58BF9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334" w:type="dxa"/>
                  <w:tcBorders>
                    <w:tl2br w:val="nil"/>
                    <w:tr2bl w:val="nil"/>
                  </w:tcBorders>
                  <w:shd w:val="clear" w:color="auto" w:fill="FFFFFF"/>
                  <w:vAlign w:val="center"/>
                </w:tcPr>
                <w:p w14:paraId="7D9BD6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32.2</w:t>
                  </w:r>
                </w:p>
              </w:tc>
              <w:tc>
                <w:tcPr>
                  <w:tcW w:w="1334" w:type="dxa"/>
                  <w:tcBorders>
                    <w:tl2br w:val="nil"/>
                    <w:tr2bl w:val="nil"/>
                  </w:tcBorders>
                  <w:shd w:val="clear" w:color="auto" w:fill="FFFFFF"/>
                  <w:vAlign w:val="center"/>
                </w:tcPr>
                <w:p w14:paraId="7AE084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18" w:type="dxa"/>
                  <w:tcBorders>
                    <w:tl2br w:val="nil"/>
                    <w:tr2bl w:val="nil"/>
                  </w:tcBorders>
                  <w:shd w:val="clear" w:color="auto" w:fill="FFFFFF"/>
                  <w:vAlign w:val="center"/>
                </w:tcPr>
                <w:p w14:paraId="33C93F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6DF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036" w:type="dxa"/>
                  <w:vMerge w:val="restart"/>
                  <w:tcBorders>
                    <w:tl2br w:val="nil"/>
                    <w:tr2bl w:val="nil"/>
                  </w:tcBorders>
                  <w:shd w:val="clear" w:color="auto" w:fill="FFFFFF"/>
                  <w:vAlign w:val="center"/>
                </w:tcPr>
                <w:p w14:paraId="40D9E7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56" w:type="dxa"/>
                  <w:tcBorders>
                    <w:tl2br w:val="nil"/>
                    <w:tr2bl w:val="nil"/>
                  </w:tcBorders>
                  <w:shd w:val="clear" w:color="auto" w:fill="FFFFFF"/>
                  <w:vAlign w:val="center"/>
                </w:tcPr>
                <w:p w14:paraId="2C783A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756" w:type="dxa"/>
                  <w:tcBorders>
                    <w:tl2br w:val="nil"/>
                    <w:tr2bl w:val="nil"/>
                  </w:tcBorders>
                  <w:shd w:val="clear" w:color="auto" w:fill="FFFFFF"/>
                  <w:vAlign w:val="center"/>
                </w:tcPr>
                <w:p w14:paraId="2D6864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16.4</w:t>
                  </w:r>
                </w:p>
              </w:tc>
              <w:tc>
                <w:tcPr>
                  <w:tcW w:w="756" w:type="dxa"/>
                  <w:tcBorders>
                    <w:tl2br w:val="nil"/>
                    <w:tr2bl w:val="nil"/>
                  </w:tcBorders>
                  <w:shd w:val="clear" w:color="auto" w:fill="FFFFFF"/>
                  <w:vAlign w:val="center"/>
                </w:tcPr>
                <w:p w14:paraId="0494FB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34" w:type="dxa"/>
                  <w:tcBorders>
                    <w:tl2br w:val="nil"/>
                    <w:tr2bl w:val="nil"/>
                  </w:tcBorders>
                  <w:shd w:val="clear" w:color="auto" w:fill="FFFFFF"/>
                  <w:vAlign w:val="center"/>
                </w:tcPr>
                <w:p w14:paraId="2F979B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334" w:type="dxa"/>
                  <w:tcBorders>
                    <w:tl2br w:val="nil"/>
                    <w:tr2bl w:val="nil"/>
                  </w:tcBorders>
                  <w:shd w:val="clear" w:color="auto" w:fill="FFFFFF"/>
                  <w:vAlign w:val="center"/>
                </w:tcPr>
                <w:p w14:paraId="72146C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44.3</w:t>
                  </w:r>
                </w:p>
              </w:tc>
              <w:tc>
                <w:tcPr>
                  <w:tcW w:w="1334" w:type="dxa"/>
                  <w:tcBorders>
                    <w:tl2br w:val="nil"/>
                    <w:tr2bl w:val="nil"/>
                  </w:tcBorders>
                  <w:shd w:val="clear" w:color="auto" w:fill="FFFFFF"/>
                  <w:vAlign w:val="center"/>
                </w:tcPr>
                <w:p w14:paraId="1C0B0A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18" w:type="dxa"/>
                  <w:tcBorders>
                    <w:tl2br w:val="nil"/>
                    <w:tr2bl w:val="nil"/>
                  </w:tcBorders>
                  <w:shd w:val="clear" w:color="auto" w:fill="FFFFFF"/>
                  <w:vAlign w:val="center"/>
                </w:tcPr>
                <w:p w14:paraId="337F09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D36A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shd w:val="clear" w:color="auto" w:fill="FFFFFF"/>
                  <w:vAlign w:val="center"/>
                </w:tcPr>
                <w:p w14:paraId="4FECD5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56" w:type="dxa"/>
                  <w:tcBorders>
                    <w:tl2br w:val="nil"/>
                    <w:tr2bl w:val="nil"/>
                  </w:tcBorders>
                  <w:shd w:val="clear" w:color="auto" w:fill="FFFFFF"/>
                  <w:vAlign w:val="center"/>
                </w:tcPr>
                <w:p w14:paraId="597B2A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756" w:type="dxa"/>
                  <w:tcBorders>
                    <w:tl2br w:val="nil"/>
                    <w:tr2bl w:val="nil"/>
                  </w:tcBorders>
                  <w:shd w:val="clear" w:color="auto" w:fill="FFFFFF"/>
                  <w:vAlign w:val="center"/>
                </w:tcPr>
                <w:p w14:paraId="7F9B99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16.4</w:t>
                  </w:r>
                </w:p>
              </w:tc>
              <w:tc>
                <w:tcPr>
                  <w:tcW w:w="756" w:type="dxa"/>
                  <w:tcBorders>
                    <w:tl2br w:val="nil"/>
                    <w:tr2bl w:val="nil"/>
                  </w:tcBorders>
                  <w:shd w:val="clear" w:color="auto" w:fill="FFFFFF"/>
                  <w:vAlign w:val="center"/>
                </w:tcPr>
                <w:p w14:paraId="49BF58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34" w:type="dxa"/>
                  <w:tcBorders>
                    <w:tl2br w:val="nil"/>
                    <w:tr2bl w:val="nil"/>
                  </w:tcBorders>
                  <w:shd w:val="clear" w:color="auto" w:fill="FFFFFF"/>
                  <w:vAlign w:val="center"/>
                </w:tcPr>
                <w:p w14:paraId="33E8D1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334" w:type="dxa"/>
                  <w:tcBorders>
                    <w:tl2br w:val="nil"/>
                    <w:tr2bl w:val="nil"/>
                  </w:tcBorders>
                  <w:shd w:val="clear" w:color="auto" w:fill="FFFFFF"/>
                  <w:vAlign w:val="center"/>
                </w:tcPr>
                <w:p w14:paraId="56FA67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29.5</w:t>
                  </w:r>
                </w:p>
              </w:tc>
              <w:tc>
                <w:tcPr>
                  <w:tcW w:w="1334" w:type="dxa"/>
                  <w:tcBorders>
                    <w:tl2br w:val="nil"/>
                    <w:tr2bl w:val="nil"/>
                  </w:tcBorders>
                  <w:shd w:val="clear" w:color="auto" w:fill="FFFFFF"/>
                  <w:vAlign w:val="center"/>
                </w:tcPr>
                <w:p w14:paraId="61CF31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18" w:type="dxa"/>
                  <w:tcBorders>
                    <w:tl2br w:val="nil"/>
                    <w:tr2bl w:val="nil"/>
                  </w:tcBorders>
                  <w:shd w:val="clear" w:color="auto" w:fill="FFFFFF"/>
                  <w:vAlign w:val="center"/>
                </w:tcPr>
                <w:p w14:paraId="6A77E8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2DE58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b/>
                <w:bCs/>
                <w:color w:val="auto"/>
                <w:spacing w:val="-10"/>
                <w:sz w:val="21"/>
                <w:szCs w:val="21"/>
                <w:highlight w:val="none"/>
                <w:lang w:val="en-US" w:eastAsia="zh-CN"/>
              </w:rPr>
            </w:pPr>
            <w:r>
              <w:rPr>
                <w:rFonts w:hint="eastAsia"/>
                <w:b/>
                <w:bCs/>
                <w:color w:val="auto"/>
                <w:spacing w:val="-10"/>
                <w:sz w:val="18"/>
                <w:szCs w:val="18"/>
                <w:highlight w:val="none"/>
                <w:lang w:val="en-US" w:eastAsia="zh-CN"/>
              </w:rPr>
              <w:t>注：表中坐标以厂界中心（116.294891,39.832088）为坐标原点，正东向为X轴正方向，正北向为Y轴正方向</w:t>
            </w:r>
          </w:p>
          <w:p w14:paraId="6AFF5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val="0"/>
                <w:bCs w:val="0"/>
                <w:color w:val="auto"/>
                <w:spacing w:val="-10"/>
                <w:sz w:val="24"/>
                <w:szCs w:val="24"/>
                <w:highlight w:val="none"/>
                <w:lang w:val="en-US" w:eastAsia="zh-CN"/>
              </w:rPr>
            </w:pPr>
            <w:r>
              <w:rPr>
                <w:rFonts w:hint="eastAsia"/>
                <w:b/>
                <w:bCs/>
                <w:color w:val="auto"/>
                <w:spacing w:val="-10"/>
                <w:sz w:val="21"/>
                <w:szCs w:val="21"/>
                <w:highlight w:val="none"/>
                <w:lang w:val="en-US" w:eastAsia="zh-CN"/>
              </w:rPr>
              <w:t>表4-14 项目敏感目标噪声预测结果一览表  单位：dB(A)</w:t>
            </w:r>
          </w:p>
          <w:tbl>
            <w:tblPr>
              <w:tblStyle w:val="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077"/>
              <w:gridCol w:w="657"/>
              <w:gridCol w:w="657"/>
              <w:gridCol w:w="657"/>
              <w:gridCol w:w="657"/>
              <w:gridCol w:w="657"/>
              <w:gridCol w:w="657"/>
              <w:gridCol w:w="657"/>
              <w:gridCol w:w="657"/>
              <w:gridCol w:w="657"/>
              <w:gridCol w:w="662"/>
            </w:tblGrid>
            <w:tr w14:paraId="76592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dxa"/>
                  <w:vMerge w:val="restart"/>
                  <w:tcBorders>
                    <w:tl2br w:val="nil"/>
                    <w:tr2bl w:val="nil"/>
                  </w:tcBorders>
                  <w:vAlign w:val="center"/>
                </w:tcPr>
                <w:p w14:paraId="7E2D25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1077" w:type="dxa"/>
                  <w:vMerge w:val="restart"/>
                  <w:tcBorders>
                    <w:tl2br w:val="nil"/>
                    <w:tr2bl w:val="nil"/>
                  </w:tcBorders>
                  <w:vAlign w:val="center"/>
                </w:tcPr>
                <w:p w14:paraId="2CEA94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声环境保护目标名称</w:t>
                  </w:r>
                </w:p>
              </w:tc>
              <w:tc>
                <w:tcPr>
                  <w:tcW w:w="1314" w:type="dxa"/>
                  <w:gridSpan w:val="2"/>
                  <w:tcBorders>
                    <w:tl2br w:val="nil"/>
                    <w:tr2bl w:val="nil"/>
                  </w:tcBorders>
                  <w:vAlign w:val="center"/>
                </w:tcPr>
                <w:p w14:paraId="2F72BC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噪声现状值/dB(A)</w:t>
                  </w:r>
                </w:p>
              </w:tc>
              <w:tc>
                <w:tcPr>
                  <w:tcW w:w="1314" w:type="dxa"/>
                  <w:gridSpan w:val="2"/>
                  <w:tcBorders>
                    <w:tl2br w:val="nil"/>
                    <w:tr2bl w:val="nil"/>
                  </w:tcBorders>
                  <w:vAlign w:val="center"/>
                </w:tcPr>
                <w:p w14:paraId="591D3B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噪声标准/dB(A)</w:t>
                  </w:r>
                </w:p>
              </w:tc>
              <w:tc>
                <w:tcPr>
                  <w:tcW w:w="1314" w:type="dxa"/>
                  <w:gridSpan w:val="2"/>
                  <w:tcBorders>
                    <w:tl2br w:val="nil"/>
                    <w:tr2bl w:val="nil"/>
                  </w:tcBorders>
                  <w:vAlign w:val="center"/>
                </w:tcPr>
                <w:p w14:paraId="3A3FEA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噪声贡献值/dB(A)</w:t>
                  </w:r>
                </w:p>
              </w:tc>
              <w:tc>
                <w:tcPr>
                  <w:tcW w:w="1314" w:type="dxa"/>
                  <w:gridSpan w:val="2"/>
                  <w:tcBorders>
                    <w:tl2br w:val="nil"/>
                    <w:tr2bl w:val="nil"/>
                  </w:tcBorders>
                  <w:vAlign w:val="center"/>
                </w:tcPr>
                <w:p w14:paraId="1B6ACA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噪声预测值/dB(A)</w:t>
                  </w:r>
                </w:p>
              </w:tc>
              <w:tc>
                <w:tcPr>
                  <w:tcW w:w="1319" w:type="dxa"/>
                  <w:gridSpan w:val="2"/>
                  <w:tcBorders>
                    <w:tl2br w:val="nil"/>
                    <w:tr2bl w:val="nil"/>
                  </w:tcBorders>
                  <w:vAlign w:val="center"/>
                </w:tcPr>
                <w:p w14:paraId="1EE66A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2F0480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dxa"/>
                  <w:vMerge w:val="continue"/>
                  <w:tcBorders>
                    <w:tl2br w:val="nil"/>
                    <w:tr2bl w:val="nil"/>
                  </w:tcBorders>
                  <w:shd w:val="clear" w:color="auto" w:fill="FFFFFF"/>
                  <w:vAlign w:val="center"/>
                </w:tcPr>
                <w:p w14:paraId="537962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77" w:type="dxa"/>
                  <w:vMerge w:val="continue"/>
                  <w:tcBorders>
                    <w:tl2br w:val="nil"/>
                    <w:tr2bl w:val="nil"/>
                  </w:tcBorders>
                  <w:shd w:val="clear" w:color="auto" w:fill="FFFFFF"/>
                  <w:vAlign w:val="center"/>
                </w:tcPr>
                <w:p w14:paraId="4DBFD1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57" w:type="dxa"/>
                  <w:tcBorders>
                    <w:tl2br w:val="nil"/>
                    <w:tr2bl w:val="nil"/>
                  </w:tcBorders>
                  <w:shd w:val="clear" w:color="auto" w:fill="FFFFFF"/>
                  <w:vAlign w:val="center"/>
                </w:tcPr>
                <w:p w14:paraId="05CD4C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657" w:type="dxa"/>
                  <w:tcBorders>
                    <w:tl2br w:val="nil"/>
                    <w:tr2bl w:val="nil"/>
                  </w:tcBorders>
                  <w:shd w:val="clear" w:color="auto" w:fill="FFFFFF"/>
                  <w:vAlign w:val="center"/>
                </w:tcPr>
                <w:p w14:paraId="4C973C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657" w:type="dxa"/>
                  <w:tcBorders>
                    <w:tl2br w:val="nil"/>
                    <w:tr2bl w:val="nil"/>
                  </w:tcBorders>
                  <w:shd w:val="clear" w:color="auto" w:fill="FFFFFF"/>
                  <w:vAlign w:val="center"/>
                </w:tcPr>
                <w:p w14:paraId="674A1F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657" w:type="dxa"/>
                  <w:tcBorders>
                    <w:tl2br w:val="nil"/>
                    <w:tr2bl w:val="nil"/>
                  </w:tcBorders>
                  <w:shd w:val="clear" w:color="auto" w:fill="FFFFFF"/>
                  <w:vAlign w:val="center"/>
                </w:tcPr>
                <w:p w14:paraId="43050A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657" w:type="dxa"/>
                  <w:tcBorders>
                    <w:tl2br w:val="nil"/>
                    <w:tr2bl w:val="nil"/>
                  </w:tcBorders>
                  <w:shd w:val="clear" w:color="auto" w:fill="FFFFFF"/>
                  <w:vAlign w:val="center"/>
                </w:tcPr>
                <w:p w14:paraId="73718E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657" w:type="dxa"/>
                  <w:tcBorders>
                    <w:tl2br w:val="nil"/>
                    <w:tr2bl w:val="nil"/>
                  </w:tcBorders>
                  <w:shd w:val="clear" w:color="auto" w:fill="FFFFFF"/>
                  <w:vAlign w:val="center"/>
                </w:tcPr>
                <w:p w14:paraId="4231F9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657" w:type="dxa"/>
                  <w:tcBorders>
                    <w:tl2br w:val="nil"/>
                    <w:tr2bl w:val="nil"/>
                  </w:tcBorders>
                  <w:shd w:val="clear" w:color="auto" w:fill="FFFFFF"/>
                  <w:vAlign w:val="center"/>
                </w:tcPr>
                <w:p w14:paraId="3341A5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657" w:type="dxa"/>
                  <w:tcBorders>
                    <w:tl2br w:val="nil"/>
                    <w:tr2bl w:val="nil"/>
                  </w:tcBorders>
                  <w:shd w:val="clear" w:color="auto" w:fill="FFFFFF"/>
                  <w:vAlign w:val="center"/>
                </w:tcPr>
                <w:p w14:paraId="69FC7F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657" w:type="dxa"/>
                  <w:tcBorders>
                    <w:tl2br w:val="nil"/>
                    <w:tr2bl w:val="nil"/>
                  </w:tcBorders>
                  <w:shd w:val="clear" w:color="auto" w:fill="FFFFFF"/>
                  <w:vAlign w:val="center"/>
                </w:tcPr>
                <w:p w14:paraId="6EA920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662" w:type="dxa"/>
                  <w:tcBorders>
                    <w:tl2br w:val="nil"/>
                    <w:tr2bl w:val="nil"/>
                  </w:tcBorders>
                  <w:shd w:val="clear" w:color="auto" w:fill="FFFFFF"/>
                  <w:vAlign w:val="center"/>
                </w:tcPr>
                <w:p w14:paraId="54E5A9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14:paraId="6736C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vMerge w:val="restart"/>
                  <w:tcBorders>
                    <w:tl2br w:val="nil"/>
                    <w:tr2bl w:val="nil"/>
                  </w:tcBorders>
                  <w:shd w:val="clear" w:color="auto" w:fill="FFFFFF"/>
                  <w:vAlign w:val="center"/>
                </w:tcPr>
                <w:p w14:paraId="7F7F72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77" w:type="dxa"/>
                  <w:tcBorders>
                    <w:tl2br w:val="nil"/>
                    <w:tr2bl w:val="nil"/>
                  </w:tcBorders>
                  <w:shd w:val="clear" w:color="auto" w:fill="FFFFFF"/>
                  <w:vAlign w:val="center"/>
                </w:tcPr>
                <w:p w14:paraId="33406E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怡海花园·富泽园5号楼</w:t>
                  </w:r>
                  <w:r>
                    <w:rPr>
                      <w:rFonts w:hint="eastAsia" w:cs="Times New Roman"/>
                      <w:color w:val="auto"/>
                      <w:sz w:val="21"/>
                      <w:szCs w:val="21"/>
                      <w:lang w:val="en-US" w:eastAsia="zh-CN"/>
                    </w:rPr>
                    <w:t>4m</w:t>
                  </w:r>
                </w:p>
              </w:tc>
              <w:tc>
                <w:tcPr>
                  <w:tcW w:w="657" w:type="dxa"/>
                  <w:tcBorders>
                    <w:tl2br w:val="nil"/>
                    <w:tr2bl w:val="nil"/>
                  </w:tcBorders>
                  <w:shd w:val="clear" w:color="auto" w:fill="FFFFFF"/>
                  <w:vAlign w:val="center"/>
                </w:tcPr>
                <w:p w14:paraId="4EC81F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43.1</w:t>
                  </w:r>
                </w:p>
              </w:tc>
              <w:tc>
                <w:tcPr>
                  <w:tcW w:w="657" w:type="dxa"/>
                  <w:tcBorders>
                    <w:tl2br w:val="nil"/>
                    <w:tr2bl w:val="nil"/>
                  </w:tcBorders>
                  <w:shd w:val="clear" w:color="auto" w:fill="FFFFFF"/>
                  <w:vAlign w:val="center"/>
                </w:tcPr>
                <w:p w14:paraId="55E275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34.1</w:t>
                  </w:r>
                </w:p>
              </w:tc>
              <w:tc>
                <w:tcPr>
                  <w:tcW w:w="657" w:type="dxa"/>
                  <w:tcBorders>
                    <w:tl2br w:val="nil"/>
                    <w:tr2bl w:val="nil"/>
                  </w:tcBorders>
                  <w:shd w:val="clear" w:color="auto" w:fill="FFFFFF"/>
                  <w:vAlign w:val="center"/>
                </w:tcPr>
                <w:p w14:paraId="54F087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657" w:type="dxa"/>
                  <w:tcBorders>
                    <w:tl2br w:val="nil"/>
                    <w:tr2bl w:val="nil"/>
                  </w:tcBorders>
                  <w:shd w:val="clear" w:color="auto" w:fill="FFFFFF"/>
                  <w:vAlign w:val="center"/>
                </w:tcPr>
                <w:p w14:paraId="24B5F8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657" w:type="dxa"/>
                  <w:tcBorders>
                    <w:tl2br w:val="nil"/>
                    <w:tr2bl w:val="nil"/>
                  </w:tcBorders>
                  <w:shd w:val="clear" w:color="auto" w:fill="FFFFFF"/>
                  <w:vAlign w:val="center"/>
                </w:tcPr>
                <w:p w14:paraId="1217C1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w:t>
                  </w:r>
                </w:p>
              </w:tc>
              <w:tc>
                <w:tcPr>
                  <w:tcW w:w="657" w:type="dxa"/>
                  <w:tcBorders>
                    <w:tl2br w:val="nil"/>
                    <w:tr2bl w:val="nil"/>
                  </w:tcBorders>
                  <w:shd w:val="clear" w:color="auto" w:fill="FFFFFF"/>
                  <w:vAlign w:val="center"/>
                </w:tcPr>
                <w:p w14:paraId="477F07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w:t>
                  </w:r>
                </w:p>
              </w:tc>
              <w:tc>
                <w:tcPr>
                  <w:tcW w:w="657" w:type="dxa"/>
                  <w:tcBorders>
                    <w:tl2br w:val="nil"/>
                    <w:tr2bl w:val="nil"/>
                  </w:tcBorders>
                  <w:shd w:val="clear" w:color="auto" w:fill="FFFFFF"/>
                  <w:vAlign w:val="center"/>
                </w:tcPr>
                <w:p w14:paraId="5A5ADE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43.1</w:t>
                  </w:r>
                </w:p>
              </w:tc>
              <w:tc>
                <w:tcPr>
                  <w:tcW w:w="657" w:type="dxa"/>
                  <w:tcBorders>
                    <w:tl2br w:val="nil"/>
                    <w:tr2bl w:val="nil"/>
                  </w:tcBorders>
                  <w:shd w:val="clear" w:color="auto" w:fill="FFFFFF"/>
                  <w:vAlign w:val="center"/>
                </w:tcPr>
                <w:p w14:paraId="5D64D6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34.4</w:t>
                  </w:r>
                </w:p>
              </w:tc>
              <w:tc>
                <w:tcPr>
                  <w:tcW w:w="657" w:type="dxa"/>
                  <w:tcBorders>
                    <w:tl2br w:val="nil"/>
                    <w:tr2bl w:val="nil"/>
                  </w:tcBorders>
                  <w:shd w:val="clear" w:color="auto" w:fill="FFFFFF"/>
                  <w:vAlign w:val="center"/>
                </w:tcPr>
                <w:p w14:paraId="5B076C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662" w:type="dxa"/>
                  <w:tcBorders>
                    <w:tl2br w:val="nil"/>
                    <w:tr2bl w:val="nil"/>
                  </w:tcBorders>
                  <w:shd w:val="clear" w:color="auto" w:fill="FFFFFF"/>
                  <w:vAlign w:val="center"/>
                </w:tcPr>
                <w:p w14:paraId="1E0A72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A7360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vMerge w:val="continue"/>
                  <w:tcBorders>
                    <w:tl2br w:val="nil"/>
                    <w:tr2bl w:val="nil"/>
                  </w:tcBorders>
                  <w:shd w:val="clear" w:color="auto" w:fill="FFFFFF"/>
                  <w:vAlign w:val="center"/>
                </w:tcPr>
                <w:p w14:paraId="5741F9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77" w:type="dxa"/>
                  <w:tcBorders>
                    <w:tl2br w:val="nil"/>
                    <w:tr2bl w:val="nil"/>
                  </w:tcBorders>
                  <w:shd w:val="clear" w:color="auto" w:fill="FFFFFF"/>
                  <w:vAlign w:val="center"/>
                </w:tcPr>
                <w:p w14:paraId="4764B2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怡海花园·富泽园5号楼</w:t>
                  </w:r>
                  <w:r>
                    <w:rPr>
                      <w:rFonts w:hint="eastAsia" w:cs="Times New Roman"/>
                      <w:color w:val="auto"/>
                      <w:sz w:val="21"/>
                      <w:szCs w:val="21"/>
                      <w:lang w:val="en-US" w:eastAsia="zh-CN"/>
                    </w:rPr>
                    <w:t>10m</w:t>
                  </w:r>
                </w:p>
              </w:tc>
              <w:tc>
                <w:tcPr>
                  <w:tcW w:w="657" w:type="dxa"/>
                  <w:tcBorders>
                    <w:tl2br w:val="nil"/>
                    <w:tr2bl w:val="nil"/>
                  </w:tcBorders>
                  <w:shd w:val="clear" w:color="auto" w:fill="FFFFFF"/>
                  <w:vAlign w:val="center"/>
                </w:tcPr>
                <w:p w14:paraId="08A11F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43.1</w:t>
                  </w:r>
                </w:p>
              </w:tc>
              <w:tc>
                <w:tcPr>
                  <w:tcW w:w="657" w:type="dxa"/>
                  <w:tcBorders>
                    <w:tl2br w:val="nil"/>
                    <w:tr2bl w:val="nil"/>
                  </w:tcBorders>
                  <w:shd w:val="clear" w:color="auto" w:fill="FFFFFF"/>
                  <w:vAlign w:val="center"/>
                </w:tcPr>
                <w:p w14:paraId="1F2428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34.1</w:t>
                  </w:r>
                </w:p>
              </w:tc>
              <w:tc>
                <w:tcPr>
                  <w:tcW w:w="657" w:type="dxa"/>
                  <w:tcBorders>
                    <w:tl2br w:val="nil"/>
                    <w:tr2bl w:val="nil"/>
                  </w:tcBorders>
                  <w:shd w:val="clear" w:color="auto" w:fill="FFFFFF"/>
                  <w:vAlign w:val="center"/>
                </w:tcPr>
                <w:p w14:paraId="66B727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55</w:t>
                  </w:r>
                </w:p>
              </w:tc>
              <w:tc>
                <w:tcPr>
                  <w:tcW w:w="657" w:type="dxa"/>
                  <w:tcBorders>
                    <w:tl2br w:val="nil"/>
                    <w:tr2bl w:val="nil"/>
                  </w:tcBorders>
                  <w:shd w:val="clear" w:color="auto" w:fill="FFFFFF"/>
                  <w:vAlign w:val="center"/>
                </w:tcPr>
                <w:p w14:paraId="456E9F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45</w:t>
                  </w:r>
                </w:p>
              </w:tc>
              <w:tc>
                <w:tcPr>
                  <w:tcW w:w="657" w:type="dxa"/>
                  <w:tcBorders>
                    <w:tl2br w:val="nil"/>
                    <w:tr2bl w:val="nil"/>
                  </w:tcBorders>
                  <w:shd w:val="clear" w:color="auto" w:fill="FFFFFF"/>
                  <w:vAlign w:val="center"/>
                </w:tcPr>
                <w:p w14:paraId="07AB25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30.4</w:t>
                  </w:r>
                </w:p>
              </w:tc>
              <w:tc>
                <w:tcPr>
                  <w:tcW w:w="657" w:type="dxa"/>
                  <w:tcBorders>
                    <w:tl2br w:val="nil"/>
                    <w:tr2bl w:val="nil"/>
                  </w:tcBorders>
                  <w:shd w:val="clear" w:color="auto" w:fill="FFFFFF"/>
                  <w:vAlign w:val="center"/>
                </w:tcPr>
                <w:p w14:paraId="4A9ACB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30.4</w:t>
                  </w:r>
                </w:p>
              </w:tc>
              <w:tc>
                <w:tcPr>
                  <w:tcW w:w="657" w:type="dxa"/>
                  <w:tcBorders>
                    <w:tl2br w:val="nil"/>
                    <w:tr2bl w:val="nil"/>
                  </w:tcBorders>
                  <w:shd w:val="clear" w:color="auto" w:fill="FFFFFF"/>
                  <w:vAlign w:val="center"/>
                </w:tcPr>
                <w:p w14:paraId="5E16B0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43.3</w:t>
                  </w:r>
                </w:p>
              </w:tc>
              <w:tc>
                <w:tcPr>
                  <w:tcW w:w="657" w:type="dxa"/>
                  <w:tcBorders>
                    <w:tl2br w:val="nil"/>
                    <w:tr2bl w:val="nil"/>
                  </w:tcBorders>
                  <w:shd w:val="clear" w:color="auto" w:fill="FFFFFF"/>
                  <w:vAlign w:val="center"/>
                </w:tcPr>
                <w:p w14:paraId="2ADD08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35.6</w:t>
                  </w:r>
                </w:p>
              </w:tc>
              <w:tc>
                <w:tcPr>
                  <w:tcW w:w="657" w:type="dxa"/>
                  <w:tcBorders>
                    <w:tl2br w:val="nil"/>
                    <w:tr2bl w:val="nil"/>
                  </w:tcBorders>
                  <w:shd w:val="clear" w:color="auto" w:fill="FFFFFF"/>
                  <w:vAlign w:val="center"/>
                </w:tcPr>
                <w:p w14:paraId="611D32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662" w:type="dxa"/>
                  <w:tcBorders>
                    <w:tl2br w:val="nil"/>
                    <w:tr2bl w:val="nil"/>
                  </w:tcBorders>
                  <w:shd w:val="clear" w:color="auto" w:fill="FFFFFF"/>
                  <w:vAlign w:val="center"/>
                </w:tcPr>
                <w:p w14:paraId="07E559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DAFB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vMerge w:val="continue"/>
                  <w:tcBorders>
                    <w:tl2br w:val="nil"/>
                    <w:tr2bl w:val="nil"/>
                  </w:tcBorders>
                  <w:shd w:val="clear" w:color="auto" w:fill="FFFFFF"/>
                  <w:vAlign w:val="center"/>
                </w:tcPr>
                <w:p w14:paraId="16898E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077" w:type="dxa"/>
                  <w:tcBorders>
                    <w:tl2br w:val="nil"/>
                    <w:tr2bl w:val="nil"/>
                  </w:tcBorders>
                  <w:shd w:val="clear" w:color="auto" w:fill="FFFFFF"/>
                  <w:vAlign w:val="center"/>
                </w:tcPr>
                <w:p w14:paraId="3BFCCE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怡海花园·富泽园5号楼</w:t>
                  </w:r>
                  <w:r>
                    <w:rPr>
                      <w:rFonts w:hint="eastAsia" w:cs="Times New Roman"/>
                      <w:color w:val="auto"/>
                      <w:sz w:val="21"/>
                      <w:szCs w:val="21"/>
                      <w:lang w:val="en-US" w:eastAsia="zh-CN"/>
                    </w:rPr>
                    <w:t>15m</w:t>
                  </w:r>
                </w:p>
              </w:tc>
              <w:tc>
                <w:tcPr>
                  <w:tcW w:w="657" w:type="dxa"/>
                  <w:tcBorders>
                    <w:tl2br w:val="nil"/>
                    <w:tr2bl w:val="nil"/>
                  </w:tcBorders>
                  <w:shd w:val="clear" w:color="auto" w:fill="FFFFFF"/>
                  <w:vAlign w:val="center"/>
                </w:tcPr>
                <w:p w14:paraId="3ABBA7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43.1</w:t>
                  </w:r>
                </w:p>
              </w:tc>
              <w:tc>
                <w:tcPr>
                  <w:tcW w:w="657" w:type="dxa"/>
                  <w:tcBorders>
                    <w:tl2br w:val="nil"/>
                    <w:tr2bl w:val="nil"/>
                  </w:tcBorders>
                  <w:shd w:val="clear" w:color="auto" w:fill="FFFFFF"/>
                  <w:vAlign w:val="center"/>
                </w:tcPr>
                <w:p w14:paraId="5F317C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34.1</w:t>
                  </w:r>
                </w:p>
              </w:tc>
              <w:tc>
                <w:tcPr>
                  <w:tcW w:w="657" w:type="dxa"/>
                  <w:tcBorders>
                    <w:tl2br w:val="nil"/>
                    <w:tr2bl w:val="nil"/>
                  </w:tcBorders>
                  <w:shd w:val="clear" w:color="auto" w:fill="FFFFFF"/>
                  <w:vAlign w:val="center"/>
                </w:tcPr>
                <w:p w14:paraId="6EBAE3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55</w:t>
                  </w:r>
                </w:p>
              </w:tc>
              <w:tc>
                <w:tcPr>
                  <w:tcW w:w="657" w:type="dxa"/>
                  <w:tcBorders>
                    <w:tl2br w:val="nil"/>
                    <w:tr2bl w:val="nil"/>
                  </w:tcBorders>
                  <w:shd w:val="clear" w:color="auto" w:fill="FFFFFF"/>
                  <w:vAlign w:val="center"/>
                </w:tcPr>
                <w:p w14:paraId="336719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45</w:t>
                  </w:r>
                </w:p>
              </w:tc>
              <w:tc>
                <w:tcPr>
                  <w:tcW w:w="657" w:type="dxa"/>
                  <w:tcBorders>
                    <w:tl2br w:val="nil"/>
                    <w:tr2bl w:val="nil"/>
                  </w:tcBorders>
                  <w:shd w:val="clear" w:color="auto" w:fill="FFFFFF"/>
                  <w:vAlign w:val="center"/>
                </w:tcPr>
                <w:p w14:paraId="5A229D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26.7</w:t>
                  </w:r>
                </w:p>
              </w:tc>
              <w:tc>
                <w:tcPr>
                  <w:tcW w:w="657" w:type="dxa"/>
                  <w:tcBorders>
                    <w:tl2br w:val="nil"/>
                    <w:tr2bl w:val="nil"/>
                  </w:tcBorders>
                  <w:shd w:val="clear" w:color="auto" w:fill="FFFFFF"/>
                  <w:vAlign w:val="center"/>
                </w:tcPr>
                <w:p w14:paraId="7B44F0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26.7</w:t>
                  </w:r>
                </w:p>
              </w:tc>
              <w:tc>
                <w:tcPr>
                  <w:tcW w:w="657" w:type="dxa"/>
                  <w:tcBorders>
                    <w:tl2br w:val="nil"/>
                    <w:tr2bl w:val="nil"/>
                  </w:tcBorders>
                  <w:shd w:val="clear" w:color="auto" w:fill="FFFFFF"/>
                  <w:vAlign w:val="center"/>
                </w:tcPr>
                <w:p w14:paraId="272E74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43.2</w:t>
                  </w:r>
                </w:p>
              </w:tc>
              <w:tc>
                <w:tcPr>
                  <w:tcW w:w="657" w:type="dxa"/>
                  <w:tcBorders>
                    <w:tl2br w:val="nil"/>
                    <w:tr2bl w:val="nil"/>
                  </w:tcBorders>
                  <w:shd w:val="clear" w:color="auto" w:fill="FFFFFF"/>
                  <w:vAlign w:val="center"/>
                </w:tcPr>
                <w:p w14:paraId="76D34A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34.8</w:t>
                  </w:r>
                </w:p>
              </w:tc>
              <w:tc>
                <w:tcPr>
                  <w:tcW w:w="657" w:type="dxa"/>
                  <w:tcBorders>
                    <w:tl2br w:val="nil"/>
                    <w:tr2bl w:val="nil"/>
                  </w:tcBorders>
                  <w:shd w:val="clear" w:color="auto" w:fill="FFFFFF"/>
                  <w:vAlign w:val="center"/>
                </w:tcPr>
                <w:p w14:paraId="20E6C7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662" w:type="dxa"/>
                  <w:tcBorders>
                    <w:tl2br w:val="nil"/>
                    <w:tr2bl w:val="nil"/>
                  </w:tcBorders>
                  <w:shd w:val="clear" w:color="auto" w:fill="FFFFFF"/>
                  <w:vAlign w:val="center"/>
                </w:tcPr>
                <w:p w14:paraId="7AE774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7219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1ED440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77" w:type="dxa"/>
                  <w:tcBorders>
                    <w:tl2br w:val="nil"/>
                    <w:tr2bl w:val="nil"/>
                  </w:tcBorders>
                  <w:shd w:val="clear" w:color="auto" w:fill="FFFFFF"/>
                  <w:vAlign w:val="center"/>
                </w:tcPr>
                <w:p w14:paraId="2D40AF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怡海花园·富泽园</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号楼</w:t>
                  </w:r>
                </w:p>
              </w:tc>
              <w:tc>
                <w:tcPr>
                  <w:tcW w:w="657" w:type="dxa"/>
                  <w:tcBorders>
                    <w:tl2br w:val="nil"/>
                    <w:tr2bl w:val="nil"/>
                  </w:tcBorders>
                  <w:shd w:val="clear" w:color="auto" w:fill="FFFFFF"/>
                  <w:vAlign w:val="center"/>
                </w:tcPr>
                <w:p w14:paraId="238799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50.7</w:t>
                  </w:r>
                </w:p>
              </w:tc>
              <w:tc>
                <w:tcPr>
                  <w:tcW w:w="657" w:type="dxa"/>
                  <w:tcBorders>
                    <w:tl2br w:val="nil"/>
                    <w:tr2bl w:val="nil"/>
                  </w:tcBorders>
                  <w:shd w:val="clear" w:color="auto" w:fill="FFFFFF"/>
                  <w:vAlign w:val="center"/>
                </w:tcPr>
                <w:p w14:paraId="60A1FE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42.6</w:t>
                  </w:r>
                </w:p>
              </w:tc>
              <w:tc>
                <w:tcPr>
                  <w:tcW w:w="657" w:type="dxa"/>
                  <w:tcBorders>
                    <w:tl2br w:val="nil"/>
                    <w:tr2bl w:val="nil"/>
                  </w:tcBorders>
                  <w:shd w:val="clear" w:color="auto" w:fill="FFFFFF"/>
                  <w:vAlign w:val="center"/>
                </w:tcPr>
                <w:p w14:paraId="7D4985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657" w:type="dxa"/>
                  <w:tcBorders>
                    <w:tl2br w:val="nil"/>
                    <w:tr2bl w:val="nil"/>
                  </w:tcBorders>
                  <w:shd w:val="clear" w:color="auto" w:fill="FFFFFF"/>
                  <w:vAlign w:val="center"/>
                </w:tcPr>
                <w:p w14:paraId="608CBC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657" w:type="dxa"/>
                  <w:tcBorders>
                    <w:tl2br w:val="nil"/>
                    <w:tr2bl w:val="nil"/>
                  </w:tcBorders>
                  <w:shd w:val="clear" w:color="auto" w:fill="FFFFFF"/>
                  <w:vAlign w:val="center"/>
                </w:tcPr>
                <w:p w14:paraId="3F9CF0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25.4</w:t>
                  </w:r>
                </w:p>
              </w:tc>
              <w:tc>
                <w:tcPr>
                  <w:tcW w:w="657" w:type="dxa"/>
                  <w:tcBorders>
                    <w:tl2br w:val="nil"/>
                    <w:tr2bl w:val="nil"/>
                  </w:tcBorders>
                  <w:shd w:val="clear" w:color="auto" w:fill="FFFFFF"/>
                  <w:vAlign w:val="center"/>
                </w:tcPr>
                <w:p w14:paraId="78954F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23.0</w:t>
                  </w:r>
                </w:p>
              </w:tc>
              <w:tc>
                <w:tcPr>
                  <w:tcW w:w="657" w:type="dxa"/>
                  <w:tcBorders>
                    <w:tl2br w:val="nil"/>
                    <w:tr2bl w:val="nil"/>
                  </w:tcBorders>
                  <w:shd w:val="clear" w:color="auto" w:fill="FFFFFF"/>
                  <w:vAlign w:val="center"/>
                </w:tcPr>
                <w:p w14:paraId="5E1CBC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50.7</w:t>
                  </w:r>
                </w:p>
              </w:tc>
              <w:tc>
                <w:tcPr>
                  <w:tcW w:w="657" w:type="dxa"/>
                  <w:tcBorders>
                    <w:tl2br w:val="nil"/>
                    <w:tr2bl w:val="nil"/>
                  </w:tcBorders>
                  <w:shd w:val="clear" w:color="auto" w:fill="FFFFFF"/>
                  <w:vAlign w:val="center"/>
                </w:tcPr>
                <w:p w14:paraId="515328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42.6</w:t>
                  </w:r>
                </w:p>
              </w:tc>
              <w:tc>
                <w:tcPr>
                  <w:tcW w:w="657" w:type="dxa"/>
                  <w:tcBorders>
                    <w:tl2br w:val="nil"/>
                    <w:tr2bl w:val="nil"/>
                  </w:tcBorders>
                  <w:shd w:val="clear" w:color="auto" w:fill="FFFFFF"/>
                  <w:vAlign w:val="center"/>
                </w:tcPr>
                <w:p w14:paraId="200784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662" w:type="dxa"/>
                  <w:tcBorders>
                    <w:tl2br w:val="nil"/>
                    <w:tr2bl w:val="nil"/>
                  </w:tcBorders>
                  <w:shd w:val="clear" w:color="auto" w:fill="FFFFFF"/>
                  <w:vAlign w:val="center"/>
                </w:tcPr>
                <w:p w14:paraId="437BC4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F52C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371" w:type="dxa"/>
                  <w:tcBorders>
                    <w:tl2br w:val="nil"/>
                    <w:tr2bl w:val="nil"/>
                  </w:tcBorders>
                  <w:shd w:val="clear" w:color="auto" w:fill="FFFFFF"/>
                  <w:vAlign w:val="center"/>
                </w:tcPr>
                <w:p w14:paraId="2368DC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77" w:type="dxa"/>
                  <w:tcBorders>
                    <w:tl2br w:val="nil"/>
                    <w:tr2bl w:val="nil"/>
                  </w:tcBorders>
                  <w:shd w:val="clear" w:color="auto" w:fill="FFFFFF"/>
                  <w:vAlign w:val="center"/>
                </w:tcPr>
                <w:p w14:paraId="798620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怡海花园·富泽园</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号楼</w:t>
                  </w:r>
                </w:p>
              </w:tc>
              <w:tc>
                <w:tcPr>
                  <w:tcW w:w="657" w:type="dxa"/>
                  <w:tcBorders>
                    <w:tl2br w:val="nil"/>
                    <w:tr2bl w:val="nil"/>
                  </w:tcBorders>
                  <w:shd w:val="clear" w:color="auto" w:fill="FFFFFF"/>
                  <w:vAlign w:val="center"/>
                </w:tcPr>
                <w:p w14:paraId="52B4F7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51.3</w:t>
                  </w:r>
                </w:p>
              </w:tc>
              <w:tc>
                <w:tcPr>
                  <w:tcW w:w="657" w:type="dxa"/>
                  <w:tcBorders>
                    <w:tl2br w:val="nil"/>
                    <w:tr2bl w:val="nil"/>
                  </w:tcBorders>
                  <w:shd w:val="clear" w:color="auto" w:fill="FFFFFF"/>
                  <w:vAlign w:val="center"/>
                </w:tcPr>
                <w:p w14:paraId="550790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42.3</w:t>
                  </w:r>
                </w:p>
              </w:tc>
              <w:tc>
                <w:tcPr>
                  <w:tcW w:w="657" w:type="dxa"/>
                  <w:tcBorders>
                    <w:tl2br w:val="nil"/>
                    <w:tr2bl w:val="nil"/>
                  </w:tcBorders>
                  <w:shd w:val="clear" w:color="auto" w:fill="FFFFFF"/>
                  <w:vAlign w:val="center"/>
                </w:tcPr>
                <w:p w14:paraId="205A27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657" w:type="dxa"/>
                  <w:tcBorders>
                    <w:tl2br w:val="nil"/>
                    <w:tr2bl w:val="nil"/>
                  </w:tcBorders>
                  <w:shd w:val="clear" w:color="auto" w:fill="FFFFFF"/>
                  <w:vAlign w:val="center"/>
                </w:tcPr>
                <w:p w14:paraId="43F664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657" w:type="dxa"/>
                  <w:tcBorders>
                    <w:tl2br w:val="nil"/>
                    <w:tr2bl w:val="nil"/>
                  </w:tcBorders>
                  <w:shd w:val="clear" w:color="auto" w:fill="FFFFFF"/>
                  <w:vAlign w:val="center"/>
                </w:tcPr>
                <w:p w14:paraId="73459B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22.2</w:t>
                  </w:r>
                </w:p>
              </w:tc>
              <w:tc>
                <w:tcPr>
                  <w:tcW w:w="657" w:type="dxa"/>
                  <w:tcBorders>
                    <w:tl2br w:val="nil"/>
                    <w:tr2bl w:val="nil"/>
                  </w:tcBorders>
                  <w:shd w:val="clear" w:color="auto" w:fill="FFFFFF"/>
                  <w:vAlign w:val="center"/>
                </w:tcPr>
                <w:p w14:paraId="339495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19.8</w:t>
                  </w:r>
                </w:p>
              </w:tc>
              <w:tc>
                <w:tcPr>
                  <w:tcW w:w="657" w:type="dxa"/>
                  <w:tcBorders>
                    <w:tl2br w:val="nil"/>
                    <w:tr2bl w:val="nil"/>
                  </w:tcBorders>
                  <w:shd w:val="clear" w:color="auto" w:fill="FFFFFF"/>
                  <w:vAlign w:val="center"/>
                </w:tcPr>
                <w:p w14:paraId="3F5AB0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51.3</w:t>
                  </w:r>
                </w:p>
              </w:tc>
              <w:tc>
                <w:tcPr>
                  <w:tcW w:w="657" w:type="dxa"/>
                  <w:tcBorders>
                    <w:tl2br w:val="nil"/>
                    <w:tr2bl w:val="nil"/>
                  </w:tcBorders>
                  <w:shd w:val="clear" w:color="auto" w:fill="FFFFFF"/>
                  <w:vAlign w:val="center"/>
                </w:tcPr>
                <w:p w14:paraId="7D9D03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42.3</w:t>
                  </w:r>
                </w:p>
              </w:tc>
              <w:tc>
                <w:tcPr>
                  <w:tcW w:w="657" w:type="dxa"/>
                  <w:tcBorders>
                    <w:tl2br w:val="nil"/>
                    <w:tr2bl w:val="nil"/>
                  </w:tcBorders>
                  <w:shd w:val="clear" w:color="auto" w:fill="FFFFFF"/>
                  <w:vAlign w:val="center"/>
                </w:tcPr>
                <w:p w14:paraId="1BA034E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662" w:type="dxa"/>
                  <w:tcBorders>
                    <w:tl2br w:val="nil"/>
                    <w:tr2bl w:val="nil"/>
                  </w:tcBorders>
                  <w:shd w:val="clear" w:color="auto" w:fill="FFFFFF"/>
                  <w:vAlign w:val="center"/>
                </w:tcPr>
                <w:p w14:paraId="4F0A0E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A81C84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（4）声环境影响分析结论</w:t>
            </w:r>
          </w:p>
          <w:p w14:paraId="66FA62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无寄养服务，夜间不接诊。设住院服务，故项目有夜间运行。项目对噪声源采取合理布局。产生的噪声经减振、建筑物隔声及距离衰减作用后，项目厂界的噪声贡献值分别可以达到国家《工业企业厂界环境噪声排放标准》（GB12348-2008）中1类标准限值的要求。项目噪声传播至周围住宅楼处，对其本底噪声没有明显影响，预测值能够达到《声环境质量标准》（GB3096-2008）中1类标准要求。项目噪声对所在地声环境及周围各住宅楼居住环境影响较小。</w:t>
            </w:r>
          </w:p>
          <w:p w14:paraId="140C94A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根据《排污单位自行监测技术指南 总则》（HJ 819-2017），项目噪声监测计划见下表中所示，由于项目东厂界、西厂界均位于商业建筑内部，与其他商业单位紧邻，故项目运行期噪声监测计划仅对南侧和北侧厂界进行。</w:t>
            </w:r>
          </w:p>
          <w:p w14:paraId="3C0FD8B9">
            <w:pPr>
              <w:pStyle w:val="11"/>
              <w:bidi w:val="0"/>
              <w:rPr>
                <w:rFonts w:hint="default"/>
                <w:lang w:val="en-US" w:eastAsia="zh-CN"/>
              </w:rPr>
            </w:pPr>
            <w:r>
              <w:rPr>
                <w:rFonts w:hint="eastAsia"/>
                <w:lang w:val="en-US" w:eastAsia="zh-CN"/>
              </w:rPr>
              <w:t>表4-15 本项目噪声监测计划</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545"/>
              <w:gridCol w:w="1710"/>
              <w:gridCol w:w="1125"/>
              <w:gridCol w:w="2888"/>
            </w:tblGrid>
            <w:tr w14:paraId="68115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53DC5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545" w:type="dxa"/>
                  <w:tcBorders>
                    <w:tl2br w:val="nil"/>
                    <w:tr2bl w:val="nil"/>
                  </w:tcBorders>
                  <w:vAlign w:val="center"/>
                </w:tcPr>
                <w:p w14:paraId="0DE7A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1710" w:type="dxa"/>
                  <w:tcBorders>
                    <w:tl2br w:val="nil"/>
                    <w:tr2bl w:val="nil"/>
                  </w:tcBorders>
                  <w:vAlign w:val="center"/>
                </w:tcPr>
                <w:p w14:paraId="60EBEB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125" w:type="dxa"/>
                  <w:tcBorders>
                    <w:tl2br w:val="nil"/>
                    <w:tr2bl w:val="nil"/>
                  </w:tcBorders>
                  <w:vAlign w:val="center"/>
                </w:tcPr>
                <w:p w14:paraId="68E3F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2888" w:type="dxa"/>
                  <w:tcBorders>
                    <w:tl2br w:val="nil"/>
                    <w:tr2bl w:val="nil"/>
                  </w:tcBorders>
                  <w:vAlign w:val="center"/>
                </w:tcPr>
                <w:p w14:paraId="682F2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执行标准</w:t>
                  </w:r>
                </w:p>
              </w:tc>
            </w:tr>
            <w:tr w14:paraId="0DDB93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tcBorders>
                    <w:tl2br w:val="nil"/>
                    <w:tr2bl w:val="nil"/>
                  </w:tcBorders>
                  <w:vAlign w:val="center"/>
                </w:tcPr>
                <w:p w14:paraId="1DC6C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545" w:type="dxa"/>
                  <w:tcBorders>
                    <w:tl2br w:val="nil"/>
                    <w:tr2bl w:val="nil"/>
                  </w:tcBorders>
                  <w:vAlign w:val="center"/>
                </w:tcPr>
                <w:p w14:paraId="2CDA6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项目所在楼南、北厂界外1m</w:t>
                  </w:r>
                </w:p>
              </w:tc>
              <w:tc>
                <w:tcPr>
                  <w:tcW w:w="1710" w:type="dxa"/>
                  <w:tcBorders>
                    <w:tl2br w:val="nil"/>
                    <w:tr2bl w:val="nil"/>
                  </w:tcBorders>
                  <w:vAlign w:val="center"/>
                </w:tcPr>
                <w:p w14:paraId="04712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等效连续A声级</w:t>
                  </w:r>
                </w:p>
              </w:tc>
              <w:tc>
                <w:tcPr>
                  <w:tcW w:w="1125" w:type="dxa"/>
                  <w:tcBorders>
                    <w:tl2br w:val="nil"/>
                    <w:tr2bl w:val="nil"/>
                  </w:tcBorders>
                  <w:vAlign w:val="center"/>
                </w:tcPr>
                <w:p w14:paraId="25C75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1次/季度</w:t>
                  </w:r>
                </w:p>
              </w:tc>
              <w:tc>
                <w:tcPr>
                  <w:tcW w:w="2888" w:type="dxa"/>
                  <w:tcBorders>
                    <w:tl2br w:val="nil"/>
                    <w:tr2bl w:val="nil"/>
                  </w:tcBorders>
                  <w:vAlign w:val="center"/>
                </w:tcPr>
                <w:p w14:paraId="7B62C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《工业企业厂界环境噪声排放标准》（GB12348-2008）中1类标准</w:t>
                  </w:r>
                </w:p>
              </w:tc>
            </w:tr>
            <w:tr w14:paraId="69B341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3" w:type="dxa"/>
                  <w:gridSpan w:val="5"/>
                  <w:tcBorders>
                    <w:tl2br w:val="nil"/>
                    <w:tr2bl w:val="nil"/>
                  </w:tcBorders>
                  <w:vAlign w:val="center"/>
                </w:tcPr>
                <w:p w14:paraId="3A2AA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sz w:val="21"/>
                      <w:szCs w:val="21"/>
                      <w:vertAlign w:val="baseline"/>
                      <w:lang w:val="en-US" w:eastAsia="zh-CN"/>
                    </w:rPr>
                  </w:pPr>
                  <w:r>
                    <w:rPr>
                      <w:rFonts w:hint="eastAsia"/>
                      <w:sz w:val="21"/>
                      <w:szCs w:val="21"/>
                      <w:vertAlign w:val="baseline"/>
                      <w:lang w:val="en-US" w:eastAsia="zh-CN"/>
                    </w:rPr>
                    <w:t>注：在有公众对项目投诉的情况时，建设单位应按照相关要求增加监测频次。</w:t>
                  </w:r>
                </w:p>
              </w:tc>
            </w:tr>
          </w:tbl>
          <w:p w14:paraId="3AA8BBB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4、固体废物环境影响分析</w:t>
            </w:r>
          </w:p>
          <w:p w14:paraId="6F12DE4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本项目运营期产生的固体废物为危险废物（医疗废物）、一般工业固体废物和生活垃圾。</w:t>
            </w:r>
          </w:p>
          <w:p w14:paraId="5641FD9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（1）固体废物源强分析</w:t>
            </w:r>
          </w:p>
          <w:p w14:paraId="4787E96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1）危险废物（医疗废物）</w:t>
            </w:r>
          </w:p>
          <w:p w14:paraId="115B70C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国家危险废物名录》（2025年版），以及《医疗废物分类目录》（2021年版）（国卫医函[2021]238号，国家卫健委、国家生态环境部），结合该项目诊疗特性，本项目运营期间所生产的医疗废物分属于危险废物中HW01（医疗废物）类物质，必须经有资质的单位进行收集、转运及处置。医疗废物暂存于医院内的医疗废物暂存间。项目产生的医疗废物主要为感染性废物（化验后产生的废试纸、试剂盒；及沾染血液、组织液的棉球、纱布、口罩等，以及污水处理设备产生的拦截物）、病理性废物（手术后产生的动物器官、组织，包括动物血液、组织液等）、损伤性废物（一次性针头、刀片等）。项目使用的兽药根据接待情况采购并少量储备，不会出现过期药物药品，无药物性废物及化学性废物产生。</w:t>
            </w:r>
          </w:p>
          <w:p w14:paraId="1562E4BE">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根据京锐（北京）动物医院有限公司提供的验收运行数据，该医院年运行350d，接待量7000例，年产生医疗废物2.5t/a。则平均每日每只就诊动物的医疗废物产生量为0.36kg/d。则本项目预计年产生医疗废物1.38t/a。</w:t>
            </w:r>
          </w:p>
          <w:p w14:paraId="505AF759">
            <w:pPr>
              <w:pStyle w:val="11"/>
              <w:bidi w:val="0"/>
              <w:rPr>
                <w:rFonts w:hint="default"/>
                <w:lang w:val="en-US" w:eastAsia="zh-CN"/>
              </w:rPr>
            </w:pPr>
            <w:r>
              <w:rPr>
                <w:rFonts w:hint="eastAsia"/>
                <w:lang w:val="en-US" w:eastAsia="zh-CN"/>
              </w:rPr>
              <w:t>表4-16 本项目危险废物汇总表</w:t>
            </w:r>
          </w:p>
          <w:tbl>
            <w:tblPr>
              <w:tblStyle w:val="9"/>
              <w:tblW w:w="80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290"/>
              <w:gridCol w:w="855"/>
              <w:gridCol w:w="500"/>
              <w:gridCol w:w="500"/>
              <w:gridCol w:w="500"/>
              <w:gridCol w:w="1695"/>
              <w:gridCol w:w="525"/>
              <w:gridCol w:w="563"/>
              <w:gridCol w:w="803"/>
            </w:tblGrid>
            <w:tr w14:paraId="21B48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6F055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危废名称</w:t>
                  </w:r>
                </w:p>
              </w:tc>
              <w:tc>
                <w:tcPr>
                  <w:tcW w:w="1290" w:type="dxa"/>
                  <w:tcBorders>
                    <w:tl2br w:val="nil"/>
                    <w:tr2bl w:val="nil"/>
                  </w:tcBorders>
                  <w:vAlign w:val="center"/>
                </w:tcPr>
                <w:p w14:paraId="17446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危废代码</w:t>
                  </w:r>
                </w:p>
              </w:tc>
              <w:tc>
                <w:tcPr>
                  <w:tcW w:w="855" w:type="dxa"/>
                  <w:tcBorders>
                    <w:tl2br w:val="nil"/>
                    <w:tr2bl w:val="nil"/>
                  </w:tcBorders>
                  <w:vAlign w:val="center"/>
                </w:tcPr>
                <w:p w14:paraId="279E5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w:t>
                  </w:r>
                </w:p>
              </w:tc>
              <w:tc>
                <w:tcPr>
                  <w:tcW w:w="500" w:type="dxa"/>
                  <w:tcBorders>
                    <w:tl2br w:val="nil"/>
                    <w:tr2bl w:val="nil"/>
                  </w:tcBorders>
                  <w:vAlign w:val="center"/>
                </w:tcPr>
                <w:p w14:paraId="3BB33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产生工序</w:t>
                  </w:r>
                </w:p>
              </w:tc>
              <w:tc>
                <w:tcPr>
                  <w:tcW w:w="500" w:type="dxa"/>
                  <w:tcBorders>
                    <w:tl2br w:val="nil"/>
                    <w:tr2bl w:val="nil"/>
                  </w:tcBorders>
                  <w:vAlign w:val="center"/>
                </w:tcPr>
                <w:p w14:paraId="002BF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形态</w:t>
                  </w:r>
                </w:p>
              </w:tc>
              <w:tc>
                <w:tcPr>
                  <w:tcW w:w="500" w:type="dxa"/>
                  <w:tcBorders>
                    <w:tl2br w:val="nil"/>
                    <w:tr2bl w:val="nil"/>
                  </w:tcBorders>
                  <w:vAlign w:val="center"/>
                </w:tcPr>
                <w:p w14:paraId="565E5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主要成分</w:t>
                  </w:r>
                </w:p>
              </w:tc>
              <w:tc>
                <w:tcPr>
                  <w:tcW w:w="1695" w:type="dxa"/>
                  <w:tcBorders>
                    <w:tl2br w:val="nil"/>
                    <w:tr2bl w:val="nil"/>
                  </w:tcBorders>
                  <w:vAlign w:val="center"/>
                </w:tcPr>
                <w:p w14:paraId="6BE2E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有害成分</w:t>
                  </w:r>
                </w:p>
              </w:tc>
              <w:tc>
                <w:tcPr>
                  <w:tcW w:w="525" w:type="dxa"/>
                  <w:tcBorders>
                    <w:tl2br w:val="nil"/>
                    <w:tr2bl w:val="nil"/>
                  </w:tcBorders>
                  <w:vAlign w:val="center"/>
                </w:tcPr>
                <w:p w14:paraId="6E4D2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产废周期</w:t>
                  </w:r>
                </w:p>
              </w:tc>
              <w:tc>
                <w:tcPr>
                  <w:tcW w:w="563" w:type="dxa"/>
                  <w:tcBorders>
                    <w:tl2br w:val="nil"/>
                    <w:tr2bl w:val="nil"/>
                  </w:tcBorders>
                  <w:vAlign w:val="center"/>
                </w:tcPr>
                <w:p w14:paraId="02B20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危险特性</w:t>
                  </w:r>
                </w:p>
              </w:tc>
              <w:tc>
                <w:tcPr>
                  <w:tcW w:w="803" w:type="dxa"/>
                  <w:tcBorders>
                    <w:tl2br w:val="nil"/>
                    <w:tr2bl w:val="nil"/>
                  </w:tcBorders>
                  <w:vAlign w:val="center"/>
                </w:tcPr>
                <w:p w14:paraId="0064D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污染防治措施</w:t>
                  </w:r>
                </w:p>
              </w:tc>
            </w:tr>
            <w:tr w14:paraId="4578B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restart"/>
                  <w:tcBorders>
                    <w:tl2br w:val="nil"/>
                    <w:tr2bl w:val="nil"/>
                  </w:tcBorders>
                  <w:vAlign w:val="center"/>
                </w:tcPr>
                <w:p w14:paraId="34C01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医疗废物HW01</w:t>
                  </w:r>
                </w:p>
              </w:tc>
              <w:tc>
                <w:tcPr>
                  <w:tcW w:w="1290" w:type="dxa"/>
                  <w:tcBorders>
                    <w:tl2br w:val="nil"/>
                    <w:tr2bl w:val="nil"/>
                  </w:tcBorders>
                  <w:vAlign w:val="center"/>
                </w:tcPr>
                <w:p w14:paraId="73FC5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感染性废物841-001-01</w:t>
                  </w:r>
                </w:p>
              </w:tc>
              <w:tc>
                <w:tcPr>
                  <w:tcW w:w="855" w:type="dxa"/>
                  <w:vMerge w:val="restart"/>
                  <w:tcBorders>
                    <w:tl2br w:val="nil"/>
                    <w:tr2bl w:val="nil"/>
                  </w:tcBorders>
                  <w:vAlign w:val="center"/>
                </w:tcPr>
                <w:p w14:paraId="42AA4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1.38t/a</w:t>
                  </w:r>
                </w:p>
              </w:tc>
              <w:tc>
                <w:tcPr>
                  <w:tcW w:w="500" w:type="dxa"/>
                  <w:vMerge w:val="restart"/>
                  <w:tcBorders>
                    <w:tl2br w:val="nil"/>
                    <w:tr2bl w:val="nil"/>
                  </w:tcBorders>
                  <w:vAlign w:val="center"/>
                </w:tcPr>
                <w:p w14:paraId="37367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动物诊疗</w:t>
                  </w:r>
                </w:p>
              </w:tc>
              <w:tc>
                <w:tcPr>
                  <w:tcW w:w="500" w:type="dxa"/>
                  <w:vMerge w:val="restart"/>
                  <w:tcBorders>
                    <w:tl2br w:val="nil"/>
                    <w:tr2bl w:val="nil"/>
                  </w:tcBorders>
                  <w:vAlign w:val="center"/>
                </w:tcPr>
                <w:p w14:paraId="24693E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固态</w:t>
                  </w:r>
                </w:p>
              </w:tc>
              <w:tc>
                <w:tcPr>
                  <w:tcW w:w="500" w:type="dxa"/>
                  <w:vMerge w:val="restart"/>
                  <w:tcBorders>
                    <w:tl2br w:val="nil"/>
                    <w:tr2bl w:val="nil"/>
                  </w:tcBorders>
                  <w:vAlign w:val="center"/>
                </w:tcPr>
                <w:p w14:paraId="4B099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w:t>
                  </w:r>
                </w:p>
              </w:tc>
              <w:tc>
                <w:tcPr>
                  <w:tcW w:w="1695" w:type="dxa"/>
                  <w:tcBorders>
                    <w:tl2br w:val="nil"/>
                    <w:tr2bl w:val="nil"/>
                  </w:tcBorders>
                  <w:vAlign w:val="center"/>
                </w:tcPr>
                <w:p w14:paraId="794C2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废试纸、试剂盒；患病动物血液、组织液；及沾染血液、组织液的棉球、纱布、口罩。污水处理设备拦截物</w:t>
                  </w:r>
                </w:p>
              </w:tc>
              <w:tc>
                <w:tcPr>
                  <w:tcW w:w="525" w:type="dxa"/>
                  <w:vMerge w:val="restart"/>
                  <w:tcBorders>
                    <w:tl2br w:val="nil"/>
                    <w:tr2bl w:val="nil"/>
                  </w:tcBorders>
                  <w:vAlign w:val="center"/>
                </w:tcPr>
                <w:p w14:paraId="1178D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每日</w:t>
                  </w:r>
                </w:p>
              </w:tc>
              <w:tc>
                <w:tcPr>
                  <w:tcW w:w="563" w:type="dxa"/>
                  <w:tcBorders>
                    <w:tl2br w:val="nil"/>
                    <w:tr2bl w:val="nil"/>
                  </w:tcBorders>
                  <w:vAlign w:val="center"/>
                </w:tcPr>
                <w:p w14:paraId="3F376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In</w:t>
                  </w:r>
                </w:p>
              </w:tc>
              <w:tc>
                <w:tcPr>
                  <w:tcW w:w="803" w:type="dxa"/>
                  <w:vMerge w:val="restart"/>
                  <w:tcBorders>
                    <w:tl2br w:val="nil"/>
                    <w:tr2bl w:val="nil"/>
                  </w:tcBorders>
                  <w:vAlign w:val="center"/>
                </w:tcPr>
                <w:p w14:paraId="5B577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设置专门的暂存间（设施），防渗措施，张贴标识，定期委托</w:t>
                  </w:r>
                </w:p>
              </w:tc>
            </w:tr>
            <w:tr w14:paraId="199E5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vAlign w:val="center"/>
                </w:tcPr>
                <w:p w14:paraId="71115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90" w:type="dxa"/>
                  <w:tcBorders>
                    <w:tl2br w:val="nil"/>
                    <w:tr2bl w:val="nil"/>
                  </w:tcBorders>
                  <w:vAlign w:val="center"/>
                </w:tcPr>
                <w:p w14:paraId="1F3B8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损伤性废物841-002-01</w:t>
                  </w:r>
                </w:p>
              </w:tc>
              <w:tc>
                <w:tcPr>
                  <w:tcW w:w="855" w:type="dxa"/>
                  <w:vMerge w:val="continue"/>
                  <w:tcBorders>
                    <w:tl2br w:val="nil"/>
                    <w:tr2bl w:val="nil"/>
                  </w:tcBorders>
                  <w:vAlign w:val="center"/>
                </w:tcPr>
                <w:p w14:paraId="67BCB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08631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318C9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26C6E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95" w:type="dxa"/>
                  <w:tcBorders>
                    <w:tl2br w:val="nil"/>
                    <w:tr2bl w:val="nil"/>
                  </w:tcBorders>
                  <w:vAlign w:val="center"/>
                </w:tcPr>
                <w:p w14:paraId="1E9E3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废手术刀、注射器、输液器针头等物品</w:t>
                  </w:r>
                </w:p>
              </w:tc>
              <w:tc>
                <w:tcPr>
                  <w:tcW w:w="525" w:type="dxa"/>
                  <w:vMerge w:val="continue"/>
                  <w:tcBorders>
                    <w:tl2br w:val="nil"/>
                    <w:tr2bl w:val="nil"/>
                  </w:tcBorders>
                  <w:vAlign w:val="center"/>
                </w:tcPr>
                <w:p w14:paraId="13E21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63" w:type="dxa"/>
                  <w:tcBorders>
                    <w:tl2br w:val="nil"/>
                    <w:tr2bl w:val="nil"/>
                  </w:tcBorders>
                  <w:vAlign w:val="center"/>
                </w:tcPr>
                <w:p w14:paraId="19B40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In</w:t>
                  </w:r>
                </w:p>
              </w:tc>
              <w:tc>
                <w:tcPr>
                  <w:tcW w:w="803" w:type="dxa"/>
                  <w:vMerge w:val="continue"/>
                  <w:tcBorders>
                    <w:tl2br w:val="nil"/>
                    <w:tr2bl w:val="nil"/>
                  </w:tcBorders>
                  <w:vAlign w:val="center"/>
                </w:tcPr>
                <w:p w14:paraId="7EDDD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528B38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vMerge w:val="continue"/>
                  <w:tcBorders>
                    <w:tl2br w:val="nil"/>
                    <w:tr2bl w:val="nil"/>
                  </w:tcBorders>
                  <w:vAlign w:val="center"/>
                </w:tcPr>
                <w:p w14:paraId="5AE64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90" w:type="dxa"/>
                  <w:tcBorders>
                    <w:tl2br w:val="nil"/>
                    <w:tr2bl w:val="nil"/>
                  </w:tcBorders>
                  <w:vAlign w:val="center"/>
                </w:tcPr>
                <w:p w14:paraId="0234A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病理性废物841-003-01</w:t>
                  </w:r>
                </w:p>
              </w:tc>
              <w:tc>
                <w:tcPr>
                  <w:tcW w:w="855" w:type="dxa"/>
                  <w:vMerge w:val="continue"/>
                  <w:tcBorders>
                    <w:tl2br w:val="nil"/>
                    <w:tr2bl w:val="nil"/>
                  </w:tcBorders>
                  <w:vAlign w:val="center"/>
                </w:tcPr>
                <w:p w14:paraId="2117E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22485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3DB794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00" w:type="dxa"/>
                  <w:vMerge w:val="continue"/>
                  <w:tcBorders>
                    <w:tl2br w:val="nil"/>
                    <w:tr2bl w:val="nil"/>
                  </w:tcBorders>
                  <w:vAlign w:val="center"/>
                </w:tcPr>
                <w:p w14:paraId="75CF8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695" w:type="dxa"/>
                  <w:tcBorders>
                    <w:tl2br w:val="nil"/>
                    <w:tr2bl w:val="nil"/>
                  </w:tcBorders>
                  <w:vAlign w:val="center"/>
                </w:tcPr>
                <w:p w14:paraId="15BFD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动物器官、组织，包括动物血液、组织液</w:t>
                  </w:r>
                </w:p>
              </w:tc>
              <w:tc>
                <w:tcPr>
                  <w:tcW w:w="525" w:type="dxa"/>
                  <w:vMerge w:val="continue"/>
                  <w:tcBorders>
                    <w:tl2br w:val="nil"/>
                    <w:tr2bl w:val="nil"/>
                  </w:tcBorders>
                  <w:vAlign w:val="center"/>
                </w:tcPr>
                <w:p w14:paraId="61BE0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563" w:type="dxa"/>
                  <w:tcBorders>
                    <w:tl2br w:val="nil"/>
                    <w:tr2bl w:val="nil"/>
                  </w:tcBorders>
                  <w:vAlign w:val="center"/>
                </w:tcPr>
                <w:p w14:paraId="22FCB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In</w:t>
                  </w:r>
                </w:p>
              </w:tc>
              <w:tc>
                <w:tcPr>
                  <w:tcW w:w="803" w:type="dxa"/>
                  <w:vMerge w:val="continue"/>
                  <w:tcBorders>
                    <w:tl2br w:val="nil"/>
                    <w:tr2bl w:val="nil"/>
                  </w:tcBorders>
                  <w:vAlign w:val="center"/>
                </w:tcPr>
                <w:p w14:paraId="2A067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bl>
          <w:p w14:paraId="0B0954B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2）一般工业固体废物</w:t>
            </w:r>
          </w:p>
          <w:p w14:paraId="6C32D30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使用的手术刀、镊子、手套、口罩、试纸、试剂盒等医疗器械的包装物和各类耗材的包装物，属于一般工业固体废物。根据建设单位提供数据，该类废物年产生量为0.2t/a。该类废物分类收集后，交由废品回收站回收再利用。异味净化系统中的废活性炭，年用量4kg（0.004t/a），由生产厂家回收再利用。其处置符合《一般工业固体废物贮存和填埋污染控制标准》（GB18599-2020）等规定中的要求。</w:t>
            </w:r>
          </w:p>
          <w:p w14:paraId="56F1852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3）生活垃圾</w:t>
            </w:r>
          </w:p>
          <w:p w14:paraId="52233A5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工作定员8人，以每人每天0.5kg/d计，则本项目生活垃圾产生量为4kg/d，即0.96t/a，建设单位分类收集，妥善储存，委托当地环卫机构定期清运。建设单位应对生活垃圾严格按照《北京市生活垃圾管理条例》（2020年9月25日修正）的要求，做好垃圾分类收集。定时清运至环卫部门指定的垃圾消纳场所。</w:t>
            </w:r>
          </w:p>
          <w:p w14:paraId="1D8A721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（2）环境管理要求</w:t>
            </w:r>
          </w:p>
          <w:p w14:paraId="769703C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1）危险废物（医疗废物）贮存场所环境影响分析及治理措施</w:t>
            </w:r>
          </w:p>
          <w:p w14:paraId="3BC8BE7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①选址可行性</w:t>
            </w:r>
          </w:p>
          <w:p w14:paraId="5C57F3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建设单位已按照《中华人民共和国固体废物污染环境防治法》（2020年版）、《危险废物贮存污染控制标准》（GB18597-2023）、《北京市危险废物污染环境防治条例》（2020年6月5日通过，2020年9月1日实施）等文件的相关规定进行危险废物暂存间的设计和建设，并做好“四防”（防风、防雨、防晒、防渗漏）。项目采用医疗废物暂存柜（暂存设施），设置在医院东侧。建设单位将危险废物暂存间（暂存设施）设置在室内，为封闭独立结构，医疗废物不露天存放，其选址是可行的。</w:t>
            </w:r>
          </w:p>
          <w:p w14:paraId="1E05852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②危险废物暂存能力</w:t>
            </w:r>
          </w:p>
          <w:p w14:paraId="77E7668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项目危险废物暂存间容积约0.3m</w:t>
            </w:r>
            <w:r>
              <w:rPr>
                <w:rFonts w:hint="eastAsia"/>
                <w:vertAlign w:val="superscript"/>
                <w:lang w:val="en-US" w:eastAsia="zh-CN"/>
              </w:rPr>
              <w:t>3</w:t>
            </w:r>
            <w:r>
              <w:rPr>
                <w:rFonts w:hint="eastAsia"/>
                <w:lang w:val="en-US" w:eastAsia="zh-CN"/>
              </w:rPr>
              <w:t>，可以同时容纳50kg的医疗废物。本项目医疗废物产生量为5.75kg/d，可以满足暂存要求，有能力暂存项目产生的医疗废物。在医院日常运行中，随时产生的医疗废物先置于黄色专用容器内，容器上张贴警示标识。每日由专人将医疗废物按照统一路线暂存至医疗废物暂存间内，并分类存放。不能及时转运的病理性废物应放置在冰箱中冷藏贮存，避免不能及时清运时产生异味和滋生细菌。</w:t>
            </w:r>
          </w:p>
          <w:p w14:paraId="6829FC9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此外，医疗废物暂存间柜门上应张贴专用警示标识。本项目医疗废物暂存间基本情况见下表。</w:t>
            </w:r>
          </w:p>
          <w:p w14:paraId="60BC1A14">
            <w:pPr>
              <w:pStyle w:val="11"/>
              <w:bidi w:val="0"/>
              <w:rPr>
                <w:rFonts w:hint="default"/>
                <w:lang w:val="en-US" w:eastAsia="zh-CN"/>
              </w:rPr>
            </w:pPr>
            <w:r>
              <w:rPr>
                <w:rFonts w:hint="eastAsia"/>
                <w:lang w:val="en-US" w:eastAsia="zh-CN"/>
              </w:rPr>
              <w:t>表4-17 本项目医疗废物暂存间基本情况汇总表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9"/>
              <w:gridCol w:w="819"/>
              <w:gridCol w:w="1245"/>
              <w:gridCol w:w="495"/>
              <w:gridCol w:w="765"/>
              <w:gridCol w:w="660"/>
              <w:gridCol w:w="645"/>
              <w:gridCol w:w="1876"/>
            </w:tblGrid>
            <w:tr w14:paraId="0830F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14:paraId="2353E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贮存场所名称</w:t>
                  </w:r>
                </w:p>
              </w:tc>
              <w:tc>
                <w:tcPr>
                  <w:tcW w:w="759" w:type="dxa"/>
                  <w:tcBorders>
                    <w:tl2br w:val="nil"/>
                    <w:tr2bl w:val="nil"/>
                  </w:tcBorders>
                  <w:vAlign w:val="center"/>
                </w:tcPr>
                <w:p w14:paraId="1BEDD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危废名称</w:t>
                  </w:r>
                </w:p>
              </w:tc>
              <w:tc>
                <w:tcPr>
                  <w:tcW w:w="819" w:type="dxa"/>
                  <w:tcBorders>
                    <w:tl2br w:val="nil"/>
                    <w:tr2bl w:val="nil"/>
                  </w:tcBorders>
                  <w:vAlign w:val="center"/>
                </w:tcPr>
                <w:p w14:paraId="468EB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危险废物类别</w:t>
                  </w:r>
                </w:p>
              </w:tc>
              <w:tc>
                <w:tcPr>
                  <w:tcW w:w="1245" w:type="dxa"/>
                  <w:tcBorders>
                    <w:tl2br w:val="nil"/>
                    <w:tr2bl w:val="nil"/>
                  </w:tcBorders>
                  <w:vAlign w:val="center"/>
                </w:tcPr>
                <w:p w14:paraId="27C50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危险废物代码</w:t>
                  </w:r>
                </w:p>
              </w:tc>
              <w:tc>
                <w:tcPr>
                  <w:tcW w:w="495" w:type="dxa"/>
                  <w:tcBorders>
                    <w:tl2br w:val="nil"/>
                    <w:tr2bl w:val="nil"/>
                  </w:tcBorders>
                  <w:vAlign w:val="center"/>
                </w:tcPr>
                <w:p w14:paraId="7E207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位置</w:t>
                  </w:r>
                </w:p>
              </w:tc>
              <w:tc>
                <w:tcPr>
                  <w:tcW w:w="765" w:type="dxa"/>
                  <w:tcBorders>
                    <w:tl2br w:val="nil"/>
                    <w:tr2bl w:val="nil"/>
                  </w:tcBorders>
                  <w:vAlign w:val="center"/>
                </w:tcPr>
                <w:p w14:paraId="461F4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使用容积</w:t>
                  </w:r>
                </w:p>
              </w:tc>
              <w:tc>
                <w:tcPr>
                  <w:tcW w:w="660" w:type="dxa"/>
                  <w:tcBorders>
                    <w:tl2br w:val="nil"/>
                    <w:tr2bl w:val="nil"/>
                  </w:tcBorders>
                  <w:vAlign w:val="center"/>
                </w:tcPr>
                <w:p w14:paraId="50DB8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贮存方式</w:t>
                  </w:r>
                </w:p>
              </w:tc>
              <w:tc>
                <w:tcPr>
                  <w:tcW w:w="645" w:type="dxa"/>
                  <w:tcBorders>
                    <w:tl2br w:val="nil"/>
                    <w:tr2bl w:val="nil"/>
                  </w:tcBorders>
                  <w:vAlign w:val="center"/>
                </w:tcPr>
                <w:p w14:paraId="1C1FBC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贮存能力</w:t>
                  </w:r>
                </w:p>
              </w:tc>
              <w:tc>
                <w:tcPr>
                  <w:tcW w:w="1876" w:type="dxa"/>
                  <w:tcBorders>
                    <w:tl2br w:val="nil"/>
                    <w:tr2bl w:val="nil"/>
                  </w:tcBorders>
                  <w:vAlign w:val="center"/>
                </w:tcPr>
                <w:p w14:paraId="0758F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贮存周期</w:t>
                  </w:r>
                </w:p>
              </w:tc>
            </w:tr>
            <w:tr w14:paraId="0CAEAB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14:paraId="0B1FC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医疗废物暂存间</w:t>
                  </w:r>
                </w:p>
              </w:tc>
              <w:tc>
                <w:tcPr>
                  <w:tcW w:w="759" w:type="dxa"/>
                  <w:tcBorders>
                    <w:tl2br w:val="nil"/>
                    <w:tr2bl w:val="nil"/>
                  </w:tcBorders>
                  <w:vAlign w:val="center"/>
                </w:tcPr>
                <w:p w14:paraId="38F52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医疗废物</w:t>
                  </w:r>
                </w:p>
              </w:tc>
              <w:tc>
                <w:tcPr>
                  <w:tcW w:w="819" w:type="dxa"/>
                  <w:tcBorders>
                    <w:tl2br w:val="nil"/>
                    <w:tr2bl w:val="nil"/>
                  </w:tcBorders>
                  <w:vAlign w:val="center"/>
                </w:tcPr>
                <w:p w14:paraId="336A8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HW01</w:t>
                  </w:r>
                </w:p>
              </w:tc>
              <w:tc>
                <w:tcPr>
                  <w:tcW w:w="1245" w:type="dxa"/>
                  <w:tcBorders>
                    <w:tl2br w:val="nil"/>
                    <w:tr2bl w:val="nil"/>
                  </w:tcBorders>
                  <w:vAlign w:val="center"/>
                </w:tcPr>
                <w:p w14:paraId="12227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841-001-01</w:t>
                  </w:r>
                </w:p>
                <w:p w14:paraId="6DA81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841-002-01</w:t>
                  </w:r>
                </w:p>
                <w:p w14:paraId="21976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841-003-01</w:t>
                  </w:r>
                </w:p>
              </w:tc>
              <w:tc>
                <w:tcPr>
                  <w:tcW w:w="495" w:type="dxa"/>
                  <w:tcBorders>
                    <w:tl2br w:val="nil"/>
                    <w:tr2bl w:val="nil"/>
                  </w:tcBorders>
                  <w:vAlign w:val="center"/>
                </w:tcPr>
                <w:p w14:paraId="663EA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东侧</w:t>
                  </w:r>
                </w:p>
              </w:tc>
              <w:tc>
                <w:tcPr>
                  <w:tcW w:w="765" w:type="dxa"/>
                  <w:tcBorders>
                    <w:tl2br w:val="nil"/>
                    <w:tr2bl w:val="nil"/>
                  </w:tcBorders>
                  <w:vAlign w:val="center"/>
                </w:tcPr>
                <w:p w14:paraId="7C616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0.3m</w:t>
                  </w:r>
                  <w:r>
                    <w:rPr>
                      <w:rFonts w:hint="eastAsia"/>
                      <w:sz w:val="21"/>
                      <w:szCs w:val="21"/>
                      <w:vertAlign w:val="superscript"/>
                      <w:lang w:val="en-US" w:eastAsia="zh-CN"/>
                    </w:rPr>
                    <w:t>3</w:t>
                  </w:r>
                </w:p>
              </w:tc>
              <w:tc>
                <w:tcPr>
                  <w:tcW w:w="660" w:type="dxa"/>
                  <w:tcBorders>
                    <w:tl2br w:val="nil"/>
                    <w:tr2bl w:val="nil"/>
                  </w:tcBorders>
                  <w:vAlign w:val="center"/>
                </w:tcPr>
                <w:p w14:paraId="67EBF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容器贮存</w:t>
                  </w:r>
                </w:p>
              </w:tc>
              <w:tc>
                <w:tcPr>
                  <w:tcW w:w="645" w:type="dxa"/>
                  <w:tcBorders>
                    <w:tl2br w:val="nil"/>
                    <w:tr2bl w:val="nil"/>
                  </w:tcBorders>
                  <w:vAlign w:val="center"/>
                </w:tcPr>
                <w:p w14:paraId="77C54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50kg</w:t>
                  </w:r>
                </w:p>
              </w:tc>
              <w:tc>
                <w:tcPr>
                  <w:tcW w:w="1876" w:type="dxa"/>
                  <w:tcBorders>
                    <w:tl2br w:val="nil"/>
                    <w:tr2bl w:val="nil"/>
                  </w:tcBorders>
                  <w:vAlign w:val="center"/>
                </w:tcPr>
                <w:p w14:paraId="34E5D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医疗废物2天清运一次病理性废物冰箱内5℃以下冷藏贮存，贮存时间不超过1周</w:t>
                  </w:r>
                </w:p>
              </w:tc>
            </w:tr>
          </w:tbl>
          <w:p w14:paraId="44F25BD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③危险废物暂存中对环境影响分析</w:t>
            </w:r>
          </w:p>
          <w:p w14:paraId="66255E3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产生的危险废物为医疗废物，包括病理性废物、损伤性废物、感染性废物。废物中不含有易挥发化学品及其他产生废气的物质，病理性废物冷藏贮存，并在规定的时限内进行转运，不会发生变质产生异味。医疗废物均进行封装，并置于医疗废物专用防腐蚀塑料桶中，不与上下水交叉，不会产生废水。医疗废物暂存设施为不锈钢材质，具有防腐蚀、防渗性能。设施放置的区域地面进行硬化处理，并采取防渗材料铺层。防渗材料宜采用高密度聚乙烯防渗层或其他材料，渗透系数K不大于1.0×10</w:t>
            </w:r>
            <w:r>
              <w:rPr>
                <w:rFonts w:hint="eastAsia"/>
                <w:vertAlign w:val="superscript"/>
                <w:lang w:val="en-US" w:eastAsia="zh-CN"/>
              </w:rPr>
              <w:t>-10</w:t>
            </w:r>
            <w:r>
              <w:rPr>
                <w:rFonts w:hint="eastAsia"/>
                <w:lang w:val="en-US" w:eastAsia="zh-CN"/>
              </w:rPr>
              <w:t>cm/s。项目产生的医疗废物不会发生渗漏污染地下水体及土壤的情形。</w:t>
            </w:r>
          </w:p>
          <w:p w14:paraId="08713BBD">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2）运输过程的环境影响分析及治理措施</w:t>
            </w:r>
          </w:p>
          <w:p w14:paraId="01C7B22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诊室、手术室、化验室等产生医疗废物的地点（房间）均设置医疗废物收集容器，随时产生的医疗废物先存放在该容器中。每日运行结束后，由负责专门岗位的人员按照既定设计路线，检查医疗废物收集情况，并将各个暂存容器集中转运至医疗废物暂存间，并进行分类存放。内部转移路线全部在室内，不会发生遗撒、散落污染外环境及环境保护目标的情况。</w:t>
            </w:r>
          </w:p>
          <w:p w14:paraId="163834E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建设单位还须记录台账，对进出库的医疗废物进行数量、名称、类别、暂存时间、管理人员等信息的记录。</w:t>
            </w:r>
          </w:p>
          <w:p w14:paraId="5EF4431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3）委托处置危险废物的环境影响分析及治理措施</w:t>
            </w:r>
          </w:p>
          <w:p w14:paraId="6A42A08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危险废物不进行利用或自行处置，采取委托具有相关运输与处置资质的单位进行委托处置。建设单位已和北京光凯祥瑞环保科技有限公司签订了委托处置协议，由该资质单位对医疗废物进行清运、处置。进行清运时，要与所委托单位的运送人员交接填写危险废物转移联单。本项目医疗废物应提前做好包装、标示，并盛于周转箱内。</w:t>
            </w:r>
          </w:p>
          <w:p w14:paraId="72E667D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北京光凯祥瑞环保科技有限公司经营危险废物类别为HW01（医疗废物），经营方式为：收集、贮存、处置，经营规模为5000t/a，有效期在2024年01月01日至2025年12月31日。本项目产生的危险废物类别为HW01（医疗废物），符合北京光凯祥瑞环保科技有限公司处置的危险废物的类别；本项目产生的医疗废物由北京光凯祥瑞环保科技有限公司定期收集、处置，符合北京光凯祥瑞环保科技有限公司的经营方式；本项目医疗废物产生量1.38t/a，仅占北京光凯祥瑞环保科技有限公司处理能力的0.0276%，北京光凯祥瑞环保科技有限公司有能力处置项目产生的医疗废物。</w:t>
            </w:r>
          </w:p>
          <w:p w14:paraId="6545A626">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4）危险废物日常管理要求</w:t>
            </w:r>
          </w:p>
          <w:p w14:paraId="1989EDA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建设单位应定期开展对员工的培训教育，了解相关法律法规，制定相关的操作规程。医疗废物与其他废物不得混放，必须使用专用容器盛放，并暂存至医疗废物暂存间。暂存间由专人进行管理，日常为锁闭状态。每日由专职工作人员进行废物转移至暂存间，并进行分类暂存。医疗废物出入库时需要如实记录台账登记，并在与转运处置单位交接时做好转移联单。在日常管理中，应由专人定期检查医疗废物暂存间及所在区域的地面、墙面有无破损裂缝，暂存容器是否老化腐蚀或包装袋是否出现破损。如出现问题，应采取及时进行修复或购置新容器等措施。</w:t>
            </w:r>
          </w:p>
          <w:p w14:paraId="5521394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5）一般工业固废治理措施</w:t>
            </w:r>
          </w:p>
          <w:p w14:paraId="6CF4181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应按照《中华人民共和国固体废物污染环境防治法》（2020年版）、《一般工业固体废物贮存和填埋污染控制标准》（GB18599-2020）等规定中的要求对该类废物进行处置，建设单位将项目产生的废活性炭交由生产厂家回收再利用，不直接向外环境排放。</w:t>
            </w:r>
          </w:p>
          <w:p w14:paraId="48F9414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6）生活垃圾治理措施</w:t>
            </w:r>
          </w:p>
          <w:p w14:paraId="2B39A9EB">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项目生活垃圾按照《中华人民共和国固体废物污染环境防治法》（2020年版）、《北京市生活垃圾管理条例》（2020年9月25日修正）的要求采取分类收集，妥善储存，及时清运至物业及环卫部门指定场所。</w:t>
            </w:r>
          </w:p>
          <w:p w14:paraId="7B4121E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（3）固体废物环境影响分析结论</w:t>
            </w:r>
          </w:p>
          <w:p w14:paraId="4FACBA6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对生活垃圾，以及一般工业固体废物的处置能够满足《中华人民共和国固体废物污染环境防治法》（2020年版）、《北京市生活垃圾管理条例》（2020年9月25日修正），以及《一般工业固体废物贮存和填埋污染控制标准》（GB18599-2020）等相关规定。对医疗废物的收集、暂存及委托转运处置，能够满足《医疗废物管理条例》（中华人民共和国国务院令第380 号令）、《危险废物贮存污染控制标准》（GB18597-2023）、《北京市危险废物污染环境防治条例》（2020年6月5日通过，2020年9月1日实施）等相关规定的要求。建设单位对固体废物加强管理，及时妥善处理，运营期固体废物对周围环境影响较小。</w:t>
            </w:r>
          </w:p>
          <w:p w14:paraId="63296CB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5、地下水、土壤环境影响分析</w:t>
            </w:r>
          </w:p>
          <w:p w14:paraId="3BC94AB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运营过程中，所排废水包括生活污水、动物诊疗废水、美容洗浴废水。诊疗废水、美容洗浴废水经消毒处理后，与生活污水等一同排入所在建筑集中防渗化粪池预处理，最终经市政污水管网进入小红门再生水厂集中处理。项目污水处理设备安装区、污水管道及医疗废物暂存间及所在区域的地面均采取严格的防渗措施。</w:t>
            </w:r>
          </w:p>
          <w:p w14:paraId="47275043">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（1）重点防渗区防渗措施</w:t>
            </w:r>
          </w:p>
          <w:p w14:paraId="48C5992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1）污水处理设备</w:t>
            </w:r>
          </w:p>
          <w:p w14:paraId="4723859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①污水处理设施内设自动水量、水位监测仪器以及高位报警器，对水量和水位进行监测，当出现水量、水位变动较大时，及时采取相应措施；</w:t>
            </w:r>
          </w:p>
          <w:p w14:paraId="02060131">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②污水管道采用防渗、防腐管材。污水处理设备安装区宜采用高密度聚乙烯防渗层或其他材料进行防渗处理，材料的渗透系数K不大于1.0×10</w:t>
            </w:r>
            <w:r>
              <w:rPr>
                <w:rFonts w:hint="eastAsia"/>
                <w:vertAlign w:val="superscript"/>
                <w:lang w:val="en-US" w:eastAsia="zh-CN"/>
              </w:rPr>
              <w:t>-10</w:t>
            </w:r>
            <w:r>
              <w:rPr>
                <w:rFonts w:hint="eastAsia"/>
                <w:lang w:val="en-US" w:eastAsia="zh-CN"/>
              </w:rPr>
              <w:t>cm/s。</w:t>
            </w:r>
          </w:p>
          <w:p w14:paraId="6F0446E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2）医疗废物暂存间</w:t>
            </w:r>
          </w:p>
          <w:p w14:paraId="0FAB0538">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医疗废物暂存间内暂存的医疗废物均严格执行《医疗废物管理条例》，及时收集本单位产生的医疗废物，并按类别分置于防渗漏、防锐器穿透的专用包装物或者密闭的容器内，防止其中的液体渗漏；对垃圾收集区进行地面硬化，对医疗废物暂存间放置的区域进行地面硬化和防渗处理。防渗材料宜采用高密度聚乙烯防渗层或其他材料进行防渗处理，材料的渗透系数K不大于1.0×10</w:t>
            </w:r>
            <w:r>
              <w:rPr>
                <w:rFonts w:hint="eastAsia"/>
                <w:vertAlign w:val="superscript"/>
                <w:lang w:val="en-US" w:eastAsia="zh-CN"/>
              </w:rPr>
              <w:t>-10</w:t>
            </w:r>
            <w:r>
              <w:rPr>
                <w:rFonts w:hint="eastAsia"/>
                <w:lang w:val="en-US" w:eastAsia="zh-CN"/>
              </w:rPr>
              <w:t>cm/s。</w:t>
            </w:r>
          </w:p>
          <w:p w14:paraId="0F50A7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（2）一般防渗区防渗措施</w:t>
            </w:r>
          </w:p>
          <w:p w14:paraId="26239D47">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本项目涉及有上下水管路房间的地面拟采取防渗处理，材料的渗透系数K不大于1.0×10</w:t>
            </w:r>
            <w:r>
              <w:rPr>
                <w:rFonts w:hint="eastAsia"/>
                <w:vertAlign w:val="superscript"/>
                <w:lang w:val="en-US" w:eastAsia="zh-CN"/>
              </w:rPr>
              <w:t>-7</w:t>
            </w:r>
            <w:r>
              <w:rPr>
                <w:rFonts w:hint="eastAsia"/>
                <w:lang w:val="en-US" w:eastAsia="zh-CN"/>
              </w:rPr>
              <w:t>cm/s。</w:t>
            </w:r>
          </w:p>
          <w:p w14:paraId="41A568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建设单位注意固体废物尤其是危险废物的及时回收与处理，生活垃圾设置密封垃圾箱，均不在露天堆放，并及时外运处理，以避免对地下水及土壤环境造成影响的可能。在保障各项防渗措施及其他管理措施治理效果的情况下，本项目不存在对地下水及土壤造成环境污染的途径。</w:t>
            </w:r>
          </w:p>
          <w:p w14:paraId="63E8674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b/>
                <w:bCs/>
                <w:lang w:val="en-US" w:eastAsia="zh-CN"/>
              </w:rPr>
              <w:t>6、环境风险影响分析</w:t>
            </w:r>
          </w:p>
          <w:p w14:paraId="2F31426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本项目具有一定的危险性，存在发生火灾、爆炸、原料泄漏等突发性风险事故的可能性。</w:t>
            </w:r>
          </w:p>
          <w:p w14:paraId="30A5F42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（1）风险源调查</w:t>
            </w:r>
          </w:p>
          <w:p w14:paraId="6A36558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根据《建设项目环境风险评价技术导则》（HJ 169-2018）附录B重点关注的危险物质及临界量，以及《企业突发环境事件风险分级方法》（HJ 941-2018）附录A突发环境事件风险物质及临界量清单，对拟建项目涉及到的物质进行识别。本项目危险物质调查结果见下表。</w:t>
            </w:r>
          </w:p>
          <w:p w14:paraId="42A3DC7D">
            <w:pPr>
              <w:pStyle w:val="11"/>
              <w:bidi w:val="0"/>
              <w:rPr>
                <w:rFonts w:hint="default"/>
                <w:highlight w:val="none"/>
                <w:lang w:val="en-US" w:eastAsia="zh-CN"/>
              </w:rPr>
            </w:pPr>
            <w:r>
              <w:rPr>
                <w:rFonts w:hint="eastAsia"/>
                <w:highlight w:val="none"/>
                <w:lang w:val="en-US" w:eastAsia="zh-CN"/>
              </w:rPr>
              <w:t>表4-18 危险物质汇总表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500"/>
              <w:gridCol w:w="1395"/>
              <w:gridCol w:w="1365"/>
              <w:gridCol w:w="1290"/>
              <w:gridCol w:w="930"/>
              <w:gridCol w:w="886"/>
            </w:tblGrid>
            <w:tr w14:paraId="772F1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10945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序号</w:t>
                  </w:r>
                </w:p>
              </w:tc>
              <w:tc>
                <w:tcPr>
                  <w:tcW w:w="1500" w:type="dxa"/>
                  <w:tcBorders>
                    <w:tl2br w:val="nil"/>
                    <w:tr2bl w:val="nil"/>
                  </w:tcBorders>
                  <w:vAlign w:val="center"/>
                </w:tcPr>
                <w:p w14:paraId="1D681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名称</w:t>
                  </w:r>
                </w:p>
              </w:tc>
              <w:tc>
                <w:tcPr>
                  <w:tcW w:w="1395" w:type="dxa"/>
                  <w:tcBorders>
                    <w:tl2br w:val="nil"/>
                    <w:tr2bl w:val="nil"/>
                  </w:tcBorders>
                  <w:vAlign w:val="center"/>
                </w:tcPr>
                <w:p w14:paraId="56E3B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HJ169对照</w:t>
                  </w:r>
                </w:p>
              </w:tc>
              <w:tc>
                <w:tcPr>
                  <w:tcW w:w="1365" w:type="dxa"/>
                  <w:tcBorders>
                    <w:tl2br w:val="nil"/>
                    <w:tr2bl w:val="nil"/>
                  </w:tcBorders>
                  <w:vAlign w:val="center"/>
                </w:tcPr>
                <w:p w14:paraId="0A001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存放位置</w:t>
                  </w:r>
                </w:p>
              </w:tc>
              <w:tc>
                <w:tcPr>
                  <w:tcW w:w="1290" w:type="dxa"/>
                  <w:tcBorders>
                    <w:tl2br w:val="nil"/>
                    <w:tr2bl w:val="nil"/>
                  </w:tcBorders>
                  <w:vAlign w:val="center"/>
                </w:tcPr>
                <w:p w14:paraId="2F352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最大存储量t</w:t>
                  </w:r>
                </w:p>
              </w:tc>
              <w:tc>
                <w:tcPr>
                  <w:tcW w:w="930" w:type="dxa"/>
                  <w:tcBorders>
                    <w:tl2br w:val="nil"/>
                    <w:tr2bl w:val="nil"/>
                  </w:tcBorders>
                  <w:vAlign w:val="center"/>
                </w:tcPr>
                <w:p w14:paraId="25A0D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临界量t</w:t>
                  </w:r>
                </w:p>
              </w:tc>
              <w:tc>
                <w:tcPr>
                  <w:tcW w:w="886" w:type="dxa"/>
                  <w:tcBorders>
                    <w:tl2br w:val="nil"/>
                    <w:tr2bl w:val="nil"/>
                  </w:tcBorders>
                  <w:vAlign w:val="center"/>
                </w:tcPr>
                <w:p w14:paraId="06E1E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Q值</w:t>
                  </w:r>
                </w:p>
              </w:tc>
            </w:tr>
            <w:tr w14:paraId="52895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06BF4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1500" w:type="dxa"/>
                  <w:tcBorders>
                    <w:tl2br w:val="nil"/>
                    <w:tr2bl w:val="nil"/>
                  </w:tcBorders>
                  <w:shd w:val="clear" w:color="auto" w:fill="auto"/>
                  <w:vAlign w:val="center"/>
                </w:tcPr>
                <w:p w14:paraId="0612F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医用酒精</w:t>
                  </w:r>
                </w:p>
                <w:p w14:paraId="76EE7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（乙醇）</w:t>
                  </w:r>
                </w:p>
              </w:tc>
              <w:tc>
                <w:tcPr>
                  <w:tcW w:w="1395" w:type="dxa"/>
                  <w:tcBorders>
                    <w:tl2br w:val="nil"/>
                    <w:tr2bl w:val="nil"/>
                  </w:tcBorders>
                  <w:shd w:val="clear" w:color="auto" w:fill="auto"/>
                  <w:vAlign w:val="center"/>
                </w:tcPr>
                <w:p w14:paraId="1E169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64-17-5</w:t>
                  </w:r>
                </w:p>
              </w:tc>
              <w:tc>
                <w:tcPr>
                  <w:tcW w:w="1365" w:type="dxa"/>
                  <w:tcBorders>
                    <w:tl2br w:val="nil"/>
                    <w:tr2bl w:val="nil"/>
                  </w:tcBorders>
                  <w:vAlign w:val="center"/>
                </w:tcPr>
                <w:p w14:paraId="20193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1290" w:type="dxa"/>
                  <w:tcBorders>
                    <w:tl2br w:val="nil"/>
                    <w:tr2bl w:val="nil"/>
                  </w:tcBorders>
                  <w:vAlign w:val="center"/>
                </w:tcPr>
                <w:p w14:paraId="710F0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930" w:type="dxa"/>
                  <w:tcBorders>
                    <w:tl2br w:val="nil"/>
                    <w:tr2bl w:val="nil"/>
                  </w:tcBorders>
                  <w:vAlign w:val="center"/>
                </w:tcPr>
                <w:p w14:paraId="3E2ED8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886" w:type="dxa"/>
                  <w:tcBorders>
                    <w:tl2br w:val="nil"/>
                    <w:tr2bl w:val="nil"/>
                  </w:tcBorders>
                  <w:vAlign w:val="center"/>
                </w:tcPr>
                <w:p w14:paraId="690C9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r>
            <w:tr w14:paraId="57E90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41DE85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2</w:t>
                  </w:r>
                </w:p>
              </w:tc>
              <w:tc>
                <w:tcPr>
                  <w:tcW w:w="1500" w:type="dxa"/>
                  <w:tcBorders>
                    <w:tl2br w:val="nil"/>
                    <w:tr2bl w:val="nil"/>
                  </w:tcBorders>
                  <w:shd w:val="clear" w:color="auto" w:fill="auto"/>
                  <w:vAlign w:val="center"/>
                </w:tcPr>
                <w:p w14:paraId="5B62D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污水消毒剂</w:t>
                  </w:r>
                </w:p>
                <w:p w14:paraId="2704B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（次氯酸钠）</w:t>
                  </w:r>
                </w:p>
              </w:tc>
              <w:tc>
                <w:tcPr>
                  <w:tcW w:w="1395" w:type="dxa"/>
                  <w:tcBorders>
                    <w:tl2br w:val="nil"/>
                    <w:tr2bl w:val="nil"/>
                  </w:tcBorders>
                  <w:shd w:val="clear" w:color="auto" w:fill="auto"/>
                  <w:vAlign w:val="center"/>
                </w:tcPr>
                <w:p w14:paraId="6420F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7681-52-9</w:t>
                  </w:r>
                </w:p>
              </w:tc>
              <w:tc>
                <w:tcPr>
                  <w:tcW w:w="1365" w:type="dxa"/>
                  <w:tcBorders>
                    <w:tl2br w:val="nil"/>
                    <w:tr2bl w:val="nil"/>
                  </w:tcBorders>
                  <w:vAlign w:val="center"/>
                </w:tcPr>
                <w:p w14:paraId="085E8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1290" w:type="dxa"/>
                  <w:tcBorders>
                    <w:tl2br w:val="nil"/>
                    <w:tr2bl w:val="nil"/>
                  </w:tcBorders>
                  <w:vAlign w:val="center"/>
                </w:tcPr>
                <w:p w14:paraId="2F4D3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930" w:type="dxa"/>
                  <w:tcBorders>
                    <w:tl2br w:val="nil"/>
                    <w:tr2bl w:val="nil"/>
                  </w:tcBorders>
                  <w:vAlign w:val="center"/>
                </w:tcPr>
                <w:p w14:paraId="458F6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886" w:type="dxa"/>
                  <w:tcBorders>
                    <w:tl2br w:val="nil"/>
                    <w:tr2bl w:val="nil"/>
                  </w:tcBorders>
                  <w:vAlign w:val="center"/>
                </w:tcPr>
                <w:p w14:paraId="0AE29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r>
            <w:tr w14:paraId="248F9C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tcBorders>
                    <w:tl2br w:val="nil"/>
                    <w:tr2bl w:val="nil"/>
                  </w:tcBorders>
                  <w:vAlign w:val="center"/>
                </w:tcPr>
                <w:p w14:paraId="2EA1E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1500" w:type="dxa"/>
                  <w:tcBorders>
                    <w:tl2br w:val="nil"/>
                    <w:tr2bl w:val="nil"/>
                  </w:tcBorders>
                  <w:shd w:val="clear" w:color="auto" w:fill="auto"/>
                  <w:vAlign w:val="center"/>
                </w:tcPr>
                <w:p w14:paraId="49CC0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84消毒液</w:t>
                  </w:r>
                </w:p>
                <w:p w14:paraId="55B3A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stheme="minorBidi"/>
                      <w:color w:val="auto"/>
                      <w:kern w:val="2"/>
                      <w:sz w:val="21"/>
                      <w:szCs w:val="21"/>
                      <w:highlight w:val="none"/>
                      <w:vertAlign w:val="baseline"/>
                      <w:lang w:val="en-US" w:eastAsia="zh-CN" w:bidi="ar-SA"/>
                    </w:rPr>
                    <w:t>（次氯酸钠）</w:t>
                  </w:r>
                </w:p>
              </w:tc>
              <w:tc>
                <w:tcPr>
                  <w:tcW w:w="1395" w:type="dxa"/>
                  <w:tcBorders>
                    <w:tl2br w:val="nil"/>
                    <w:tr2bl w:val="nil"/>
                  </w:tcBorders>
                  <w:shd w:val="clear" w:color="auto" w:fill="auto"/>
                  <w:vAlign w:val="center"/>
                </w:tcPr>
                <w:p w14:paraId="744125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7681-52-9</w:t>
                  </w:r>
                </w:p>
              </w:tc>
              <w:tc>
                <w:tcPr>
                  <w:tcW w:w="1365" w:type="dxa"/>
                  <w:tcBorders>
                    <w:tl2br w:val="nil"/>
                    <w:tr2bl w:val="nil"/>
                  </w:tcBorders>
                  <w:vAlign w:val="center"/>
                </w:tcPr>
                <w:p w14:paraId="1B052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1290" w:type="dxa"/>
                  <w:tcBorders>
                    <w:tl2br w:val="nil"/>
                    <w:tr2bl w:val="nil"/>
                  </w:tcBorders>
                  <w:vAlign w:val="center"/>
                </w:tcPr>
                <w:p w14:paraId="0DF8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930" w:type="dxa"/>
                  <w:tcBorders>
                    <w:tl2br w:val="nil"/>
                    <w:tr2bl w:val="nil"/>
                  </w:tcBorders>
                  <w:vAlign w:val="center"/>
                </w:tcPr>
                <w:p w14:paraId="18D01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c>
                <w:tcPr>
                  <w:tcW w:w="886" w:type="dxa"/>
                  <w:tcBorders>
                    <w:tl2br w:val="nil"/>
                    <w:tr2bl w:val="nil"/>
                  </w:tcBorders>
                  <w:vAlign w:val="center"/>
                </w:tcPr>
                <w:p w14:paraId="0DADD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r>
            <w:tr w14:paraId="43D0F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7" w:type="dxa"/>
                  <w:gridSpan w:val="6"/>
                  <w:vAlign w:val="center"/>
                </w:tcPr>
                <w:p w14:paraId="4CF63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合计</w:t>
                  </w:r>
                </w:p>
              </w:tc>
              <w:tc>
                <w:tcPr>
                  <w:tcW w:w="886" w:type="dxa"/>
                  <w:vAlign w:val="center"/>
                </w:tcPr>
                <w:p w14:paraId="4211E5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p>
              </w:tc>
            </w:tr>
          </w:tbl>
          <w:p w14:paraId="0774A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bCs/>
                <w:sz w:val="18"/>
                <w:szCs w:val="18"/>
                <w:highlight w:val="none"/>
                <w:lang w:val="en-US" w:eastAsia="zh-CN"/>
              </w:rPr>
            </w:pPr>
            <w:r>
              <w:rPr>
                <w:rFonts w:hint="eastAsia"/>
                <w:b/>
                <w:bCs/>
                <w:sz w:val="18"/>
                <w:szCs w:val="18"/>
                <w:highlight w:val="none"/>
                <w:lang w:val="en-US" w:eastAsia="zh-CN"/>
              </w:rPr>
              <w:t>注：</w:t>
            </w:r>
          </w:p>
          <w:p w14:paraId="7AB950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b/>
                <w:bCs/>
                <w:sz w:val="18"/>
                <w:szCs w:val="18"/>
                <w:highlight w:val="none"/>
                <w:lang w:val="en-US" w:eastAsia="zh-CN"/>
              </w:rPr>
            </w:pPr>
            <w:r>
              <w:rPr>
                <w:rFonts w:hint="eastAsia"/>
                <w:b/>
                <w:bCs/>
                <w:sz w:val="18"/>
                <w:szCs w:val="18"/>
                <w:highlight w:val="none"/>
                <w:lang w:val="en-US" w:eastAsia="zh-CN"/>
              </w:rPr>
              <w:t>①医用酒精中乙醇质量分数为75%，密度0.85g/cm</w:t>
            </w:r>
            <w:r>
              <w:rPr>
                <w:rFonts w:hint="eastAsia"/>
                <w:b/>
                <w:bCs/>
                <w:sz w:val="18"/>
                <w:szCs w:val="18"/>
                <w:highlight w:val="none"/>
                <w:vertAlign w:val="superscript"/>
                <w:lang w:val="en-US" w:eastAsia="zh-CN"/>
              </w:rPr>
              <w:t>3</w:t>
            </w:r>
            <w:r>
              <w:rPr>
                <w:rFonts w:hint="eastAsia"/>
                <w:b/>
                <w:bCs/>
                <w:sz w:val="18"/>
                <w:szCs w:val="18"/>
                <w:highlight w:val="none"/>
                <w:lang w:val="en-US" w:eastAsia="zh-CN"/>
              </w:rPr>
              <w:t>；</w:t>
            </w:r>
          </w:p>
          <w:p w14:paraId="284FE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b/>
                <w:bCs/>
                <w:sz w:val="18"/>
                <w:szCs w:val="18"/>
                <w:highlight w:val="none"/>
                <w:lang w:val="en-US" w:eastAsia="zh-CN"/>
              </w:rPr>
            </w:pPr>
            <w:r>
              <w:rPr>
                <w:rFonts w:hint="eastAsia"/>
                <w:b/>
                <w:bCs/>
                <w:sz w:val="18"/>
                <w:szCs w:val="18"/>
                <w:highlight w:val="none"/>
                <w:lang w:val="en-US" w:eastAsia="zh-CN"/>
              </w:rPr>
              <w:t>②本项目盐酸为36%盐酸，上表存储量为折合后最大存储量。</w:t>
            </w:r>
          </w:p>
          <w:p w14:paraId="67F75725">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当存在多种危险物质时按下式计算该物质总量与其临界量比值（Q）</w:t>
            </w:r>
          </w:p>
          <w:p w14:paraId="3834F3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Q=q1/Q1+q2/Q2+…+qn/Qn</w:t>
            </w:r>
          </w:p>
          <w:p w14:paraId="28FAD83A">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式中：</w:t>
            </w:r>
          </w:p>
          <w:p w14:paraId="0CBC513F">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q1，q2，…，qn—每种危险化学品最大存在总量，单位为吨（t）；</w:t>
            </w:r>
          </w:p>
          <w:p w14:paraId="39B7AE60">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Q1，Q2，…，Qn—每种危险物质的临界量，单位为吨（t）。</w:t>
            </w:r>
          </w:p>
          <w:p w14:paraId="21C5812C">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由上表可知，本项目危险物质临界量比值Q=</w:t>
            </w:r>
            <w:r>
              <w:rPr>
                <w:rFonts w:hint="eastAsia"/>
                <w:highlight w:val="yellow"/>
                <w:lang w:val="en-US" w:eastAsia="zh-CN"/>
              </w:rPr>
              <w:t>0.484</w:t>
            </w:r>
            <w:r>
              <w:rPr>
                <w:rFonts w:hint="eastAsia"/>
                <w:lang w:val="en-US" w:eastAsia="zh-CN"/>
              </w:rPr>
              <w:t>＜1，根据《建设项目环境风险评价技术导则》附录C，当Q＜1时，该项目环境风险潜势为I。该项目环境风险潜势为I时，项目风险评价工作等级为简单分析。</w:t>
            </w:r>
          </w:p>
          <w:p w14:paraId="7649109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（2）环境影响途径及防范措施</w:t>
            </w:r>
          </w:p>
          <w:p w14:paraId="317D40A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1）</w:t>
            </w:r>
            <w:r>
              <w:rPr>
                <w:rFonts w:hint="eastAsia"/>
                <w:lang w:val="en-US" w:eastAsia="zh-CN"/>
              </w:rPr>
              <w:t>影响途径</w:t>
            </w:r>
          </w:p>
          <w:p w14:paraId="17C8592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根据《建设项目环境风险评价技术导则》（HJ 169-2018），环境风险类型包括：危险物质泄漏，以及火灾、爆炸等引发的伴生/次生污染物排放。环境影响途径：乙醇可导致火灾或爆炸事故，并引发的伴生/次生污染物排放；次氯酸钠泄露可导致大气、水体污染等。</w:t>
            </w:r>
          </w:p>
          <w:p w14:paraId="427CFA4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2）危害后果</w:t>
            </w:r>
          </w:p>
          <w:p w14:paraId="5273A7B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①大气污染：一旦发生火灾或爆炸，会产生大量浓烟，浓烟中含有大量一氧化碳、二氧化碳、可吸入颗粒物以及剧毒气体，造成大气污染；</w:t>
            </w:r>
          </w:p>
          <w:p w14:paraId="480FF57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地表水和地下水污染，主要危险物质的泄露可导致地表水和地下水的污染，管网系统由于管道堵塞、管道破裂和管道接头处的破损，会造成大量污水外溢，污染地表水和地下水；或由于排水不畅时易引起污水漫溢污染地表水和地下水。</w:t>
            </w:r>
          </w:p>
          <w:p w14:paraId="413CBE8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3）风险防范措施</w:t>
            </w:r>
          </w:p>
          <w:p w14:paraId="662AD68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w:t>
            </w:r>
            <w:r>
              <w:rPr>
                <w:rFonts w:hint="eastAsia"/>
                <w:lang w:val="en-US" w:eastAsia="zh-CN"/>
              </w:rPr>
              <w:t>泄露</w:t>
            </w:r>
          </w:p>
          <w:p w14:paraId="6AA3FCF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建设单位在贮存和使用乙醇、84消毒液及污水处理消毒剂时采取如下措施：</w:t>
            </w:r>
          </w:p>
          <w:p w14:paraId="184EAEB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a医用酒精放置在药房专门的药品柜中；84消毒液放置在药房货架上；次氯酸钠药剂放置在污水处理设备配备的防渗、防腐蚀药箱中。项目医疗废物暂存间、污水处理设备安装区进行防渗处理，防渗材料厚度不小于2.00mm，防渗系数K≤10</w:t>
            </w:r>
            <w:r>
              <w:rPr>
                <w:rFonts w:hint="eastAsia"/>
                <w:vertAlign w:val="superscript"/>
                <w:lang w:val="en-US" w:eastAsia="zh-CN"/>
              </w:rPr>
              <w:t>-10</w:t>
            </w:r>
            <w:r>
              <w:rPr>
                <w:rFonts w:hint="eastAsia"/>
                <w:lang w:val="en-US" w:eastAsia="zh-CN"/>
              </w:rPr>
              <w:t>cm/s。药房等存放化学药品的区域均进行地面硬化，并采取防渗措施。</w:t>
            </w:r>
          </w:p>
          <w:p w14:paraId="2E3F6D1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b药剂入库时，严格检验物品质量、数量、包装情况、有无泄漏；在贮存期内，定期检查，发现其品质变化、包装破损、渗漏等状况，及时处理。</w:t>
            </w:r>
          </w:p>
          <w:p w14:paraId="3775340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在采取上述措施后，本项目发生泄漏风险的机率较低，对环境的影响较小。</w:t>
            </w:r>
          </w:p>
          <w:p w14:paraId="49A7D19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w:t>
            </w:r>
            <w:r>
              <w:rPr>
                <w:rFonts w:hint="eastAsia"/>
                <w:lang w:val="en-US" w:eastAsia="zh-CN"/>
              </w:rPr>
              <w:t>火灾或爆炸</w:t>
            </w:r>
          </w:p>
          <w:p w14:paraId="041DF15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一旦发生火灾或爆炸事故，建设单位应及时疏散医院内员工，负责救援的人员，应及时佩戴呼吸器，以免浓烟损害健康。同时，应通知周围人群对人员进行疏散，避免人群长时间在CO、烟尘浓度较高的条件下活动，出现刺激症状。建设单位在日常工作中应采取如下措施：</w:t>
            </w:r>
          </w:p>
          <w:p w14:paraId="609DD43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a</w:t>
            </w:r>
            <w:r>
              <w:rPr>
                <w:rFonts w:hint="default"/>
                <w:lang w:val="en-US" w:eastAsia="zh-CN"/>
              </w:rPr>
              <w:t>涉及药剂存放、使用的场所均需要设置灭火器等消防器材；</w:t>
            </w:r>
          </w:p>
          <w:p w14:paraId="6633C29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b</w:t>
            </w:r>
            <w:r>
              <w:rPr>
                <w:rFonts w:hint="default"/>
                <w:lang w:val="en-US" w:eastAsia="zh-CN"/>
              </w:rPr>
              <w:t>加强火源管理，严禁烟火带入，储存场所应设有明显的禁止烟火安全标志；</w:t>
            </w:r>
          </w:p>
          <w:p w14:paraId="22C1A42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c</w:t>
            </w:r>
            <w:r>
              <w:rPr>
                <w:rFonts w:hint="default"/>
                <w:lang w:val="en-US" w:eastAsia="zh-CN"/>
              </w:rPr>
              <w:t>加强员工专业培训、制定合理操作规程，定期对职工进行消防安全知识培训，重点培训岗位防火技术、操作规程、灭火器的使用办法、疏散逃生知识等，加强员工防火意识，确保每位职工都掌握安全防火技能，一旦发生事故能采取正确的应急措施。</w:t>
            </w:r>
          </w:p>
          <w:p w14:paraId="5CA8218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在采取上述措施后，火灾或爆炸风险隐患可降至最低。</w:t>
            </w:r>
          </w:p>
          <w:p w14:paraId="3CC0419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（3）应急处置措施</w:t>
            </w:r>
          </w:p>
          <w:p w14:paraId="586061D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1）</w:t>
            </w:r>
            <w:r>
              <w:rPr>
                <w:rFonts w:hint="default"/>
                <w:lang w:val="en-US" w:eastAsia="zh-CN"/>
              </w:rPr>
              <w:t>泄漏</w:t>
            </w:r>
          </w:p>
          <w:p w14:paraId="7AE6AE7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①发现有盛放酒精、次氯酸钠溶液的瓶、桶等容器出现裂隙或破损，尚未发生泄漏的，应由工作人员对容器进行修补。不能修好的，要立即更换新的专用容器并将酒精等化学品妥善转移至新容器内。</w:t>
            </w:r>
          </w:p>
          <w:p w14:paraId="03890D98">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发生化学品少量泄漏，现场人员做好个人防护后，先妥善处置发生泄漏的化学品容器，可使用抹布、纸等对泄漏的物质进行吸附擦拭。如出现大量泄漏，现场人员应立即向医院负责人报告，同时建立警戒。禁止无关人员涉事区域，事故现场严禁开关非防爆电器、接打手机等易产生火花的行为。可使用吸附棉、吸油毡等对化学品进行吸附收集，如不能自行处置的，应视事故情况请求公安、消防、医疗、生态环境等外部机构援助。</w:t>
            </w:r>
          </w:p>
          <w:p w14:paraId="583745C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③合理通风，加速扩散。</w:t>
            </w:r>
          </w:p>
          <w:p w14:paraId="41F2817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④处置吸附化学品的物品，应按照危险废物进行管理，及时联系相关具有处置资质的单位清运。</w:t>
            </w:r>
          </w:p>
          <w:p w14:paraId="09BE403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2）</w:t>
            </w:r>
            <w:r>
              <w:rPr>
                <w:rFonts w:hint="default"/>
                <w:lang w:val="en-US" w:eastAsia="zh-CN"/>
              </w:rPr>
              <w:t>火灾或爆炸</w:t>
            </w:r>
          </w:p>
          <w:p w14:paraId="4DD56FC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①初期火灾，可用灭火器扑灭的，工作人员及时灭火。灭火结束后，将灭火废物如泡沫干粉等进行收集。向消防部门报告处置情况。</w:t>
            </w:r>
          </w:p>
          <w:p w14:paraId="6BDC74E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②若灭火器、消防栓等器材不能控制火势。应在第一时间向周边群众发出警示，疏散院内员工及顾客，以及周边人员。并立即申请消防、公安、医疗及生态环境等外部救援。</w:t>
            </w:r>
          </w:p>
          <w:p w14:paraId="3D6E031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③出现大量消防废水，应采用沙袋封堵雨水总排口，使用容器将消防废水全部收集。事故处置结束后，对消防废水进行后续转移处理（不能在火场周围封堵），委托具有相关处置资质的单位进行转运。</w:t>
            </w:r>
          </w:p>
          <w:p w14:paraId="30FB87F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eastAsia"/>
                <w:lang w:val="en-US" w:eastAsia="zh-CN"/>
              </w:rPr>
              <w:t>（4）环境风险评价结论</w:t>
            </w:r>
          </w:p>
          <w:p w14:paraId="7C697E4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综上所述，针对风险，本次评价进行了简要的分析，并在此基础上提出了相应的风险防范措施和事故风险应急预案，项目在运营期认真执行各项防范措施等，可以将环境风险降到最低，本项目的环境风险是可以接受的。</w:t>
            </w:r>
          </w:p>
          <w:p w14:paraId="6B4864B3">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14687E5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ED5D32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FB39399">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BAA3516">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0DA8990">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04B60EA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DD1CAC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80BF2F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388F143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518BBA9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13396B2F">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0D6E184">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60C7BCCB">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0CA20621">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4FC456AA">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1109E90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AE412A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134421E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0BFF227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15412C2">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p>
          <w:p w14:paraId="2BBF24A4">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14:paraId="7E6FB3ED">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lang w:val="en-US" w:eastAsia="zh-CN"/>
              </w:rPr>
            </w:pPr>
          </w:p>
        </w:tc>
      </w:tr>
    </w:tbl>
    <w:p w14:paraId="6A07CCC8">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2C5FEF">
      <w:pPr>
        <w:pStyle w:val="2"/>
        <w:bidi w:val="0"/>
        <w:rPr>
          <w:rFonts w:hint="eastAsia"/>
          <w:lang w:val="en-US" w:eastAsia="zh-CN"/>
        </w:rPr>
      </w:pPr>
      <w:r>
        <w:rPr>
          <w:rFonts w:hint="eastAsia"/>
          <w:lang w:val="en-US" w:eastAsia="zh-CN"/>
        </w:rPr>
        <w:t>五、环境保护措施监督检查清单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90"/>
        <w:gridCol w:w="1425"/>
        <w:gridCol w:w="2408"/>
        <w:gridCol w:w="2141"/>
      </w:tblGrid>
      <w:tr w14:paraId="1422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875E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bCs/>
                <w:sz w:val="21"/>
                <w:szCs w:val="21"/>
                <w:vertAlign w:val="baseline"/>
                <w:lang w:val="en-US" w:eastAsia="zh-CN"/>
              </w:rPr>
            </w:pPr>
          </w:p>
          <w:p w14:paraId="3741A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bCs/>
                <w:sz w:val="21"/>
                <w:szCs w:val="21"/>
                <w:vertAlign w:val="baseline"/>
                <w:lang w:val="en-US" w:eastAsia="zh-CN"/>
              </w:rPr>
            </w:pPr>
          </w:p>
          <w:p w14:paraId="44CE5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b/>
                <w:bCs/>
                <w:sz w:val="21"/>
                <w:szCs w:val="21"/>
                <w:vertAlign w:val="baseline"/>
                <w:lang w:val="en-US" w:eastAsia="zh-CN"/>
              </w:rPr>
            </w:pPr>
            <w:r>
              <w:rPr>
                <w:rFonts w:hint="eastAsia"/>
                <w:b/>
                <w:bCs/>
                <w:sz w:val="21"/>
                <w:szCs w:val="21"/>
                <w:vertAlign w:val="baseline"/>
                <w:lang w:val="en-US" w:eastAsia="zh-CN"/>
              </w:rPr>
              <w:t>要素</w:t>
            </w:r>
          </w:p>
          <w:p w14:paraId="77A04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 xml:space="preserve">    内容</w:t>
            </w:r>
          </w:p>
        </w:tc>
        <w:tc>
          <w:tcPr>
            <w:tcW w:w="1590" w:type="dxa"/>
            <w:vAlign w:val="center"/>
          </w:tcPr>
          <w:p w14:paraId="53AAA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排放口（编号、名称）/污染源</w:t>
            </w:r>
          </w:p>
        </w:tc>
        <w:tc>
          <w:tcPr>
            <w:tcW w:w="1425" w:type="dxa"/>
            <w:vAlign w:val="center"/>
          </w:tcPr>
          <w:p w14:paraId="2ECE5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污染物项目</w:t>
            </w:r>
          </w:p>
        </w:tc>
        <w:tc>
          <w:tcPr>
            <w:tcW w:w="2408" w:type="dxa"/>
            <w:vAlign w:val="center"/>
          </w:tcPr>
          <w:p w14:paraId="227AB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环境保护措施</w:t>
            </w:r>
          </w:p>
        </w:tc>
        <w:tc>
          <w:tcPr>
            <w:tcW w:w="2141" w:type="dxa"/>
            <w:vAlign w:val="center"/>
          </w:tcPr>
          <w:p w14:paraId="06EF9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执行标准</w:t>
            </w:r>
          </w:p>
        </w:tc>
      </w:tr>
      <w:tr w14:paraId="1D0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restart"/>
            <w:vAlign w:val="center"/>
          </w:tcPr>
          <w:p w14:paraId="2C797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大气环境</w:t>
            </w:r>
          </w:p>
        </w:tc>
        <w:tc>
          <w:tcPr>
            <w:tcW w:w="1590" w:type="dxa"/>
            <w:vMerge w:val="restart"/>
            <w:vAlign w:val="center"/>
          </w:tcPr>
          <w:p w14:paraId="0CE5F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无组织排放</w:t>
            </w:r>
          </w:p>
          <w:p w14:paraId="0CAEB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（就诊动物）</w:t>
            </w:r>
          </w:p>
        </w:tc>
        <w:tc>
          <w:tcPr>
            <w:tcW w:w="1425" w:type="dxa"/>
            <w:vAlign w:val="center"/>
          </w:tcPr>
          <w:p w14:paraId="48DC5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H</w:t>
            </w:r>
            <w:r>
              <w:rPr>
                <w:rFonts w:hint="eastAsia"/>
                <w:sz w:val="24"/>
                <w:szCs w:val="24"/>
                <w:highlight w:val="none"/>
                <w:vertAlign w:val="subscript"/>
                <w:lang w:val="en-US" w:eastAsia="zh-CN"/>
              </w:rPr>
              <w:t>2</w:t>
            </w:r>
            <w:r>
              <w:rPr>
                <w:rFonts w:hint="eastAsia"/>
                <w:sz w:val="24"/>
                <w:szCs w:val="24"/>
                <w:highlight w:val="none"/>
                <w:vertAlign w:val="baseline"/>
                <w:lang w:val="en-US" w:eastAsia="zh-CN"/>
              </w:rPr>
              <w:t>S</w:t>
            </w:r>
          </w:p>
        </w:tc>
        <w:tc>
          <w:tcPr>
            <w:tcW w:w="2408" w:type="dxa"/>
            <w:vMerge w:val="restart"/>
            <w:vAlign w:val="center"/>
          </w:tcPr>
          <w:p w14:paraId="102B0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default"/>
                <w:sz w:val="24"/>
                <w:szCs w:val="24"/>
                <w:highlight w:val="none"/>
                <w:vertAlign w:val="baseline"/>
                <w:lang w:val="en-US" w:eastAsia="zh-CN"/>
              </w:rPr>
              <w:t>项目设置排风系统，并安装活性炭净化装置和排风机。对宠物笼、各个房间及时采取清理清洁；喷洒清新剂、除臭剂</w:t>
            </w:r>
          </w:p>
        </w:tc>
        <w:tc>
          <w:tcPr>
            <w:tcW w:w="2141" w:type="dxa"/>
            <w:vMerge w:val="restart"/>
            <w:vAlign w:val="center"/>
          </w:tcPr>
          <w:p w14:paraId="39335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北京市《大气污染物综合排放标准》（DB11/501-2017）</w:t>
            </w:r>
          </w:p>
        </w:tc>
      </w:tr>
      <w:tr w14:paraId="106B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0888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590" w:type="dxa"/>
            <w:vMerge w:val="continue"/>
            <w:vAlign w:val="center"/>
          </w:tcPr>
          <w:p w14:paraId="00ECE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25" w:type="dxa"/>
            <w:vAlign w:val="center"/>
          </w:tcPr>
          <w:p w14:paraId="7DAAC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NH</w:t>
            </w:r>
            <w:r>
              <w:rPr>
                <w:rFonts w:hint="eastAsia"/>
                <w:sz w:val="24"/>
                <w:szCs w:val="24"/>
                <w:highlight w:val="none"/>
                <w:vertAlign w:val="subscript"/>
                <w:lang w:val="en-US" w:eastAsia="zh-CN"/>
              </w:rPr>
              <w:t>3</w:t>
            </w:r>
          </w:p>
        </w:tc>
        <w:tc>
          <w:tcPr>
            <w:tcW w:w="2408" w:type="dxa"/>
            <w:vMerge w:val="continue"/>
            <w:vAlign w:val="center"/>
          </w:tcPr>
          <w:p w14:paraId="0106D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0852C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r>
      <w:tr w14:paraId="2D88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416B4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1590" w:type="dxa"/>
            <w:vMerge w:val="continue"/>
            <w:vAlign w:val="center"/>
          </w:tcPr>
          <w:p w14:paraId="78514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1425" w:type="dxa"/>
            <w:vAlign w:val="center"/>
          </w:tcPr>
          <w:p w14:paraId="6F4BE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臭气浓度</w:t>
            </w:r>
          </w:p>
        </w:tc>
        <w:tc>
          <w:tcPr>
            <w:tcW w:w="2408" w:type="dxa"/>
            <w:vMerge w:val="continue"/>
            <w:vAlign w:val="center"/>
          </w:tcPr>
          <w:p w14:paraId="1555A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c>
          <w:tcPr>
            <w:tcW w:w="2141" w:type="dxa"/>
            <w:vMerge w:val="continue"/>
            <w:vAlign w:val="center"/>
          </w:tcPr>
          <w:p w14:paraId="136B6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highlight w:val="none"/>
                <w:vertAlign w:val="baseline"/>
                <w:lang w:val="en-US" w:eastAsia="zh-CN"/>
              </w:rPr>
            </w:pPr>
          </w:p>
        </w:tc>
      </w:tr>
      <w:tr w14:paraId="1DC2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restart"/>
            <w:vAlign w:val="center"/>
          </w:tcPr>
          <w:p w14:paraId="110B06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地表水</w:t>
            </w:r>
          </w:p>
          <w:p w14:paraId="60C2C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环境</w:t>
            </w:r>
          </w:p>
        </w:tc>
        <w:tc>
          <w:tcPr>
            <w:tcW w:w="1590" w:type="dxa"/>
            <w:vMerge w:val="restart"/>
            <w:vAlign w:val="center"/>
          </w:tcPr>
          <w:p w14:paraId="2D8A7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园区废水</w:t>
            </w:r>
          </w:p>
          <w:p w14:paraId="2944E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总排放口</w:t>
            </w:r>
          </w:p>
        </w:tc>
        <w:tc>
          <w:tcPr>
            <w:tcW w:w="1425" w:type="dxa"/>
            <w:vAlign w:val="center"/>
          </w:tcPr>
          <w:p w14:paraId="17CFA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pH</w:t>
            </w:r>
          </w:p>
        </w:tc>
        <w:tc>
          <w:tcPr>
            <w:tcW w:w="2408" w:type="dxa"/>
            <w:vMerge w:val="restart"/>
            <w:vAlign w:val="center"/>
          </w:tcPr>
          <w:p w14:paraId="79110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highlight w:val="none"/>
                <w:vertAlign w:val="baseline"/>
                <w:lang w:val="en-US" w:eastAsia="zh-CN"/>
              </w:rPr>
              <w:t>动物诊疗废水、美容洗浴废水经污水处理设备消毒后，与生活污水一同排入所在建筑集中防渗化粪池预处理，最终经市政污水管网进入小红门再生水厂集中处理</w:t>
            </w:r>
          </w:p>
        </w:tc>
        <w:tc>
          <w:tcPr>
            <w:tcW w:w="2141" w:type="dxa"/>
            <w:vMerge w:val="restart"/>
            <w:vAlign w:val="center"/>
          </w:tcPr>
          <w:p w14:paraId="25056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北京市《水污染物综合排放标准》（DB11/307-2013）</w:t>
            </w:r>
          </w:p>
        </w:tc>
      </w:tr>
      <w:tr w14:paraId="4EA0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83E6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590" w:type="dxa"/>
            <w:vMerge w:val="continue"/>
            <w:vAlign w:val="center"/>
          </w:tcPr>
          <w:p w14:paraId="6DFC2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25" w:type="dxa"/>
            <w:vAlign w:val="center"/>
          </w:tcPr>
          <w:p w14:paraId="140D4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CODcr</w:t>
            </w:r>
          </w:p>
        </w:tc>
        <w:tc>
          <w:tcPr>
            <w:tcW w:w="2408" w:type="dxa"/>
            <w:vMerge w:val="continue"/>
            <w:vAlign w:val="center"/>
          </w:tcPr>
          <w:p w14:paraId="5E1E2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30ED6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5595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1306C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6FE77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2E897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BOD</w:t>
            </w:r>
            <w:r>
              <w:rPr>
                <w:rFonts w:hint="eastAsia"/>
                <w:sz w:val="24"/>
                <w:szCs w:val="24"/>
                <w:vertAlign w:val="subscript"/>
                <w:lang w:val="en-US" w:eastAsia="zh-CN"/>
              </w:rPr>
              <w:t>5</w:t>
            </w:r>
          </w:p>
        </w:tc>
        <w:tc>
          <w:tcPr>
            <w:tcW w:w="2408" w:type="dxa"/>
            <w:vMerge w:val="continue"/>
            <w:vAlign w:val="center"/>
          </w:tcPr>
          <w:p w14:paraId="6F3A8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7B0BE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3E0A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55A3F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5C5E0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0D71D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SS</w:t>
            </w:r>
          </w:p>
        </w:tc>
        <w:tc>
          <w:tcPr>
            <w:tcW w:w="2408" w:type="dxa"/>
            <w:vMerge w:val="continue"/>
            <w:vAlign w:val="center"/>
          </w:tcPr>
          <w:p w14:paraId="11E1C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1A3AB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1A8E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6DECE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3C68A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64935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NH</w:t>
            </w:r>
            <w:r>
              <w:rPr>
                <w:rFonts w:hint="eastAsia"/>
                <w:sz w:val="24"/>
                <w:szCs w:val="24"/>
                <w:vertAlign w:val="subscript"/>
                <w:lang w:val="en-US" w:eastAsia="zh-CN"/>
              </w:rPr>
              <w:t>3</w:t>
            </w:r>
            <w:r>
              <w:rPr>
                <w:rFonts w:hint="eastAsia"/>
                <w:sz w:val="24"/>
                <w:szCs w:val="24"/>
                <w:vertAlign w:val="baseline"/>
                <w:lang w:val="en-US" w:eastAsia="zh-CN"/>
              </w:rPr>
              <w:t>-N</w:t>
            </w:r>
          </w:p>
        </w:tc>
        <w:tc>
          <w:tcPr>
            <w:tcW w:w="2408" w:type="dxa"/>
            <w:vMerge w:val="continue"/>
            <w:vAlign w:val="center"/>
          </w:tcPr>
          <w:p w14:paraId="5A5E2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04E65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0B3F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23520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7B8D5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071FD8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总余氯</w:t>
            </w:r>
          </w:p>
        </w:tc>
        <w:tc>
          <w:tcPr>
            <w:tcW w:w="2408" w:type="dxa"/>
            <w:vMerge w:val="continue"/>
            <w:vAlign w:val="center"/>
          </w:tcPr>
          <w:p w14:paraId="70698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1FB81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3FFC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7C346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590" w:type="dxa"/>
            <w:vMerge w:val="continue"/>
            <w:vAlign w:val="center"/>
          </w:tcPr>
          <w:p w14:paraId="1A557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425" w:type="dxa"/>
            <w:vAlign w:val="center"/>
          </w:tcPr>
          <w:p w14:paraId="4CE86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粪大肠菌群</w:t>
            </w:r>
          </w:p>
        </w:tc>
        <w:tc>
          <w:tcPr>
            <w:tcW w:w="2408" w:type="dxa"/>
            <w:vMerge w:val="continue"/>
            <w:vAlign w:val="center"/>
          </w:tcPr>
          <w:p w14:paraId="6273C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2141" w:type="dxa"/>
            <w:vMerge w:val="continue"/>
            <w:vAlign w:val="center"/>
          </w:tcPr>
          <w:p w14:paraId="6D850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r>
      <w:tr w14:paraId="54F1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restart"/>
            <w:vAlign w:val="center"/>
          </w:tcPr>
          <w:p w14:paraId="2AF0A1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声环境</w:t>
            </w:r>
          </w:p>
        </w:tc>
        <w:tc>
          <w:tcPr>
            <w:tcW w:w="1590" w:type="dxa"/>
            <w:vAlign w:val="center"/>
          </w:tcPr>
          <w:p w14:paraId="66A7D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设备</w:t>
            </w:r>
          </w:p>
        </w:tc>
        <w:tc>
          <w:tcPr>
            <w:tcW w:w="1425" w:type="dxa"/>
            <w:vAlign w:val="center"/>
          </w:tcPr>
          <w:p w14:paraId="27049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设备噪声</w:t>
            </w:r>
          </w:p>
        </w:tc>
        <w:tc>
          <w:tcPr>
            <w:tcW w:w="2408" w:type="dxa"/>
            <w:vMerge w:val="restart"/>
            <w:vAlign w:val="center"/>
          </w:tcPr>
          <w:p w14:paraId="44130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合理布局、采用低噪声设备、安装减振等；室内等候、加强管理等</w:t>
            </w:r>
          </w:p>
        </w:tc>
        <w:tc>
          <w:tcPr>
            <w:tcW w:w="2141" w:type="dxa"/>
            <w:vMerge w:val="restart"/>
            <w:vAlign w:val="center"/>
          </w:tcPr>
          <w:p w14:paraId="615CB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《工业企业厂界环境噪声排放标准》（GB12348-2008）中1类标准</w:t>
            </w:r>
          </w:p>
        </w:tc>
      </w:tr>
      <w:tr w14:paraId="764B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Merge w:val="continue"/>
            <w:vAlign w:val="center"/>
          </w:tcPr>
          <w:p w14:paraId="36B46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590" w:type="dxa"/>
            <w:vAlign w:val="center"/>
          </w:tcPr>
          <w:p w14:paraId="7AD23C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动物吠叫</w:t>
            </w:r>
          </w:p>
        </w:tc>
        <w:tc>
          <w:tcPr>
            <w:tcW w:w="1425" w:type="dxa"/>
            <w:vAlign w:val="center"/>
          </w:tcPr>
          <w:p w14:paraId="64830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吠叫噪声</w:t>
            </w:r>
          </w:p>
        </w:tc>
        <w:tc>
          <w:tcPr>
            <w:tcW w:w="2408" w:type="dxa"/>
            <w:vMerge w:val="continue"/>
            <w:vAlign w:val="center"/>
          </w:tcPr>
          <w:p w14:paraId="448A3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2141" w:type="dxa"/>
            <w:vMerge w:val="continue"/>
            <w:vAlign w:val="center"/>
          </w:tcPr>
          <w:p w14:paraId="628A5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r>
      <w:tr w14:paraId="202D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4" w:type="dxa"/>
            <w:vAlign w:val="center"/>
          </w:tcPr>
          <w:p w14:paraId="78233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电磁辐射</w:t>
            </w:r>
          </w:p>
        </w:tc>
        <w:tc>
          <w:tcPr>
            <w:tcW w:w="1590" w:type="dxa"/>
            <w:vAlign w:val="center"/>
          </w:tcPr>
          <w:p w14:paraId="77416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425" w:type="dxa"/>
            <w:vAlign w:val="center"/>
          </w:tcPr>
          <w:p w14:paraId="34C3B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2408" w:type="dxa"/>
            <w:vAlign w:val="center"/>
          </w:tcPr>
          <w:p w14:paraId="7D0C7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2141" w:type="dxa"/>
            <w:vAlign w:val="center"/>
          </w:tcPr>
          <w:p w14:paraId="31977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14:paraId="081F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4C560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固体废物</w:t>
            </w:r>
          </w:p>
        </w:tc>
        <w:tc>
          <w:tcPr>
            <w:tcW w:w="7564" w:type="dxa"/>
            <w:gridSpan w:val="4"/>
            <w:vAlign w:val="center"/>
          </w:tcPr>
          <w:p w14:paraId="030EB8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生活垃圾分类收集，由专人清运至环卫部门指定场所</w:t>
            </w:r>
            <w:r>
              <w:rPr>
                <w:rFonts w:hint="eastAsia"/>
                <w:sz w:val="24"/>
                <w:szCs w:val="24"/>
                <w:vertAlign w:val="baseline"/>
                <w:lang w:val="en-US" w:eastAsia="zh-CN"/>
              </w:rPr>
              <w:t>；</w:t>
            </w:r>
            <w:r>
              <w:rPr>
                <w:rFonts w:hint="default"/>
                <w:sz w:val="24"/>
                <w:szCs w:val="24"/>
                <w:vertAlign w:val="baseline"/>
                <w:lang w:val="en-US" w:eastAsia="zh-CN"/>
              </w:rPr>
              <w:t>一般工业固体废物由废品站回收利用</w:t>
            </w:r>
            <w:r>
              <w:rPr>
                <w:rFonts w:hint="eastAsia"/>
                <w:sz w:val="24"/>
                <w:szCs w:val="24"/>
                <w:vertAlign w:val="baseline"/>
                <w:lang w:val="en-US" w:eastAsia="zh-CN"/>
              </w:rPr>
              <w:t>；</w:t>
            </w:r>
            <w:r>
              <w:rPr>
                <w:rFonts w:hint="default"/>
                <w:sz w:val="24"/>
                <w:szCs w:val="24"/>
                <w:vertAlign w:val="baseline"/>
                <w:lang w:val="en-US" w:eastAsia="zh-CN"/>
              </w:rPr>
              <w:t>医疗废物设置医疗废物暂存间，委托北京光凯祥瑞环保科技有限公司定期清运。</w:t>
            </w:r>
          </w:p>
          <w:p w14:paraId="00B5D3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项目对固体废物的管理及处置应符合《中华人民共和国固体废物污染环境防治法》（2020年版）、《北京市生活垃圾管理条例》（2020年9月25日修正）、《一般工业固体废物贮存和填埋污染控制标准》（GB18599-2020）、《危险废物贮存污染控制标准》（GB18597-2023），以及《医疗废物管理条例》（中华人民共和国国务院令第380号令）等规定。</w:t>
            </w:r>
          </w:p>
        </w:tc>
      </w:tr>
      <w:tr w14:paraId="5A1C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0CF99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土壤及地下水污染防治措施</w:t>
            </w:r>
          </w:p>
        </w:tc>
        <w:tc>
          <w:tcPr>
            <w:tcW w:w="7564" w:type="dxa"/>
            <w:gridSpan w:val="4"/>
            <w:vAlign w:val="center"/>
          </w:tcPr>
          <w:p w14:paraId="5CCA10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建设单位拟对医疗废物暂存间、污水处理设备安装区采取地面硬化及防渗处理，防渗材料采用高密度聚乙烯防渗层或其他材料进行防渗处理，材料的渗透系数K不大于1.0×10</w:t>
            </w:r>
            <w:r>
              <w:rPr>
                <w:rFonts w:hint="eastAsia"/>
                <w:sz w:val="24"/>
                <w:szCs w:val="24"/>
                <w:vertAlign w:val="superscript"/>
                <w:lang w:val="en-US" w:eastAsia="zh-CN"/>
              </w:rPr>
              <w:t>-10</w:t>
            </w:r>
            <w:r>
              <w:rPr>
                <w:rFonts w:hint="eastAsia"/>
                <w:sz w:val="24"/>
                <w:szCs w:val="24"/>
                <w:vertAlign w:val="baseline"/>
                <w:lang w:val="en-US" w:eastAsia="zh-CN"/>
              </w:rPr>
              <w:t>cm/s。污水处理设施内设自动水量、水位监测仪器以及高位报警器，对水量和水位进行监测。污水管道采用防渗、防腐管材。医疗废物暂存间内暂存的医疗废物均严格执行《医疗废物管理条例》、《危险废物贮存污染控制标准》、《北京市危险</w:t>
            </w:r>
          </w:p>
          <w:p w14:paraId="360ABA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废物污染环境防治条例》，及时收集本单位产生的医疗废物，并按类别分置于防渗漏、防锐器穿透的专用包装物或者密闭的容器内，防止其中的液体渗漏。生活垃圾、一般工业固体废物设置密封垃圾箱，均不在露天堆放，并及时外运处理，以避免对地下水及土壤环境造成影响的可能。采取措施后，本项目运营过程中不会对地下水及土壤造成环境污染。</w:t>
            </w:r>
          </w:p>
        </w:tc>
      </w:tr>
      <w:tr w14:paraId="6D79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06886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生态保护措施</w:t>
            </w:r>
          </w:p>
        </w:tc>
        <w:tc>
          <w:tcPr>
            <w:tcW w:w="7564" w:type="dxa"/>
            <w:gridSpan w:val="4"/>
            <w:vAlign w:val="center"/>
          </w:tcPr>
          <w:p w14:paraId="3F1BA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r>
      <w:tr w14:paraId="59BA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3EC17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环境风险</w:t>
            </w:r>
          </w:p>
          <w:p w14:paraId="778A8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防范措施</w:t>
            </w:r>
          </w:p>
        </w:tc>
        <w:tc>
          <w:tcPr>
            <w:tcW w:w="7564" w:type="dxa"/>
            <w:gridSpan w:val="4"/>
            <w:vAlign w:val="center"/>
          </w:tcPr>
          <w:p w14:paraId="2CFC86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1.泄漏</w:t>
            </w:r>
          </w:p>
          <w:p w14:paraId="101F9B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建设单位在贮存和使用乙醇、84 消毒液及污水处理消毒剂时采取如下措施：</w:t>
            </w:r>
          </w:p>
          <w:p w14:paraId="555FB3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（1）</w:t>
            </w:r>
            <w:r>
              <w:rPr>
                <w:rFonts w:hint="default"/>
                <w:sz w:val="24"/>
                <w:szCs w:val="24"/>
                <w:vertAlign w:val="baseline"/>
                <w:lang w:val="en-US" w:eastAsia="zh-CN"/>
              </w:rPr>
              <w:t>医用酒精放置在药房专门的药品柜中；84消毒液放置在药房货架上；次氯酸钠药剂放置在污水处理设备配备的防渗、防腐蚀药箱中。项目医疗废物暂存间、污水处理设备安装区进行防渗处理，防渗材料厚度不小于2.00mm，防渗系数K≤10</w:t>
            </w:r>
            <w:r>
              <w:rPr>
                <w:rFonts w:hint="default"/>
                <w:sz w:val="24"/>
                <w:szCs w:val="24"/>
                <w:vertAlign w:val="superscript"/>
                <w:lang w:val="en-US" w:eastAsia="zh-CN"/>
              </w:rPr>
              <w:t>-10</w:t>
            </w:r>
            <w:r>
              <w:rPr>
                <w:rFonts w:hint="default"/>
                <w:sz w:val="24"/>
                <w:szCs w:val="24"/>
                <w:vertAlign w:val="baseline"/>
                <w:lang w:val="en-US" w:eastAsia="zh-CN"/>
              </w:rPr>
              <w:t>cm/s。药房等存放化学药品的区域均进行地面硬化，并采取防渗措施。</w:t>
            </w:r>
          </w:p>
          <w:p w14:paraId="69655E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（2）</w:t>
            </w:r>
            <w:r>
              <w:rPr>
                <w:rFonts w:hint="default"/>
                <w:sz w:val="24"/>
                <w:szCs w:val="24"/>
                <w:vertAlign w:val="baseline"/>
                <w:lang w:val="en-US" w:eastAsia="zh-CN"/>
              </w:rPr>
              <w:t>药剂入库时，严格检验物品质量、数量、包装情况、有无泄漏；在贮存期内，定期检查，发现其品质变化、包装破损、渗漏等状况，及时处理。</w:t>
            </w:r>
          </w:p>
          <w:p w14:paraId="52633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2.火灾或爆炸</w:t>
            </w:r>
          </w:p>
          <w:p w14:paraId="10A9DE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一旦发生火灾或爆炸事故，建设单位应及时疏散医院内员工，负责救援的人员，应及时佩戴呼吸器，以免浓烟损害健康。同时，应通知周围人群对人员进行疏散，避免人群长时间在CO、烟尘浓度较高的条件下活动，出现刺激症状。建设单位在日常工作中应采取如下措施：</w:t>
            </w:r>
          </w:p>
          <w:p w14:paraId="6668B1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（1）</w:t>
            </w:r>
            <w:r>
              <w:rPr>
                <w:rFonts w:hint="default"/>
                <w:sz w:val="24"/>
                <w:szCs w:val="24"/>
                <w:vertAlign w:val="baseline"/>
                <w:lang w:val="en-US" w:eastAsia="zh-CN"/>
              </w:rPr>
              <w:t>涉及药剂存放、使用的场所均需要设置灭火器等消防器材；</w:t>
            </w:r>
          </w:p>
          <w:p w14:paraId="604EA3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（2）</w:t>
            </w:r>
            <w:r>
              <w:rPr>
                <w:rFonts w:hint="default"/>
                <w:sz w:val="24"/>
                <w:szCs w:val="24"/>
                <w:vertAlign w:val="baseline"/>
                <w:lang w:val="en-US" w:eastAsia="zh-CN"/>
              </w:rPr>
              <w:t>加强火源的管理，严禁烟火带入，储存场所应设有明显的禁止烟火安全标志；</w:t>
            </w:r>
          </w:p>
          <w:p w14:paraId="64EF03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（3）</w:t>
            </w:r>
            <w:r>
              <w:rPr>
                <w:rFonts w:hint="default"/>
                <w:sz w:val="24"/>
                <w:szCs w:val="24"/>
                <w:vertAlign w:val="baseline"/>
                <w:lang w:val="en-US" w:eastAsia="zh-CN"/>
              </w:rPr>
              <w:t>加强员工专业培训、制定合理操作规程，定期对职工进行消防安全知识培训，重点培训岗位防火技术、操作规程、灭火器的使用办法、疏散逃生知识等，加强员工防火意识，确保每位职工都掌握安全防火技能，一旦发生事故能采取正确应急措施。</w:t>
            </w:r>
          </w:p>
        </w:tc>
      </w:tr>
      <w:tr w14:paraId="20D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4" w:type="dxa"/>
            <w:vAlign w:val="center"/>
          </w:tcPr>
          <w:p w14:paraId="31D53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其他环境</w:t>
            </w:r>
          </w:p>
          <w:p w14:paraId="28CC5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管理要求</w:t>
            </w:r>
          </w:p>
        </w:tc>
        <w:tc>
          <w:tcPr>
            <w:tcW w:w="7564" w:type="dxa"/>
            <w:gridSpan w:val="4"/>
            <w:vAlign w:val="center"/>
          </w:tcPr>
          <w:p w14:paraId="294A64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1、排污口规范化管理</w:t>
            </w:r>
          </w:p>
          <w:p w14:paraId="195F80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根据《关于开展排放口规范化整治工作的通知》（环发[1999]24号）（2006年修订）及其附件《排放口规范化整治技术要求》、北京市《固定污染源监测点位设置技术规范》（DB11/1195-2015），本项目废气排放形式属于无组织排放；针对废水设置1个污水排放口，位于医院内东侧的卫生间排水口处，编号DW001。建设单位应在各排污口处设立较明显的排污口（源）标志牌，并注明主要排放污染物的名称，并对有关排污口的情况及污染治理设施的运行情况等进行建档管理。各污染源排放口应设置专项图标，执行《环境保护图形标志-排放口（源）》（GB15562.1-1995）、《环境保护图形标志-固体废物贮存（处置）场》（GB15562.2-1995）及北京市《固定污染源监测点位设置技术规范》（DB11/1195-2015）的相关要求。</w:t>
            </w:r>
          </w:p>
          <w:p w14:paraId="14F5D7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2、“三同时”验收内容</w:t>
            </w:r>
          </w:p>
          <w:p w14:paraId="07350141">
            <w:pPr>
              <w:pStyle w:val="11"/>
              <w:bidi w:val="0"/>
              <w:rPr>
                <w:rFonts w:hint="default"/>
                <w:lang w:val="en-US" w:eastAsia="zh-CN"/>
              </w:rPr>
            </w:pPr>
            <w:r>
              <w:rPr>
                <w:rFonts w:hint="eastAsia"/>
                <w:lang w:val="en-US" w:eastAsia="zh-CN"/>
              </w:rPr>
              <w:t>表5-1 “三同时”验收内容一览表</w:t>
            </w:r>
          </w:p>
          <w:tbl>
            <w:tblPr>
              <w:tblStyle w:val="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805"/>
              <w:gridCol w:w="1015"/>
              <w:gridCol w:w="1433"/>
              <w:gridCol w:w="1224"/>
              <w:gridCol w:w="1229"/>
            </w:tblGrid>
            <w:tr w14:paraId="5E4B7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tcBorders>
                    <w:tl2br w:val="nil"/>
                    <w:tr2bl w:val="nil"/>
                  </w:tcBorders>
                  <w:vAlign w:val="center"/>
                </w:tcPr>
                <w:p w14:paraId="433C0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验收内容</w:t>
                  </w:r>
                </w:p>
              </w:tc>
              <w:tc>
                <w:tcPr>
                  <w:tcW w:w="1805" w:type="dxa"/>
                  <w:tcBorders>
                    <w:tl2br w:val="nil"/>
                    <w:tr2bl w:val="nil"/>
                  </w:tcBorders>
                  <w:vAlign w:val="center"/>
                </w:tcPr>
                <w:p w14:paraId="38BA9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污染防治措施</w:t>
                  </w:r>
                </w:p>
              </w:tc>
              <w:tc>
                <w:tcPr>
                  <w:tcW w:w="1015" w:type="dxa"/>
                  <w:tcBorders>
                    <w:tl2br w:val="nil"/>
                    <w:tr2bl w:val="nil"/>
                  </w:tcBorders>
                  <w:vAlign w:val="center"/>
                </w:tcPr>
                <w:p w14:paraId="62EB7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排污口</w:t>
                  </w:r>
                </w:p>
              </w:tc>
              <w:tc>
                <w:tcPr>
                  <w:tcW w:w="1433" w:type="dxa"/>
                  <w:tcBorders>
                    <w:tl2br w:val="nil"/>
                    <w:tr2bl w:val="nil"/>
                  </w:tcBorders>
                  <w:vAlign w:val="center"/>
                </w:tcPr>
                <w:p w14:paraId="52217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验收指标</w:t>
                  </w:r>
                </w:p>
                <w:p w14:paraId="76797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（监测项目）</w:t>
                  </w:r>
                </w:p>
              </w:tc>
              <w:tc>
                <w:tcPr>
                  <w:tcW w:w="1224" w:type="dxa"/>
                  <w:tcBorders>
                    <w:tl2br w:val="nil"/>
                    <w:tr2bl w:val="nil"/>
                  </w:tcBorders>
                  <w:vAlign w:val="center"/>
                </w:tcPr>
                <w:p w14:paraId="6AEA00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排放限值</w:t>
                  </w:r>
                </w:p>
              </w:tc>
              <w:tc>
                <w:tcPr>
                  <w:tcW w:w="1229" w:type="dxa"/>
                  <w:tcBorders>
                    <w:tl2br w:val="nil"/>
                    <w:tr2bl w:val="nil"/>
                  </w:tcBorders>
                  <w:vAlign w:val="center"/>
                </w:tcPr>
                <w:p w14:paraId="64D67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执行标准</w:t>
                  </w:r>
                </w:p>
              </w:tc>
            </w:tr>
            <w:tr w14:paraId="7C47F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tcBorders>
                    <w:tl2br w:val="nil"/>
                    <w:tr2bl w:val="nil"/>
                  </w:tcBorders>
                  <w:vAlign w:val="center"/>
                </w:tcPr>
                <w:p w14:paraId="04309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废气</w:t>
                  </w:r>
                </w:p>
              </w:tc>
              <w:tc>
                <w:tcPr>
                  <w:tcW w:w="1805" w:type="dxa"/>
                  <w:vMerge w:val="restart"/>
                  <w:tcBorders>
                    <w:tl2br w:val="nil"/>
                    <w:tr2bl w:val="nil"/>
                  </w:tcBorders>
                  <w:vAlign w:val="center"/>
                </w:tcPr>
                <w:p w14:paraId="49A41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项目设置排风系统，并安装活性炭净化装置和排风机。对宠物笼、各个房间及时采取清理清洁；喷洒清新剂、除臭剂</w:t>
                  </w:r>
                </w:p>
              </w:tc>
              <w:tc>
                <w:tcPr>
                  <w:tcW w:w="1015" w:type="dxa"/>
                  <w:vMerge w:val="restart"/>
                  <w:tcBorders>
                    <w:tl2br w:val="nil"/>
                    <w:tr2bl w:val="nil"/>
                  </w:tcBorders>
                  <w:vAlign w:val="center"/>
                </w:tcPr>
                <w:p w14:paraId="28558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无组织排放</w:t>
                  </w:r>
                </w:p>
              </w:tc>
              <w:tc>
                <w:tcPr>
                  <w:tcW w:w="1433" w:type="dxa"/>
                  <w:tcBorders>
                    <w:tl2br w:val="nil"/>
                    <w:tr2bl w:val="nil"/>
                  </w:tcBorders>
                  <w:shd w:val="clear" w:color="auto" w:fill="auto"/>
                  <w:vAlign w:val="center"/>
                </w:tcPr>
                <w:p w14:paraId="63012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highlight w:val="none"/>
                      <w:vertAlign w:val="baseline"/>
                      <w:lang w:val="en-US" w:eastAsia="zh-CN" w:bidi="ar-SA"/>
                    </w:rPr>
                  </w:pPr>
                  <w:r>
                    <w:rPr>
                      <w:rFonts w:hint="eastAsia"/>
                      <w:sz w:val="21"/>
                      <w:szCs w:val="21"/>
                      <w:highlight w:val="none"/>
                      <w:vertAlign w:val="baseline"/>
                      <w:lang w:val="en-US" w:eastAsia="zh-CN"/>
                    </w:rPr>
                    <w:t>H</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S</w:t>
                  </w:r>
                </w:p>
              </w:tc>
              <w:tc>
                <w:tcPr>
                  <w:tcW w:w="1224" w:type="dxa"/>
                  <w:tcBorders>
                    <w:tl2br w:val="nil"/>
                    <w:tr2bl w:val="nil"/>
                  </w:tcBorders>
                  <w:vAlign w:val="center"/>
                </w:tcPr>
                <w:p w14:paraId="25349D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0.01mg/m</w:t>
                  </w:r>
                  <w:r>
                    <w:rPr>
                      <w:rFonts w:hint="eastAsia"/>
                      <w:sz w:val="21"/>
                      <w:szCs w:val="21"/>
                      <w:vertAlign w:val="superscript"/>
                      <w:lang w:val="en-US" w:eastAsia="zh-CN"/>
                    </w:rPr>
                    <w:t>3</w:t>
                  </w:r>
                </w:p>
              </w:tc>
              <w:tc>
                <w:tcPr>
                  <w:tcW w:w="1229" w:type="dxa"/>
                  <w:vMerge w:val="restart"/>
                  <w:tcBorders>
                    <w:tl2br w:val="nil"/>
                    <w:tr2bl w:val="nil"/>
                  </w:tcBorders>
                  <w:vAlign w:val="center"/>
                </w:tcPr>
                <w:p w14:paraId="4D71DB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北京市《大气污染物综合排放标准》（DB11/501-2017）</w:t>
                  </w:r>
                </w:p>
              </w:tc>
            </w:tr>
            <w:tr w14:paraId="6A53E2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vAlign w:val="center"/>
                </w:tcPr>
                <w:p w14:paraId="0ABE37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tcBorders>
                    <w:tl2br w:val="nil"/>
                    <w:tr2bl w:val="nil"/>
                  </w:tcBorders>
                  <w:vAlign w:val="center"/>
                </w:tcPr>
                <w:p w14:paraId="22823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tcBorders>
                    <w:tl2br w:val="nil"/>
                    <w:tr2bl w:val="nil"/>
                  </w:tcBorders>
                  <w:vAlign w:val="center"/>
                </w:tcPr>
                <w:p w14:paraId="5B400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433" w:type="dxa"/>
                  <w:tcBorders>
                    <w:tl2br w:val="nil"/>
                    <w:tr2bl w:val="nil"/>
                  </w:tcBorders>
                  <w:shd w:val="clear" w:color="auto" w:fill="auto"/>
                  <w:vAlign w:val="center"/>
                </w:tcPr>
                <w:p w14:paraId="2CF97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highlight w:val="none"/>
                      <w:vertAlign w:val="baseline"/>
                      <w:lang w:val="en-US" w:eastAsia="zh-CN" w:bidi="ar-SA"/>
                    </w:rPr>
                  </w:pPr>
                  <w:r>
                    <w:rPr>
                      <w:rFonts w:hint="eastAsia"/>
                      <w:sz w:val="21"/>
                      <w:szCs w:val="21"/>
                      <w:highlight w:val="none"/>
                      <w:vertAlign w:val="baseline"/>
                      <w:lang w:val="en-US" w:eastAsia="zh-CN"/>
                    </w:rPr>
                    <w:t>NH</w:t>
                  </w:r>
                  <w:r>
                    <w:rPr>
                      <w:rFonts w:hint="eastAsia"/>
                      <w:sz w:val="21"/>
                      <w:szCs w:val="21"/>
                      <w:highlight w:val="none"/>
                      <w:vertAlign w:val="subscript"/>
                      <w:lang w:val="en-US" w:eastAsia="zh-CN"/>
                    </w:rPr>
                    <w:t>3</w:t>
                  </w:r>
                </w:p>
              </w:tc>
              <w:tc>
                <w:tcPr>
                  <w:tcW w:w="1224" w:type="dxa"/>
                  <w:tcBorders>
                    <w:tl2br w:val="nil"/>
                    <w:tr2bl w:val="nil"/>
                  </w:tcBorders>
                  <w:vAlign w:val="center"/>
                </w:tcPr>
                <w:p w14:paraId="68B24D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0.20mg/m</w:t>
                  </w:r>
                  <w:r>
                    <w:rPr>
                      <w:rFonts w:hint="eastAsia"/>
                      <w:sz w:val="21"/>
                      <w:szCs w:val="21"/>
                      <w:vertAlign w:val="superscript"/>
                      <w:lang w:val="en-US" w:eastAsia="zh-CN"/>
                    </w:rPr>
                    <w:t>3</w:t>
                  </w:r>
                </w:p>
              </w:tc>
              <w:tc>
                <w:tcPr>
                  <w:tcW w:w="1229" w:type="dxa"/>
                  <w:vMerge w:val="continue"/>
                  <w:tcBorders>
                    <w:tl2br w:val="nil"/>
                    <w:tr2bl w:val="nil"/>
                  </w:tcBorders>
                  <w:vAlign w:val="center"/>
                </w:tcPr>
                <w:p w14:paraId="3F7D8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65C2CE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55336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10100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363B9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1AF34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highlight w:val="none"/>
                      <w:vertAlign w:val="baseline"/>
                      <w:lang w:val="en-US" w:eastAsia="zh-CN" w:bidi="ar-SA"/>
                    </w:rPr>
                  </w:pPr>
                  <w:r>
                    <w:rPr>
                      <w:rFonts w:hint="eastAsia"/>
                      <w:sz w:val="21"/>
                      <w:szCs w:val="21"/>
                      <w:highlight w:val="none"/>
                      <w:vertAlign w:val="baseline"/>
                      <w:lang w:val="en-US" w:eastAsia="zh-CN"/>
                    </w:rPr>
                    <w:t>臭气浓度</w:t>
                  </w:r>
                </w:p>
              </w:tc>
              <w:tc>
                <w:tcPr>
                  <w:tcW w:w="0" w:type="auto"/>
                  <w:vAlign w:val="center"/>
                </w:tcPr>
                <w:p w14:paraId="46C4F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20无量纲</w:t>
                  </w:r>
                </w:p>
              </w:tc>
              <w:tc>
                <w:tcPr>
                  <w:tcW w:w="1229" w:type="dxa"/>
                  <w:vMerge w:val="continue"/>
                  <w:vAlign w:val="center"/>
                </w:tcPr>
                <w:p w14:paraId="7843B9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6DA3B1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vAlign w:val="center"/>
                </w:tcPr>
                <w:p w14:paraId="28D85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w:t>
                  </w:r>
                </w:p>
              </w:tc>
              <w:tc>
                <w:tcPr>
                  <w:tcW w:w="1805" w:type="dxa"/>
                  <w:vMerge w:val="restart"/>
                  <w:vAlign w:val="center"/>
                </w:tcPr>
                <w:p w14:paraId="26A947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动物诊疗废水、美容洗浴废水经污水处理设备消毒后，与生活污水一同排入所在建筑集中防渗化粪池预处理，最终经市政污水管网进入小红门再生水厂集中处理</w:t>
                  </w:r>
                </w:p>
              </w:tc>
              <w:tc>
                <w:tcPr>
                  <w:tcW w:w="1015" w:type="dxa"/>
                  <w:vMerge w:val="restart"/>
                  <w:vAlign w:val="center"/>
                </w:tcPr>
                <w:p w14:paraId="178C7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废水总排口DW001</w:t>
                  </w:r>
                </w:p>
              </w:tc>
              <w:tc>
                <w:tcPr>
                  <w:tcW w:w="0" w:type="auto"/>
                  <w:shd w:val="clear" w:color="auto" w:fill="auto"/>
                  <w:vAlign w:val="center"/>
                </w:tcPr>
                <w:p w14:paraId="33C74B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pH</w:t>
                  </w:r>
                </w:p>
              </w:tc>
              <w:tc>
                <w:tcPr>
                  <w:tcW w:w="0" w:type="auto"/>
                  <w:vAlign w:val="center"/>
                </w:tcPr>
                <w:p w14:paraId="6113C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6.5~9</w:t>
                  </w:r>
                </w:p>
              </w:tc>
              <w:tc>
                <w:tcPr>
                  <w:tcW w:w="1229" w:type="dxa"/>
                  <w:vMerge w:val="restart"/>
                  <w:vAlign w:val="center"/>
                </w:tcPr>
                <w:p w14:paraId="23475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北京市《水污染物综合排放标准》（DB11/307-2013）</w:t>
                  </w:r>
                </w:p>
              </w:tc>
            </w:tr>
            <w:tr w14:paraId="05CE94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2B95A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71655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6AA10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6A76D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CODcr</w:t>
                  </w:r>
                </w:p>
              </w:tc>
              <w:tc>
                <w:tcPr>
                  <w:tcW w:w="0" w:type="auto"/>
                  <w:vAlign w:val="center"/>
                </w:tcPr>
                <w:p w14:paraId="7A0EB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500mg/L</w:t>
                  </w:r>
                </w:p>
              </w:tc>
              <w:tc>
                <w:tcPr>
                  <w:tcW w:w="1229" w:type="dxa"/>
                  <w:vMerge w:val="continue"/>
                  <w:vAlign w:val="center"/>
                </w:tcPr>
                <w:p w14:paraId="37688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3BDE6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66035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7550B8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6A091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55DC9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BOD</w:t>
                  </w:r>
                  <w:r>
                    <w:rPr>
                      <w:rFonts w:hint="eastAsia"/>
                      <w:sz w:val="21"/>
                      <w:szCs w:val="21"/>
                      <w:vertAlign w:val="subscript"/>
                      <w:lang w:val="en-US" w:eastAsia="zh-CN"/>
                    </w:rPr>
                    <w:t>5</w:t>
                  </w:r>
                </w:p>
              </w:tc>
              <w:tc>
                <w:tcPr>
                  <w:tcW w:w="0" w:type="auto"/>
                  <w:vAlign w:val="center"/>
                </w:tcPr>
                <w:p w14:paraId="0A615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300mg/L</w:t>
                  </w:r>
                </w:p>
              </w:tc>
              <w:tc>
                <w:tcPr>
                  <w:tcW w:w="1229" w:type="dxa"/>
                  <w:vMerge w:val="continue"/>
                  <w:vAlign w:val="center"/>
                </w:tcPr>
                <w:p w14:paraId="52C0C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03512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4ABDCA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0C3B3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314702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61731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SS</w:t>
                  </w:r>
                </w:p>
              </w:tc>
              <w:tc>
                <w:tcPr>
                  <w:tcW w:w="0" w:type="auto"/>
                  <w:vAlign w:val="center"/>
                </w:tcPr>
                <w:p w14:paraId="5E51D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400mg/L</w:t>
                  </w:r>
                </w:p>
              </w:tc>
              <w:tc>
                <w:tcPr>
                  <w:tcW w:w="1229" w:type="dxa"/>
                  <w:vMerge w:val="continue"/>
                  <w:vAlign w:val="center"/>
                </w:tcPr>
                <w:p w14:paraId="3D7DC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29D8B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15D21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534E0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72AF7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32D90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-N</w:t>
                  </w:r>
                </w:p>
              </w:tc>
              <w:tc>
                <w:tcPr>
                  <w:tcW w:w="0" w:type="auto"/>
                  <w:vAlign w:val="center"/>
                </w:tcPr>
                <w:p w14:paraId="5C32B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45mg/L</w:t>
                  </w:r>
                </w:p>
              </w:tc>
              <w:tc>
                <w:tcPr>
                  <w:tcW w:w="1229" w:type="dxa"/>
                  <w:vMerge w:val="continue"/>
                  <w:vAlign w:val="center"/>
                </w:tcPr>
                <w:p w14:paraId="087907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7FACB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45C39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2A64A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4C8B4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2DB46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总余氯</w:t>
                  </w:r>
                </w:p>
              </w:tc>
              <w:tc>
                <w:tcPr>
                  <w:tcW w:w="0" w:type="auto"/>
                  <w:vAlign w:val="center"/>
                </w:tcPr>
                <w:p w14:paraId="60941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8mg/L</w:t>
                  </w:r>
                </w:p>
              </w:tc>
              <w:tc>
                <w:tcPr>
                  <w:tcW w:w="1229" w:type="dxa"/>
                  <w:vMerge w:val="continue"/>
                  <w:vAlign w:val="center"/>
                </w:tcPr>
                <w:p w14:paraId="1B87E6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3A027E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0957F1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28E6C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015" w:type="dxa"/>
                  <w:vMerge w:val="continue"/>
                  <w:vAlign w:val="center"/>
                </w:tcPr>
                <w:p w14:paraId="5313CA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shd w:val="clear" w:color="auto" w:fill="auto"/>
                  <w:vAlign w:val="center"/>
                </w:tcPr>
                <w:p w14:paraId="029E8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粪大肠菌群</w:t>
                  </w:r>
                </w:p>
              </w:tc>
              <w:tc>
                <w:tcPr>
                  <w:tcW w:w="0" w:type="auto"/>
                  <w:vAlign w:val="center"/>
                </w:tcPr>
                <w:p w14:paraId="06D93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10000</w:t>
                  </w:r>
                </w:p>
                <w:p w14:paraId="66DF4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MPN/L</w:t>
                  </w:r>
                </w:p>
              </w:tc>
              <w:tc>
                <w:tcPr>
                  <w:tcW w:w="1229" w:type="dxa"/>
                  <w:vMerge w:val="continue"/>
                  <w:vAlign w:val="center"/>
                </w:tcPr>
                <w:p w14:paraId="17C64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4D1D7A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vAlign w:val="center"/>
                </w:tcPr>
                <w:p w14:paraId="4EBD6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噪声</w:t>
                  </w:r>
                </w:p>
              </w:tc>
              <w:tc>
                <w:tcPr>
                  <w:tcW w:w="1805" w:type="dxa"/>
                  <w:vMerge w:val="restart"/>
                  <w:vAlign w:val="center"/>
                </w:tcPr>
                <w:p w14:paraId="36F0E3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合理布局、采用低噪声设备、安装减振等；室内等候、加强管理等</w:t>
                  </w:r>
                </w:p>
              </w:tc>
              <w:tc>
                <w:tcPr>
                  <w:tcW w:w="0" w:type="auto"/>
                  <w:vAlign w:val="center"/>
                </w:tcPr>
                <w:p w14:paraId="30707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北厂界</w:t>
                  </w:r>
                </w:p>
              </w:tc>
              <w:tc>
                <w:tcPr>
                  <w:tcW w:w="1433" w:type="dxa"/>
                  <w:vMerge w:val="restart"/>
                  <w:shd w:val="clear" w:color="auto" w:fill="auto"/>
                  <w:vAlign w:val="center"/>
                </w:tcPr>
                <w:p w14:paraId="15ACD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等效连续A声级</w:t>
                  </w:r>
                </w:p>
              </w:tc>
              <w:tc>
                <w:tcPr>
                  <w:tcW w:w="1224" w:type="dxa"/>
                  <w:vMerge w:val="restart"/>
                  <w:vAlign w:val="center"/>
                </w:tcPr>
                <w:p w14:paraId="1D73C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昼间55dB(A)</w:t>
                  </w:r>
                </w:p>
                <w:p w14:paraId="1B622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夜间45dB(A)</w:t>
                  </w:r>
                </w:p>
              </w:tc>
              <w:tc>
                <w:tcPr>
                  <w:tcW w:w="1229" w:type="dxa"/>
                  <w:vMerge w:val="restart"/>
                  <w:vAlign w:val="center"/>
                </w:tcPr>
                <w:p w14:paraId="4AF6A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《工业企业厂界环境噪声排放标准》（GB12348-2008）中1类标准</w:t>
                  </w:r>
                </w:p>
              </w:tc>
            </w:tr>
            <w:tr w14:paraId="49BFE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vAlign w:val="center"/>
                </w:tcPr>
                <w:p w14:paraId="2C4D3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1805" w:type="dxa"/>
                  <w:vMerge w:val="continue"/>
                  <w:vAlign w:val="center"/>
                </w:tcPr>
                <w:p w14:paraId="34951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p>
              </w:tc>
              <w:tc>
                <w:tcPr>
                  <w:tcW w:w="0" w:type="auto"/>
                  <w:vAlign w:val="center"/>
                </w:tcPr>
                <w:p w14:paraId="7023F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南厂界</w:t>
                  </w:r>
                </w:p>
              </w:tc>
              <w:tc>
                <w:tcPr>
                  <w:tcW w:w="1433" w:type="dxa"/>
                  <w:vMerge w:val="continue"/>
                  <w:shd w:val="clear" w:color="auto" w:fill="auto"/>
                  <w:vAlign w:val="center"/>
                </w:tcPr>
                <w:p w14:paraId="49F79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24" w:type="dxa"/>
                  <w:vMerge w:val="continue"/>
                  <w:vAlign w:val="center"/>
                </w:tcPr>
                <w:p w14:paraId="3B22CD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c>
                <w:tcPr>
                  <w:tcW w:w="1229" w:type="dxa"/>
                  <w:vMerge w:val="continue"/>
                  <w:vAlign w:val="center"/>
                </w:tcPr>
                <w:p w14:paraId="382CE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p>
              </w:tc>
            </w:tr>
            <w:tr w14:paraId="290D0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38012B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固体废物</w:t>
                  </w:r>
                </w:p>
              </w:tc>
              <w:tc>
                <w:tcPr>
                  <w:tcW w:w="0" w:type="auto"/>
                  <w:vAlign w:val="center"/>
                </w:tcPr>
                <w:p w14:paraId="70794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建设医疗废物</w:t>
                  </w:r>
                </w:p>
                <w:p w14:paraId="1F6330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暂存间，并委托</w:t>
                  </w:r>
                </w:p>
                <w:p w14:paraId="2FD70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资质单位对医</w:t>
                  </w:r>
                </w:p>
                <w:p w14:paraId="7BD11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疗废物进行清</w:t>
                  </w:r>
                </w:p>
                <w:p w14:paraId="65C72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运处置</w:t>
                  </w:r>
                </w:p>
              </w:tc>
              <w:tc>
                <w:tcPr>
                  <w:tcW w:w="0" w:type="auto"/>
                  <w:vAlign w:val="center"/>
                </w:tcPr>
                <w:p w14:paraId="3648BF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0" w:type="auto"/>
                  <w:shd w:val="clear" w:color="auto" w:fill="auto"/>
                  <w:vAlign w:val="center"/>
                </w:tcPr>
                <w:p w14:paraId="3F1E3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default"/>
                      <w:sz w:val="21"/>
                      <w:szCs w:val="21"/>
                      <w:vertAlign w:val="baseline"/>
                      <w:lang w:val="en-US" w:eastAsia="zh-CN"/>
                    </w:rPr>
                    <w:t>医疗废物暂存间、危险废物清运处置协议、转移联单</w:t>
                  </w:r>
                </w:p>
              </w:tc>
              <w:tc>
                <w:tcPr>
                  <w:tcW w:w="0" w:type="auto"/>
                  <w:vAlign w:val="center"/>
                </w:tcPr>
                <w:p w14:paraId="36C6FE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229" w:type="dxa"/>
                  <w:vAlign w:val="center"/>
                </w:tcPr>
                <w:p w14:paraId="48D70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《危险废物贮存污染控制标准》（GB18597-2023）、《医疗废物管理条例》（中华人民共和国国务院令第380号令）等</w:t>
                  </w:r>
                </w:p>
              </w:tc>
            </w:tr>
          </w:tbl>
          <w:p w14:paraId="5DB45E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3、监测要求</w:t>
            </w:r>
          </w:p>
          <w:p w14:paraId="43D525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项目废气为无组织排放形式，应按照北京市《大气污染物综合排放标准》（DB11/501-2017）中6.3中“无组织排放监测要求”的规定进行污染物排放监测，即单位周界无组织排放监控点浓度监测按HJ/T 55、HJ/T 194、HJ 691的规定执行。污水监测点应按北京市《固定污染源监测点位设置技术规范》（DB11/1195-2015）要求。</w:t>
            </w:r>
          </w:p>
          <w:p w14:paraId="25BF03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4</w:t>
            </w:r>
            <w:r>
              <w:rPr>
                <w:rFonts w:hint="default"/>
                <w:sz w:val="24"/>
                <w:szCs w:val="24"/>
                <w:vertAlign w:val="baseline"/>
                <w:lang w:val="en-US" w:eastAsia="zh-CN"/>
              </w:rPr>
              <w:t>、与排污许可制衔接要求</w:t>
            </w:r>
          </w:p>
          <w:p w14:paraId="75DEA7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r>
              <w:rPr>
                <w:rFonts w:hint="default"/>
                <w:sz w:val="24"/>
                <w:szCs w:val="24"/>
                <w:vertAlign w:val="baseline"/>
                <w:lang w:val="en-US" w:eastAsia="zh-CN"/>
              </w:rPr>
              <w:t>根据《国民经济行业分类》（GB/T 4754-2017）及其修改单，本项目行业类别属于</w:t>
            </w:r>
            <w:r>
              <w:rPr>
                <w:rFonts w:hint="eastAsia"/>
                <w:sz w:val="24"/>
                <w:szCs w:val="24"/>
                <w:vertAlign w:val="baseline"/>
                <w:lang w:val="en-US" w:eastAsia="zh-CN"/>
              </w:rPr>
              <w:t>“</w:t>
            </w:r>
            <w:r>
              <w:rPr>
                <w:rFonts w:hint="default"/>
                <w:sz w:val="24"/>
                <w:szCs w:val="24"/>
                <w:vertAlign w:val="baseline"/>
                <w:lang w:val="en-US" w:eastAsia="zh-CN"/>
              </w:rPr>
              <w:t>O8222宠物医院服务</w:t>
            </w:r>
            <w:r>
              <w:rPr>
                <w:rFonts w:hint="eastAsia"/>
                <w:sz w:val="24"/>
                <w:szCs w:val="24"/>
                <w:vertAlign w:val="baseline"/>
                <w:lang w:val="en-US" w:eastAsia="zh-CN"/>
              </w:rPr>
              <w:t>”</w:t>
            </w:r>
            <w:r>
              <w:rPr>
                <w:rFonts w:hint="default"/>
                <w:sz w:val="24"/>
                <w:szCs w:val="24"/>
                <w:vertAlign w:val="baseline"/>
                <w:lang w:val="en-US" w:eastAsia="zh-CN"/>
              </w:rPr>
              <w:t>。经核对《固定污染源排污许可分类管理名录（2019年版）》，本项目属于</w:t>
            </w:r>
            <w:r>
              <w:rPr>
                <w:rFonts w:hint="eastAsia"/>
                <w:sz w:val="24"/>
                <w:szCs w:val="24"/>
                <w:vertAlign w:val="baseline"/>
                <w:lang w:val="en-US" w:eastAsia="zh-CN"/>
              </w:rPr>
              <w:t>“</w:t>
            </w:r>
            <w:r>
              <w:rPr>
                <w:rFonts w:hint="default"/>
                <w:sz w:val="24"/>
                <w:szCs w:val="24"/>
                <w:vertAlign w:val="baseline"/>
                <w:lang w:val="en-US" w:eastAsia="zh-CN"/>
              </w:rPr>
              <w:t>五十、其他行业</w:t>
            </w:r>
            <w:r>
              <w:rPr>
                <w:rFonts w:hint="eastAsia"/>
                <w:sz w:val="24"/>
                <w:szCs w:val="24"/>
                <w:vertAlign w:val="baseline"/>
                <w:lang w:val="en-US" w:eastAsia="zh-CN"/>
              </w:rPr>
              <w:t>”</w:t>
            </w:r>
            <w:r>
              <w:rPr>
                <w:rFonts w:hint="default"/>
                <w:sz w:val="24"/>
                <w:szCs w:val="24"/>
                <w:vertAlign w:val="baseline"/>
                <w:lang w:val="en-US" w:eastAsia="zh-CN"/>
              </w:rPr>
              <w:t>，但不涉及通用工序，依据《排污许可管理办法（试行）》（环境保护部令第48号）中</w:t>
            </w:r>
            <w:r>
              <w:rPr>
                <w:rFonts w:hint="eastAsia"/>
                <w:sz w:val="24"/>
                <w:szCs w:val="24"/>
                <w:vertAlign w:val="baseline"/>
                <w:lang w:val="en-US" w:eastAsia="zh-CN"/>
              </w:rPr>
              <w:t>“</w:t>
            </w:r>
            <w:r>
              <w:rPr>
                <w:rFonts w:hint="default"/>
                <w:sz w:val="24"/>
                <w:szCs w:val="24"/>
                <w:vertAlign w:val="baseline"/>
                <w:lang w:val="en-US" w:eastAsia="zh-CN"/>
              </w:rPr>
              <w:t>未纳入固定污染源排污许可分类管理名录的排污单位，暂不需申请排污许可证</w:t>
            </w:r>
            <w:r>
              <w:rPr>
                <w:rFonts w:hint="eastAsia"/>
                <w:sz w:val="24"/>
                <w:szCs w:val="24"/>
                <w:vertAlign w:val="baseline"/>
                <w:lang w:val="en-US" w:eastAsia="zh-CN"/>
              </w:rPr>
              <w:t>”</w:t>
            </w:r>
            <w:r>
              <w:rPr>
                <w:rFonts w:hint="default"/>
                <w:sz w:val="24"/>
                <w:szCs w:val="24"/>
                <w:vertAlign w:val="baseline"/>
                <w:lang w:val="en-US" w:eastAsia="zh-CN"/>
              </w:rPr>
              <w:t>的规定执行。故本项目不需办理排污许可证。</w:t>
            </w:r>
          </w:p>
          <w:p w14:paraId="2DB58C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p w14:paraId="6A8EF0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vertAlign w:val="baseline"/>
                <w:lang w:val="en-US" w:eastAsia="zh-CN"/>
              </w:rPr>
            </w:pPr>
          </w:p>
        </w:tc>
      </w:tr>
    </w:tbl>
    <w:p w14:paraId="51566361">
      <w:pPr>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E9DB39">
      <w:pPr>
        <w:pStyle w:val="2"/>
        <w:bidi w:val="0"/>
        <w:rPr>
          <w:rFonts w:hint="default"/>
          <w:lang w:val="en-US" w:eastAsia="zh-CN"/>
        </w:rPr>
      </w:pPr>
      <w:r>
        <w:rPr>
          <w:rFonts w:hint="eastAsia"/>
          <w:lang w:val="en-US" w:eastAsia="zh-CN"/>
        </w:rPr>
        <w:t>六、结论</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7252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8948" w:type="dxa"/>
            <w:vAlign w:val="center"/>
          </w:tcPr>
          <w:p w14:paraId="1E7008E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vertAlign w:val="baseline"/>
              </w:rPr>
            </w:pPr>
          </w:p>
          <w:p w14:paraId="06A8F30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r>
              <w:rPr>
                <w:rFonts w:hint="eastAsia"/>
                <w:sz w:val="24"/>
                <w:szCs w:val="24"/>
                <w:vertAlign w:val="baseline"/>
              </w:rPr>
              <w:t>综上所述，本项目符合国家及北京市相关产业政策，污染源治理措施可靠有效，污染物均能够达标排放，可以满足当地的环境功能区划的要求，在全面加强监督管理，执行环保“三同时”制度和认真落实各项环保措施的条件下，可实现各类污染物稳定达标排放，满足区域总量控制要求。从环境保护角度分析，项目的建设是可行的，对环境的影响在可接受的范围。</w:t>
            </w:r>
          </w:p>
          <w:p w14:paraId="39C1FACE">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A0D4688">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2380B0D6">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B20A74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F5B43BA">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E2B8A1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C241D5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AA0BE9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E9F3B1C">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3A88FDF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56A64F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1AFB7F20">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BA7D3B5">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2515AAB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E9EDB61">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003AA4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D81596F">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0BA370F9">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74F8A0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47F2A516">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585C9F1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AAC3477">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8DFF3E2">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70A2E064">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p w14:paraId="6DDFEED5">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4"/>
                <w:szCs w:val="24"/>
                <w:vertAlign w:val="baseline"/>
              </w:rPr>
            </w:pPr>
          </w:p>
        </w:tc>
      </w:tr>
    </w:tbl>
    <w:p w14:paraId="29F34D77">
      <w:p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E10FAF">
      <w:pPr>
        <w:pStyle w:val="2"/>
        <w:keepNext/>
        <w:keepLines/>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sz w:val="28"/>
          <w:szCs w:val="28"/>
          <w:lang w:val="en-US" w:eastAsia="zh-CN"/>
        </w:rPr>
        <w:t>附表</w:t>
      </w:r>
    </w:p>
    <w:p w14:paraId="4B580ACF">
      <w:pPr>
        <w:pStyle w:val="2"/>
        <w:bidi w:val="0"/>
        <w:rPr>
          <w:rFonts w:hint="eastAsia"/>
          <w:lang w:val="en-US" w:eastAsia="zh-CN"/>
        </w:rPr>
      </w:pPr>
      <w:r>
        <w:rPr>
          <w:rFonts w:hint="eastAsia"/>
          <w:lang w:val="en-US" w:eastAsia="zh-CN"/>
        </w:rPr>
        <w:t>建设项目污染物排放量汇总表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707"/>
        <w:gridCol w:w="1554"/>
        <w:gridCol w:w="1554"/>
        <w:gridCol w:w="1554"/>
        <w:gridCol w:w="1554"/>
        <w:gridCol w:w="1554"/>
        <w:gridCol w:w="1923"/>
        <w:gridCol w:w="1191"/>
      </w:tblGrid>
      <w:tr w14:paraId="51F9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83"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6D830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p w14:paraId="799D3A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分类</w:t>
            </w:r>
          </w:p>
          <w:p w14:paraId="737C6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sz w:val="24"/>
                <w:szCs w:val="24"/>
                <w:vertAlign w:val="baseline"/>
                <w:lang w:val="en-US" w:eastAsia="zh-CN"/>
              </w:rPr>
            </w:pPr>
            <w:r>
              <w:rPr>
                <w:rFonts w:hint="eastAsia"/>
                <w:sz w:val="24"/>
                <w:szCs w:val="24"/>
                <w:vertAlign w:val="baseline"/>
                <w:lang w:val="en-US" w:eastAsia="zh-CN"/>
              </w:rPr>
              <w:t>分类</w:t>
            </w:r>
          </w:p>
          <w:p w14:paraId="4559A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 xml:space="preserve">   项目</w:t>
            </w:r>
          </w:p>
        </w:tc>
        <w:tc>
          <w:tcPr>
            <w:tcW w:w="1707" w:type="dxa"/>
            <w:vAlign w:val="center"/>
          </w:tcPr>
          <w:p w14:paraId="17F05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污染物名称</w:t>
            </w:r>
          </w:p>
        </w:tc>
        <w:tc>
          <w:tcPr>
            <w:tcW w:w="1554" w:type="dxa"/>
            <w:vAlign w:val="center"/>
          </w:tcPr>
          <w:p w14:paraId="32F7F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现有工程排放量（固体废物产生量）①</w:t>
            </w:r>
          </w:p>
        </w:tc>
        <w:tc>
          <w:tcPr>
            <w:tcW w:w="1554" w:type="dxa"/>
            <w:vAlign w:val="center"/>
          </w:tcPr>
          <w:p w14:paraId="61A33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现有工程许可排放量②</w:t>
            </w:r>
          </w:p>
        </w:tc>
        <w:tc>
          <w:tcPr>
            <w:tcW w:w="1554" w:type="dxa"/>
            <w:vAlign w:val="center"/>
          </w:tcPr>
          <w:p w14:paraId="0DD0B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在建工程排放量（固体废物产生量）③</w:t>
            </w:r>
          </w:p>
        </w:tc>
        <w:tc>
          <w:tcPr>
            <w:tcW w:w="1554" w:type="dxa"/>
            <w:vAlign w:val="center"/>
          </w:tcPr>
          <w:p w14:paraId="4E3FC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本项目排放量（固体废物产生量）④</w:t>
            </w:r>
          </w:p>
        </w:tc>
        <w:tc>
          <w:tcPr>
            <w:tcW w:w="1554" w:type="dxa"/>
            <w:vAlign w:val="center"/>
          </w:tcPr>
          <w:p w14:paraId="110DD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以新代老削减量（新建项目不填）⑤</w:t>
            </w:r>
          </w:p>
        </w:tc>
        <w:tc>
          <w:tcPr>
            <w:tcW w:w="1923" w:type="dxa"/>
            <w:vAlign w:val="center"/>
          </w:tcPr>
          <w:p w14:paraId="1930B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本项目建成后全厂排放量（固体废物产生量）⑥</w:t>
            </w:r>
          </w:p>
        </w:tc>
        <w:tc>
          <w:tcPr>
            <w:tcW w:w="1191" w:type="dxa"/>
            <w:vAlign w:val="center"/>
          </w:tcPr>
          <w:p w14:paraId="46D7B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变化量⑦</w:t>
            </w:r>
          </w:p>
        </w:tc>
      </w:tr>
      <w:tr w14:paraId="0DD7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45AFD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废气</w:t>
            </w:r>
          </w:p>
        </w:tc>
        <w:tc>
          <w:tcPr>
            <w:tcW w:w="1707" w:type="dxa"/>
            <w:shd w:val="clear" w:color="auto" w:fill="auto"/>
            <w:vAlign w:val="center"/>
          </w:tcPr>
          <w:p w14:paraId="0F4EA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H</w:t>
            </w:r>
            <w:r>
              <w:rPr>
                <w:rFonts w:hint="eastAsia"/>
                <w:sz w:val="24"/>
                <w:szCs w:val="24"/>
                <w:highlight w:val="none"/>
                <w:vertAlign w:val="subscript"/>
                <w:lang w:val="en-US" w:eastAsia="zh-CN"/>
              </w:rPr>
              <w:t>2</w:t>
            </w:r>
            <w:r>
              <w:rPr>
                <w:rFonts w:hint="eastAsia"/>
                <w:sz w:val="24"/>
                <w:szCs w:val="24"/>
                <w:highlight w:val="none"/>
                <w:vertAlign w:val="baseline"/>
                <w:lang w:val="en-US" w:eastAsia="zh-CN"/>
              </w:rPr>
              <w:t>S</w:t>
            </w:r>
          </w:p>
        </w:tc>
        <w:tc>
          <w:tcPr>
            <w:tcW w:w="1554" w:type="dxa"/>
            <w:vAlign w:val="center"/>
          </w:tcPr>
          <w:p w14:paraId="75B8A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7352F7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57528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shd w:val="clear" w:color="auto" w:fill="auto"/>
            <w:vAlign w:val="center"/>
          </w:tcPr>
          <w:p w14:paraId="208D1E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2.00</w:t>
            </w:r>
            <w:r>
              <w:rPr>
                <w:rFonts w:hint="eastAsia"/>
                <w:sz w:val="24"/>
                <w:szCs w:val="24"/>
                <w:vertAlign w:val="baseline"/>
                <w:lang w:val="en-US" w:eastAsia="zh-CN"/>
              </w:rPr>
              <w:t>kg/a</w:t>
            </w:r>
          </w:p>
        </w:tc>
        <w:tc>
          <w:tcPr>
            <w:tcW w:w="1554" w:type="dxa"/>
            <w:vAlign w:val="center"/>
          </w:tcPr>
          <w:p w14:paraId="1543C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788E4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2.00</w:t>
            </w:r>
            <w:r>
              <w:rPr>
                <w:rFonts w:hint="eastAsia"/>
                <w:sz w:val="24"/>
                <w:szCs w:val="24"/>
                <w:vertAlign w:val="baseline"/>
                <w:lang w:val="en-US" w:eastAsia="zh-CN"/>
              </w:rPr>
              <w:t>kg/a</w:t>
            </w:r>
          </w:p>
        </w:tc>
        <w:tc>
          <w:tcPr>
            <w:tcW w:w="1191" w:type="dxa"/>
            <w:shd w:val="clear" w:color="auto" w:fill="auto"/>
            <w:vAlign w:val="center"/>
          </w:tcPr>
          <w:p w14:paraId="6DF8C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+2.00</w:t>
            </w:r>
            <w:r>
              <w:rPr>
                <w:rFonts w:hint="eastAsia"/>
                <w:sz w:val="24"/>
                <w:szCs w:val="24"/>
                <w:vertAlign w:val="baseline"/>
                <w:lang w:val="en-US" w:eastAsia="zh-CN"/>
              </w:rPr>
              <w:t>kg/a</w:t>
            </w:r>
          </w:p>
        </w:tc>
      </w:tr>
      <w:tr w14:paraId="1E2E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5066B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707" w:type="dxa"/>
            <w:shd w:val="clear" w:color="auto" w:fill="auto"/>
            <w:vAlign w:val="center"/>
          </w:tcPr>
          <w:p w14:paraId="3B3B7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NH</w:t>
            </w:r>
            <w:r>
              <w:rPr>
                <w:rFonts w:hint="eastAsia"/>
                <w:sz w:val="24"/>
                <w:szCs w:val="24"/>
                <w:highlight w:val="none"/>
                <w:vertAlign w:val="subscript"/>
                <w:lang w:val="en-US" w:eastAsia="zh-CN"/>
              </w:rPr>
              <w:t>3</w:t>
            </w:r>
          </w:p>
        </w:tc>
        <w:tc>
          <w:tcPr>
            <w:tcW w:w="1554" w:type="dxa"/>
            <w:vAlign w:val="center"/>
          </w:tcPr>
          <w:p w14:paraId="22956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38570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0B929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shd w:val="clear" w:color="auto" w:fill="auto"/>
            <w:vAlign w:val="center"/>
          </w:tcPr>
          <w:p w14:paraId="6CE8C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0.69kg/a</w:t>
            </w:r>
          </w:p>
        </w:tc>
        <w:tc>
          <w:tcPr>
            <w:tcW w:w="1554" w:type="dxa"/>
            <w:vAlign w:val="center"/>
          </w:tcPr>
          <w:p w14:paraId="76DD2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6893E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0.69kg/a</w:t>
            </w:r>
          </w:p>
        </w:tc>
        <w:tc>
          <w:tcPr>
            <w:tcW w:w="1191" w:type="dxa"/>
            <w:shd w:val="clear" w:color="auto" w:fill="auto"/>
            <w:vAlign w:val="center"/>
          </w:tcPr>
          <w:p w14:paraId="47580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+0.69kg/a</w:t>
            </w:r>
          </w:p>
        </w:tc>
      </w:tr>
      <w:tr w14:paraId="7E8D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2084A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707" w:type="dxa"/>
            <w:shd w:val="clear" w:color="auto" w:fill="auto"/>
            <w:vAlign w:val="center"/>
          </w:tcPr>
          <w:p w14:paraId="2ACC1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highlight w:val="none"/>
                <w:vertAlign w:val="baseline"/>
                <w:lang w:val="en-US" w:eastAsia="zh-CN" w:bidi="ar-SA"/>
              </w:rPr>
            </w:pPr>
            <w:r>
              <w:rPr>
                <w:rFonts w:hint="eastAsia"/>
                <w:sz w:val="24"/>
                <w:szCs w:val="24"/>
                <w:highlight w:val="none"/>
                <w:vertAlign w:val="baseline"/>
                <w:lang w:val="en-US" w:eastAsia="zh-CN"/>
              </w:rPr>
              <w:t>臭气浓度</w:t>
            </w:r>
          </w:p>
        </w:tc>
        <w:tc>
          <w:tcPr>
            <w:tcW w:w="1554" w:type="dxa"/>
            <w:vAlign w:val="center"/>
          </w:tcPr>
          <w:p w14:paraId="1F927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1A035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7DA35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shd w:val="clear" w:color="auto" w:fill="auto"/>
            <w:vAlign w:val="center"/>
          </w:tcPr>
          <w:p w14:paraId="01E30F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1D192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4FF6D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191" w:type="dxa"/>
            <w:shd w:val="clear" w:color="auto" w:fill="auto"/>
            <w:vAlign w:val="center"/>
          </w:tcPr>
          <w:p w14:paraId="2B26F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r>
      <w:tr w14:paraId="5D68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3EA5B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废水</w:t>
            </w:r>
          </w:p>
        </w:tc>
        <w:tc>
          <w:tcPr>
            <w:tcW w:w="1707" w:type="dxa"/>
            <w:vAlign w:val="center"/>
          </w:tcPr>
          <w:p w14:paraId="5B125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CODcr</w:t>
            </w:r>
          </w:p>
        </w:tc>
        <w:tc>
          <w:tcPr>
            <w:tcW w:w="1554" w:type="dxa"/>
            <w:vAlign w:val="center"/>
          </w:tcPr>
          <w:p w14:paraId="6AE93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38547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2EE87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3C549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0.060t/a</w:t>
            </w:r>
          </w:p>
        </w:tc>
        <w:tc>
          <w:tcPr>
            <w:tcW w:w="1554" w:type="dxa"/>
            <w:vAlign w:val="center"/>
          </w:tcPr>
          <w:p w14:paraId="4592B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65211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0.060t/a</w:t>
            </w:r>
          </w:p>
        </w:tc>
        <w:tc>
          <w:tcPr>
            <w:tcW w:w="1191" w:type="dxa"/>
            <w:shd w:val="clear" w:color="auto" w:fill="auto"/>
            <w:vAlign w:val="center"/>
          </w:tcPr>
          <w:p w14:paraId="342F1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+0.060t/a</w:t>
            </w:r>
          </w:p>
        </w:tc>
      </w:tr>
      <w:tr w14:paraId="7AC0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63BAE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p>
        </w:tc>
        <w:tc>
          <w:tcPr>
            <w:tcW w:w="1707" w:type="dxa"/>
            <w:vAlign w:val="center"/>
          </w:tcPr>
          <w:p w14:paraId="28B3AC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NH</w:t>
            </w:r>
            <w:r>
              <w:rPr>
                <w:rFonts w:hint="eastAsia"/>
                <w:sz w:val="24"/>
                <w:szCs w:val="24"/>
                <w:vertAlign w:val="subscript"/>
                <w:lang w:val="en-US" w:eastAsia="zh-CN"/>
              </w:rPr>
              <w:t>3</w:t>
            </w:r>
            <w:r>
              <w:rPr>
                <w:rFonts w:hint="eastAsia"/>
                <w:sz w:val="24"/>
                <w:szCs w:val="24"/>
                <w:vertAlign w:val="baseline"/>
                <w:lang w:val="en-US" w:eastAsia="zh-CN"/>
              </w:rPr>
              <w:t>-N</w:t>
            </w:r>
          </w:p>
        </w:tc>
        <w:tc>
          <w:tcPr>
            <w:tcW w:w="1554" w:type="dxa"/>
            <w:vAlign w:val="center"/>
          </w:tcPr>
          <w:p w14:paraId="26603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48CC0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7709E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58BDE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0.008t/a</w:t>
            </w:r>
          </w:p>
        </w:tc>
        <w:tc>
          <w:tcPr>
            <w:tcW w:w="1554" w:type="dxa"/>
            <w:vAlign w:val="center"/>
          </w:tcPr>
          <w:p w14:paraId="0DEC3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17417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0.008t/a</w:t>
            </w:r>
          </w:p>
        </w:tc>
        <w:tc>
          <w:tcPr>
            <w:tcW w:w="1191" w:type="dxa"/>
            <w:shd w:val="clear" w:color="auto" w:fill="auto"/>
            <w:vAlign w:val="center"/>
          </w:tcPr>
          <w:p w14:paraId="73642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+0.008t/a</w:t>
            </w:r>
          </w:p>
        </w:tc>
      </w:tr>
      <w:tr w14:paraId="6A8E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25DC0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生活垃圾</w:t>
            </w:r>
          </w:p>
        </w:tc>
        <w:tc>
          <w:tcPr>
            <w:tcW w:w="1707" w:type="dxa"/>
            <w:vAlign w:val="center"/>
          </w:tcPr>
          <w:p w14:paraId="2BF9C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生活垃圾</w:t>
            </w:r>
          </w:p>
        </w:tc>
        <w:tc>
          <w:tcPr>
            <w:tcW w:w="1554" w:type="dxa"/>
            <w:vAlign w:val="center"/>
          </w:tcPr>
          <w:p w14:paraId="6CC1B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50AC3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26A21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21BED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0.96t/a</w:t>
            </w:r>
          </w:p>
        </w:tc>
        <w:tc>
          <w:tcPr>
            <w:tcW w:w="1554" w:type="dxa"/>
            <w:vAlign w:val="center"/>
          </w:tcPr>
          <w:p w14:paraId="2EF86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77AC8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0.96t/a</w:t>
            </w:r>
          </w:p>
        </w:tc>
        <w:tc>
          <w:tcPr>
            <w:tcW w:w="1191" w:type="dxa"/>
            <w:shd w:val="clear" w:color="auto" w:fill="auto"/>
            <w:vAlign w:val="center"/>
          </w:tcPr>
          <w:p w14:paraId="1FC8C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+0.96t/a</w:t>
            </w:r>
          </w:p>
        </w:tc>
      </w:tr>
      <w:tr w14:paraId="3F0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18996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一般工业固体废物</w:t>
            </w:r>
          </w:p>
        </w:tc>
        <w:tc>
          <w:tcPr>
            <w:tcW w:w="1707" w:type="dxa"/>
            <w:vAlign w:val="center"/>
          </w:tcPr>
          <w:p w14:paraId="27267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包装物</w:t>
            </w:r>
          </w:p>
        </w:tc>
        <w:tc>
          <w:tcPr>
            <w:tcW w:w="1554" w:type="dxa"/>
            <w:vAlign w:val="center"/>
          </w:tcPr>
          <w:p w14:paraId="38446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77C433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27EC3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1ED08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0.20t/a</w:t>
            </w:r>
          </w:p>
        </w:tc>
        <w:tc>
          <w:tcPr>
            <w:tcW w:w="1554" w:type="dxa"/>
            <w:vAlign w:val="center"/>
          </w:tcPr>
          <w:p w14:paraId="13E50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0A888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0.20t/a</w:t>
            </w:r>
          </w:p>
        </w:tc>
        <w:tc>
          <w:tcPr>
            <w:tcW w:w="1191" w:type="dxa"/>
            <w:shd w:val="clear" w:color="auto" w:fill="auto"/>
            <w:vAlign w:val="center"/>
          </w:tcPr>
          <w:p w14:paraId="6CB19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+0.20t/a</w:t>
            </w:r>
          </w:p>
        </w:tc>
      </w:tr>
      <w:tr w14:paraId="2740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4D5D07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p>
        </w:tc>
        <w:tc>
          <w:tcPr>
            <w:tcW w:w="1707" w:type="dxa"/>
            <w:vAlign w:val="center"/>
          </w:tcPr>
          <w:p w14:paraId="7C01E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废活性炭</w:t>
            </w:r>
          </w:p>
        </w:tc>
        <w:tc>
          <w:tcPr>
            <w:tcW w:w="1554" w:type="dxa"/>
            <w:vAlign w:val="center"/>
          </w:tcPr>
          <w:p w14:paraId="6116A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4250BF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5A465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554" w:type="dxa"/>
            <w:vAlign w:val="center"/>
          </w:tcPr>
          <w:p w14:paraId="062B7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0.004t/a</w:t>
            </w:r>
          </w:p>
        </w:tc>
        <w:tc>
          <w:tcPr>
            <w:tcW w:w="1554" w:type="dxa"/>
            <w:vAlign w:val="center"/>
          </w:tcPr>
          <w:p w14:paraId="29577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3EFD6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0.004t/a</w:t>
            </w:r>
          </w:p>
        </w:tc>
        <w:tc>
          <w:tcPr>
            <w:tcW w:w="1191" w:type="dxa"/>
            <w:shd w:val="clear" w:color="auto" w:fill="auto"/>
            <w:vAlign w:val="center"/>
          </w:tcPr>
          <w:p w14:paraId="2456E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kern w:val="2"/>
                <w:sz w:val="24"/>
                <w:szCs w:val="24"/>
                <w:vertAlign w:val="baseline"/>
                <w:lang w:val="en-US" w:eastAsia="zh-CN" w:bidi="ar-SA"/>
              </w:rPr>
            </w:pPr>
            <w:r>
              <w:rPr>
                <w:rFonts w:hint="eastAsia"/>
                <w:sz w:val="24"/>
                <w:szCs w:val="24"/>
                <w:vertAlign w:val="baseline"/>
                <w:lang w:val="en-US" w:eastAsia="zh-CN"/>
              </w:rPr>
              <w:t>+0.004t/a</w:t>
            </w:r>
          </w:p>
        </w:tc>
      </w:tr>
      <w:tr w14:paraId="4BE2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7A45B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危险废物</w:t>
            </w:r>
          </w:p>
        </w:tc>
        <w:tc>
          <w:tcPr>
            <w:tcW w:w="1707" w:type="dxa"/>
            <w:shd w:val="clear" w:color="auto" w:fill="auto"/>
            <w:vAlign w:val="center"/>
          </w:tcPr>
          <w:p w14:paraId="0DD4B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b w:val="0"/>
                <w:bCs w:val="0"/>
                <w:spacing w:val="-10"/>
                <w:kern w:val="2"/>
                <w:sz w:val="24"/>
                <w:szCs w:val="24"/>
                <w:highlight w:val="none"/>
                <w:vertAlign w:val="baseline"/>
                <w:lang w:val="en-US" w:eastAsia="zh-CN" w:bidi="ar-SA"/>
              </w:rPr>
            </w:pPr>
            <w:r>
              <w:rPr>
                <w:rFonts w:hint="eastAsia"/>
                <w:b w:val="0"/>
                <w:bCs w:val="0"/>
                <w:spacing w:val="-10"/>
                <w:sz w:val="24"/>
                <w:szCs w:val="24"/>
                <w:highlight w:val="none"/>
                <w:vertAlign w:val="baseline"/>
                <w:lang w:val="en-US" w:eastAsia="zh-CN"/>
              </w:rPr>
              <w:t>医疗废物</w:t>
            </w:r>
          </w:p>
        </w:tc>
        <w:tc>
          <w:tcPr>
            <w:tcW w:w="1554" w:type="dxa"/>
            <w:shd w:val="clear" w:color="auto" w:fill="auto"/>
            <w:vAlign w:val="center"/>
          </w:tcPr>
          <w:p w14:paraId="433A7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554" w:type="dxa"/>
            <w:shd w:val="clear" w:color="auto" w:fill="auto"/>
            <w:vAlign w:val="center"/>
          </w:tcPr>
          <w:p w14:paraId="4B243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554" w:type="dxa"/>
            <w:shd w:val="clear" w:color="auto" w:fill="auto"/>
            <w:vAlign w:val="center"/>
          </w:tcPr>
          <w:p w14:paraId="35734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sz w:val="24"/>
                <w:szCs w:val="24"/>
                <w:vertAlign w:val="baseline"/>
                <w:lang w:val="en-US" w:eastAsia="zh-CN"/>
              </w:rPr>
              <w:t>/</w:t>
            </w:r>
          </w:p>
        </w:tc>
        <w:tc>
          <w:tcPr>
            <w:tcW w:w="1554" w:type="dxa"/>
            <w:shd w:val="clear" w:color="auto" w:fill="auto"/>
            <w:vAlign w:val="center"/>
          </w:tcPr>
          <w:p w14:paraId="37BAA3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1.38t/a</w:t>
            </w:r>
          </w:p>
        </w:tc>
        <w:tc>
          <w:tcPr>
            <w:tcW w:w="1554" w:type="dxa"/>
            <w:vAlign w:val="center"/>
          </w:tcPr>
          <w:p w14:paraId="6B1B3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w:t>
            </w:r>
          </w:p>
        </w:tc>
        <w:tc>
          <w:tcPr>
            <w:tcW w:w="1923" w:type="dxa"/>
            <w:shd w:val="clear" w:color="auto" w:fill="auto"/>
            <w:vAlign w:val="center"/>
          </w:tcPr>
          <w:p w14:paraId="1FB4C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1.38t/a</w:t>
            </w:r>
          </w:p>
        </w:tc>
        <w:tc>
          <w:tcPr>
            <w:tcW w:w="1191" w:type="dxa"/>
            <w:shd w:val="clear" w:color="auto" w:fill="auto"/>
            <w:vAlign w:val="center"/>
          </w:tcPr>
          <w:p w14:paraId="4DFF1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b w:val="0"/>
                <w:bCs w:val="0"/>
                <w:spacing w:val="-10"/>
                <w:kern w:val="2"/>
                <w:sz w:val="24"/>
                <w:szCs w:val="24"/>
                <w:highlight w:val="none"/>
                <w:vertAlign w:val="baseline"/>
                <w:lang w:val="en-US" w:eastAsia="zh-CN" w:bidi="ar-SA"/>
              </w:rPr>
            </w:pPr>
            <w:r>
              <w:rPr>
                <w:rFonts w:hint="eastAsia" w:cstheme="minorBidi"/>
                <w:b w:val="0"/>
                <w:bCs w:val="0"/>
                <w:spacing w:val="-10"/>
                <w:kern w:val="2"/>
                <w:sz w:val="24"/>
                <w:szCs w:val="24"/>
                <w:highlight w:val="none"/>
                <w:vertAlign w:val="baseline"/>
                <w:lang w:val="en-US" w:eastAsia="zh-CN" w:bidi="ar-SA"/>
              </w:rPr>
              <w:t>+1.38t/a</w:t>
            </w:r>
          </w:p>
        </w:tc>
      </w:tr>
    </w:tbl>
    <w:p w14:paraId="336D4934">
      <w:pPr>
        <w:ind w:left="0" w:leftChars="0" w:firstLine="0" w:firstLineChars="0"/>
        <w:rPr>
          <w:rFonts w:hint="default"/>
          <w:lang w:val="en-US" w:eastAsia="zh-CN"/>
        </w:rPr>
      </w:pPr>
      <w:r>
        <w:rPr>
          <w:rFonts w:hint="eastAsia"/>
          <w:sz w:val="21"/>
          <w:szCs w:val="21"/>
          <w:lang w:val="en-US" w:eastAsia="zh-CN"/>
        </w:rPr>
        <w:t>注：⑥=①+③+④-⑤；⑦=⑥-①</w:t>
      </w:r>
    </w:p>
    <w:p w14:paraId="02ED2E1A">
      <w:pPr>
        <w:sectPr>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lang w:val="en-US" w:eastAsia="zh-CN"/>
        </w:rPr>
      </w:pPr>
      <w:r>
        <w:rPr>
          <w:rFonts w:hint="eastAsia"/>
          <w:b/>
          <w:bCs/>
          <w:sz w:val="24"/>
          <w:szCs w:val="24"/>
          <w:lang w:val="en-US" w:eastAsia="zh-CN"/>
        </w:rPr>
        <w:t>附图</w:t>
      </w:r>
    </w:p>
    <w:p w14:paraId="2A840484">
      <w:pPr>
        <w:rPr>
          <w:rFonts w:hint="eastAsia"/>
          <w:lang w:val="en-US" w:eastAsia="zh-CN"/>
        </w:rPr>
      </w:pPr>
      <w:r>
        <w:rPr>
          <w:rFonts w:hint="eastAsia"/>
          <w:lang w:val="en-US" w:eastAsia="zh-CN"/>
        </w:rPr>
        <w:t>附图1 项目地理位置图</w:t>
      </w:r>
    </w:p>
    <w:p w14:paraId="0E3A572B">
      <w:pPr>
        <w:rPr>
          <w:rFonts w:hint="eastAsia"/>
          <w:lang w:val="en-US" w:eastAsia="zh-CN"/>
        </w:rPr>
      </w:pPr>
      <w:r>
        <w:rPr>
          <w:rFonts w:hint="eastAsia"/>
          <w:lang w:val="en-US" w:eastAsia="zh-CN"/>
        </w:rPr>
        <w:t>附图2 项目周边关系图</w:t>
      </w:r>
    </w:p>
    <w:p w14:paraId="49E35F7C">
      <w:pPr>
        <w:rPr>
          <w:rFonts w:hint="eastAsia"/>
          <w:lang w:val="en-US" w:eastAsia="zh-CN"/>
        </w:rPr>
      </w:pPr>
      <w:r>
        <w:rPr>
          <w:rFonts w:hint="eastAsia"/>
          <w:lang w:val="en-US" w:eastAsia="zh-CN"/>
        </w:rPr>
        <w:t>附图3 项目平面布置图</w:t>
      </w:r>
    </w:p>
    <w:p w14:paraId="064A03BB">
      <w:pPr>
        <w:rPr>
          <w:rFonts w:hint="eastAsia"/>
          <w:lang w:val="en-US" w:eastAsia="zh-CN"/>
        </w:rPr>
      </w:pPr>
    </w:p>
    <w:p w14:paraId="036C8A3C">
      <w:pPr>
        <w:rPr>
          <w:rFonts w:hint="default"/>
          <w:lang w:val="en-US" w:eastAsia="zh-CN"/>
        </w:rPr>
      </w:pPr>
      <w:r>
        <w:rPr>
          <w:rFonts w:hint="eastAsia"/>
          <w:b/>
          <w:bCs/>
          <w:lang w:val="en-US" w:eastAsia="zh-CN"/>
        </w:rPr>
        <w:t>附件</w:t>
      </w:r>
    </w:p>
    <w:p w14:paraId="599A574A">
      <w:pPr>
        <w:rPr>
          <w:rFonts w:hint="eastAsia"/>
          <w:lang w:val="en-US" w:eastAsia="zh-CN"/>
        </w:rPr>
      </w:pPr>
      <w:r>
        <w:rPr>
          <w:rFonts w:hint="eastAsia"/>
          <w:lang w:val="en-US" w:eastAsia="zh-CN"/>
        </w:rPr>
        <w:t>附件1 营业执照</w:t>
      </w:r>
    </w:p>
    <w:p w14:paraId="6552CB14">
      <w:pPr>
        <w:rPr>
          <w:rFonts w:hint="default"/>
          <w:lang w:val="en-US" w:eastAsia="zh-CN"/>
        </w:rPr>
      </w:pPr>
      <w:r>
        <w:rPr>
          <w:rFonts w:hint="eastAsia"/>
          <w:lang w:val="en-US" w:eastAsia="zh-CN"/>
        </w:rPr>
        <w:t>附件2 动物诊疗许可证</w:t>
      </w:r>
    </w:p>
    <w:p w14:paraId="22B523AD">
      <w:pPr>
        <w:rPr>
          <w:rFonts w:hint="eastAsia"/>
          <w:lang w:val="en-US" w:eastAsia="zh-CN"/>
        </w:rPr>
      </w:pPr>
      <w:r>
        <w:rPr>
          <w:rFonts w:hint="eastAsia"/>
          <w:lang w:val="en-US" w:eastAsia="zh-CN"/>
        </w:rPr>
        <w:t>附件3 租赁协议</w:t>
      </w:r>
    </w:p>
    <w:p w14:paraId="31B46DB5">
      <w:pPr>
        <w:rPr>
          <w:rFonts w:hint="default"/>
          <w:lang w:val="en-US" w:eastAsia="zh-CN"/>
        </w:rPr>
      </w:pPr>
      <w:r>
        <w:rPr>
          <w:rFonts w:hint="eastAsia"/>
          <w:lang w:val="en-US" w:eastAsia="zh-CN"/>
        </w:rPr>
        <w:t>附件4 房产证</w:t>
      </w:r>
    </w:p>
    <w:p w14:paraId="64542089">
      <w:pPr>
        <w:rPr>
          <w:rFonts w:hint="eastAsia"/>
          <w:lang w:val="en-US" w:eastAsia="zh-CN"/>
        </w:rPr>
      </w:pPr>
      <w:r>
        <w:rPr>
          <w:rFonts w:hint="eastAsia"/>
          <w:lang w:val="en-US" w:eastAsia="zh-CN"/>
        </w:rPr>
        <w:t>附件5 危废处置协议</w:t>
      </w:r>
    </w:p>
    <w:p w14:paraId="6E84777D"/>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F88C42-BA08-4B79-906D-CF069C72B4D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2" w:fontKey="{C62F76F0-9736-464C-81BC-B91561DA2355}"/>
  </w:font>
  <w:font w:name="Cambria Math">
    <w:panose1 w:val="02040503050406030204"/>
    <w:charset w:val="00"/>
    <w:family w:val="auto"/>
    <w:pitch w:val="default"/>
    <w:sig w:usb0="E00006FF" w:usb1="420024FF" w:usb2="02000000" w:usb3="00000000" w:csb0="2000019F" w:csb1="00000000"/>
    <w:embedRegular r:id="rId3" w:fontKey="{A8859166-1AD9-4109-ADC3-8CDD9E5A04DE}"/>
  </w:font>
  <w:font w:name="清雅楷书">
    <w:panose1 w:val="02000503000000000000"/>
    <w:charset w:val="86"/>
    <w:family w:val="auto"/>
    <w:pitch w:val="default"/>
    <w:sig w:usb0="8000002F" w:usb1="084164FA" w:usb2="00000012" w:usb3="00000000" w:csb0="00040001" w:csb1="00000000"/>
    <w:embedRegular r:id="rId4" w:fontKey="{9C69CC06-B99F-4C20-B965-26507E34D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6C6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AAD7E">
                          <w:pPr>
                            <w:pStyle w:val="6"/>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47AAD7E">
                    <w:pPr>
                      <w:pStyle w:val="6"/>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OTQyYWQxMTk4OThiOTA2YzA1YjgxN2IzYjZkMmIifQ=="/>
  </w:docVars>
  <w:rsids>
    <w:rsidRoot w:val="1D7F664E"/>
    <w:rsid w:val="002E6922"/>
    <w:rsid w:val="00365F61"/>
    <w:rsid w:val="00481283"/>
    <w:rsid w:val="005673A4"/>
    <w:rsid w:val="00645991"/>
    <w:rsid w:val="007B1791"/>
    <w:rsid w:val="00882190"/>
    <w:rsid w:val="00B06E28"/>
    <w:rsid w:val="00B405E6"/>
    <w:rsid w:val="00D01278"/>
    <w:rsid w:val="00DC5579"/>
    <w:rsid w:val="00FC1153"/>
    <w:rsid w:val="01131056"/>
    <w:rsid w:val="013870C5"/>
    <w:rsid w:val="017B6273"/>
    <w:rsid w:val="019A6605"/>
    <w:rsid w:val="01A67101"/>
    <w:rsid w:val="01CF32DE"/>
    <w:rsid w:val="01E1048D"/>
    <w:rsid w:val="01F54D28"/>
    <w:rsid w:val="020E58C2"/>
    <w:rsid w:val="02214A54"/>
    <w:rsid w:val="02561432"/>
    <w:rsid w:val="026B74AB"/>
    <w:rsid w:val="028265A2"/>
    <w:rsid w:val="028B5457"/>
    <w:rsid w:val="029E3B99"/>
    <w:rsid w:val="02CF10B4"/>
    <w:rsid w:val="02CF4171"/>
    <w:rsid w:val="030F42DA"/>
    <w:rsid w:val="03517FC2"/>
    <w:rsid w:val="0365214C"/>
    <w:rsid w:val="036F3E65"/>
    <w:rsid w:val="03A03184"/>
    <w:rsid w:val="03AF696B"/>
    <w:rsid w:val="03EA2651"/>
    <w:rsid w:val="03F84D6E"/>
    <w:rsid w:val="0414771C"/>
    <w:rsid w:val="043F0BEF"/>
    <w:rsid w:val="046046C1"/>
    <w:rsid w:val="04807D93"/>
    <w:rsid w:val="0482251A"/>
    <w:rsid w:val="04D623D1"/>
    <w:rsid w:val="04F05112"/>
    <w:rsid w:val="05571F68"/>
    <w:rsid w:val="05687CD1"/>
    <w:rsid w:val="05A056BD"/>
    <w:rsid w:val="05CA44E8"/>
    <w:rsid w:val="05E23147"/>
    <w:rsid w:val="05F81E86"/>
    <w:rsid w:val="06226E8B"/>
    <w:rsid w:val="0628019F"/>
    <w:rsid w:val="0630252B"/>
    <w:rsid w:val="06565D7C"/>
    <w:rsid w:val="067F19C3"/>
    <w:rsid w:val="068428E9"/>
    <w:rsid w:val="06C66210"/>
    <w:rsid w:val="06E2193A"/>
    <w:rsid w:val="07125602"/>
    <w:rsid w:val="07131EBF"/>
    <w:rsid w:val="071A5C49"/>
    <w:rsid w:val="072639A0"/>
    <w:rsid w:val="07366080"/>
    <w:rsid w:val="073C1416"/>
    <w:rsid w:val="078B414B"/>
    <w:rsid w:val="07FB6F8A"/>
    <w:rsid w:val="08200903"/>
    <w:rsid w:val="083F3B30"/>
    <w:rsid w:val="089A2898"/>
    <w:rsid w:val="08C43FC2"/>
    <w:rsid w:val="08E25FED"/>
    <w:rsid w:val="08E367C5"/>
    <w:rsid w:val="092B4317"/>
    <w:rsid w:val="093D03BB"/>
    <w:rsid w:val="097A7B38"/>
    <w:rsid w:val="09EB2C7F"/>
    <w:rsid w:val="0A210598"/>
    <w:rsid w:val="0A4E1BFA"/>
    <w:rsid w:val="0A531E98"/>
    <w:rsid w:val="0A5C592B"/>
    <w:rsid w:val="0A775534"/>
    <w:rsid w:val="0AD535F9"/>
    <w:rsid w:val="0AE20526"/>
    <w:rsid w:val="0AF03A75"/>
    <w:rsid w:val="0AFD221C"/>
    <w:rsid w:val="0B0569D0"/>
    <w:rsid w:val="0B2847EE"/>
    <w:rsid w:val="0B4374F7"/>
    <w:rsid w:val="0B892750"/>
    <w:rsid w:val="0B901117"/>
    <w:rsid w:val="0B9A0544"/>
    <w:rsid w:val="0BB47AAC"/>
    <w:rsid w:val="0BFC5617"/>
    <w:rsid w:val="0C061A9A"/>
    <w:rsid w:val="0C457E2B"/>
    <w:rsid w:val="0C566AD6"/>
    <w:rsid w:val="0C6E3D50"/>
    <w:rsid w:val="0C72724E"/>
    <w:rsid w:val="0C99013C"/>
    <w:rsid w:val="0CAD246E"/>
    <w:rsid w:val="0CDD3AEB"/>
    <w:rsid w:val="0CE76C15"/>
    <w:rsid w:val="0CEB41F5"/>
    <w:rsid w:val="0CF05602"/>
    <w:rsid w:val="0D2766C4"/>
    <w:rsid w:val="0D3451F0"/>
    <w:rsid w:val="0D3779E5"/>
    <w:rsid w:val="0DA0008B"/>
    <w:rsid w:val="0DED64B7"/>
    <w:rsid w:val="0DF66631"/>
    <w:rsid w:val="0E1C0F1B"/>
    <w:rsid w:val="0E2F31E9"/>
    <w:rsid w:val="0E362DEB"/>
    <w:rsid w:val="0E4C3A5C"/>
    <w:rsid w:val="0E941B37"/>
    <w:rsid w:val="0EAC6E81"/>
    <w:rsid w:val="0ED2440E"/>
    <w:rsid w:val="0ED876BC"/>
    <w:rsid w:val="0F0A3BA7"/>
    <w:rsid w:val="0F0C3DC3"/>
    <w:rsid w:val="0F20786F"/>
    <w:rsid w:val="0F306279"/>
    <w:rsid w:val="0F3D5D2B"/>
    <w:rsid w:val="0F4470B9"/>
    <w:rsid w:val="0F5157A2"/>
    <w:rsid w:val="0F5337A0"/>
    <w:rsid w:val="0F7B115A"/>
    <w:rsid w:val="0F89169A"/>
    <w:rsid w:val="0FB436F8"/>
    <w:rsid w:val="0FD85487"/>
    <w:rsid w:val="0FE33A04"/>
    <w:rsid w:val="0FF35FE1"/>
    <w:rsid w:val="0FFD54BA"/>
    <w:rsid w:val="100741D0"/>
    <w:rsid w:val="10077732"/>
    <w:rsid w:val="10284C2D"/>
    <w:rsid w:val="103D35F3"/>
    <w:rsid w:val="1047050D"/>
    <w:rsid w:val="10537F4A"/>
    <w:rsid w:val="105C1B2F"/>
    <w:rsid w:val="107309EB"/>
    <w:rsid w:val="10832BD1"/>
    <w:rsid w:val="10A35FE1"/>
    <w:rsid w:val="10BD35C7"/>
    <w:rsid w:val="10D225C6"/>
    <w:rsid w:val="10D514BB"/>
    <w:rsid w:val="11034D52"/>
    <w:rsid w:val="110B7116"/>
    <w:rsid w:val="111565C8"/>
    <w:rsid w:val="114015B7"/>
    <w:rsid w:val="11472E91"/>
    <w:rsid w:val="114D6B16"/>
    <w:rsid w:val="11550591"/>
    <w:rsid w:val="11C646FD"/>
    <w:rsid w:val="11EA579E"/>
    <w:rsid w:val="120C1B9A"/>
    <w:rsid w:val="124D4F3D"/>
    <w:rsid w:val="12541D09"/>
    <w:rsid w:val="12705219"/>
    <w:rsid w:val="12A14823"/>
    <w:rsid w:val="12F22A60"/>
    <w:rsid w:val="13157F18"/>
    <w:rsid w:val="133C054F"/>
    <w:rsid w:val="13445CE2"/>
    <w:rsid w:val="139452E8"/>
    <w:rsid w:val="13BA1693"/>
    <w:rsid w:val="14261483"/>
    <w:rsid w:val="1426657D"/>
    <w:rsid w:val="143924B9"/>
    <w:rsid w:val="143D67CD"/>
    <w:rsid w:val="145B1CE7"/>
    <w:rsid w:val="14885CD7"/>
    <w:rsid w:val="149F15FA"/>
    <w:rsid w:val="14AF035C"/>
    <w:rsid w:val="14B7657F"/>
    <w:rsid w:val="14C166CB"/>
    <w:rsid w:val="14CD4A6A"/>
    <w:rsid w:val="14DA013C"/>
    <w:rsid w:val="14F86CA2"/>
    <w:rsid w:val="151D3621"/>
    <w:rsid w:val="151E65FF"/>
    <w:rsid w:val="152158DE"/>
    <w:rsid w:val="152D6DA8"/>
    <w:rsid w:val="15564E61"/>
    <w:rsid w:val="155C30D0"/>
    <w:rsid w:val="157248F3"/>
    <w:rsid w:val="15882875"/>
    <w:rsid w:val="15A4743F"/>
    <w:rsid w:val="15D65076"/>
    <w:rsid w:val="15E038B4"/>
    <w:rsid w:val="15E61275"/>
    <w:rsid w:val="162866FA"/>
    <w:rsid w:val="16602F12"/>
    <w:rsid w:val="166E0EC0"/>
    <w:rsid w:val="16A14DF1"/>
    <w:rsid w:val="16CE5A82"/>
    <w:rsid w:val="16DA75EF"/>
    <w:rsid w:val="16DC407B"/>
    <w:rsid w:val="16F21AF1"/>
    <w:rsid w:val="17440D71"/>
    <w:rsid w:val="176302F9"/>
    <w:rsid w:val="177B7D38"/>
    <w:rsid w:val="17AF5824"/>
    <w:rsid w:val="17D82A95"/>
    <w:rsid w:val="180715CC"/>
    <w:rsid w:val="18092A52"/>
    <w:rsid w:val="18261A79"/>
    <w:rsid w:val="18365A0D"/>
    <w:rsid w:val="184E52CB"/>
    <w:rsid w:val="18772E29"/>
    <w:rsid w:val="1892123C"/>
    <w:rsid w:val="18A1557C"/>
    <w:rsid w:val="18B25F38"/>
    <w:rsid w:val="18C27E6E"/>
    <w:rsid w:val="18C4730F"/>
    <w:rsid w:val="18D725FB"/>
    <w:rsid w:val="18E3357D"/>
    <w:rsid w:val="18F31882"/>
    <w:rsid w:val="19226886"/>
    <w:rsid w:val="192B1750"/>
    <w:rsid w:val="19744A3F"/>
    <w:rsid w:val="19AB252D"/>
    <w:rsid w:val="19BC6185"/>
    <w:rsid w:val="19D86C87"/>
    <w:rsid w:val="1A005443"/>
    <w:rsid w:val="1A332204"/>
    <w:rsid w:val="1A6249E0"/>
    <w:rsid w:val="1A7F0200"/>
    <w:rsid w:val="1A886A4E"/>
    <w:rsid w:val="1A8E101F"/>
    <w:rsid w:val="1AA44EB0"/>
    <w:rsid w:val="1AB24B0C"/>
    <w:rsid w:val="1AB64BE3"/>
    <w:rsid w:val="1AB95B8E"/>
    <w:rsid w:val="1ABF1CEA"/>
    <w:rsid w:val="1ACB4B33"/>
    <w:rsid w:val="1AD34930"/>
    <w:rsid w:val="1ADA340E"/>
    <w:rsid w:val="1AE00A7A"/>
    <w:rsid w:val="1AE15B68"/>
    <w:rsid w:val="1AEE6496"/>
    <w:rsid w:val="1B065B6B"/>
    <w:rsid w:val="1B385F1B"/>
    <w:rsid w:val="1B4312C5"/>
    <w:rsid w:val="1B621343"/>
    <w:rsid w:val="1B8151F1"/>
    <w:rsid w:val="1B9238A2"/>
    <w:rsid w:val="1BB362FC"/>
    <w:rsid w:val="1BD658B7"/>
    <w:rsid w:val="1BD72DB7"/>
    <w:rsid w:val="1BEF055C"/>
    <w:rsid w:val="1BF105C9"/>
    <w:rsid w:val="1BFA05BD"/>
    <w:rsid w:val="1C333C64"/>
    <w:rsid w:val="1C511068"/>
    <w:rsid w:val="1C633B5F"/>
    <w:rsid w:val="1C705992"/>
    <w:rsid w:val="1D046F94"/>
    <w:rsid w:val="1D062D03"/>
    <w:rsid w:val="1D217B22"/>
    <w:rsid w:val="1D28626C"/>
    <w:rsid w:val="1D2C40BC"/>
    <w:rsid w:val="1D3339B8"/>
    <w:rsid w:val="1D46143F"/>
    <w:rsid w:val="1D517CB5"/>
    <w:rsid w:val="1D5F77B4"/>
    <w:rsid w:val="1D6F5C49"/>
    <w:rsid w:val="1D7F39B2"/>
    <w:rsid w:val="1D7F664E"/>
    <w:rsid w:val="1D994A74"/>
    <w:rsid w:val="1DFC78B2"/>
    <w:rsid w:val="1DFE521F"/>
    <w:rsid w:val="1E125451"/>
    <w:rsid w:val="1E27481D"/>
    <w:rsid w:val="1E4A1365"/>
    <w:rsid w:val="1E5D4164"/>
    <w:rsid w:val="1E697AC5"/>
    <w:rsid w:val="1E8F3F05"/>
    <w:rsid w:val="1EA26DE3"/>
    <w:rsid w:val="1EBC0B3B"/>
    <w:rsid w:val="1F016D75"/>
    <w:rsid w:val="1F056768"/>
    <w:rsid w:val="1F2B5BA0"/>
    <w:rsid w:val="1F4D50E6"/>
    <w:rsid w:val="1F72557D"/>
    <w:rsid w:val="20103DF1"/>
    <w:rsid w:val="20166850"/>
    <w:rsid w:val="202251F5"/>
    <w:rsid w:val="203171E6"/>
    <w:rsid w:val="2043516B"/>
    <w:rsid w:val="204607B7"/>
    <w:rsid w:val="206A7046"/>
    <w:rsid w:val="20806F21"/>
    <w:rsid w:val="209E05F3"/>
    <w:rsid w:val="20A0436C"/>
    <w:rsid w:val="20A26336"/>
    <w:rsid w:val="20D109C9"/>
    <w:rsid w:val="20D65FDF"/>
    <w:rsid w:val="20DD6F2F"/>
    <w:rsid w:val="20DE23E5"/>
    <w:rsid w:val="20EA3839"/>
    <w:rsid w:val="20F14BC7"/>
    <w:rsid w:val="21056B7A"/>
    <w:rsid w:val="212C5BFF"/>
    <w:rsid w:val="213243E7"/>
    <w:rsid w:val="217355DC"/>
    <w:rsid w:val="21C85928"/>
    <w:rsid w:val="21F52EF8"/>
    <w:rsid w:val="21FE134A"/>
    <w:rsid w:val="22037739"/>
    <w:rsid w:val="2265586D"/>
    <w:rsid w:val="22AB456A"/>
    <w:rsid w:val="22CB184E"/>
    <w:rsid w:val="22E06CA1"/>
    <w:rsid w:val="22E653CE"/>
    <w:rsid w:val="2302587B"/>
    <w:rsid w:val="23144B9D"/>
    <w:rsid w:val="23161B1F"/>
    <w:rsid w:val="23251995"/>
    <w:rsid w:val="232B7F52"/>
    <w:rsid w:val="23641680"/>
    <w:rsid w:val="2369313B"/>
    <w:rsid w:val="23694EE9"/>
    <w:rsid w:val="23B56896"/>
    <w:rsid w:val="23BC326A"/>
    <w:rsid w:val="23C14D25"/>
    <w:rsid w:val="23F80BF7"/>
    <w:rsid w:val="240E783E"/>
    <w:rsid w:val="242236D7"/>
    <w:rsid w:val="243454F7"/>
    <w:rsid w:val="24350EEC"/>
    <w:rsid w:val="244514B2"/>
    <w:rsid w:val="244A3EF3"/>
    <w:rsid w:val="249B5576"/>
    <w:rsid w:val="24A3267C"/>
    <w:rsid w:val="24C77BCA"/>
    <w:rsid w:val="24C83E91"/>
    <w:rsid w:val="25050C41"/>
    <w:rsid w:val="253A0D01"/>
    <w:rsid w:val="254404B4"/>
    <w:rsid w:val="254E25E8"/>
    <w:rsid w:val="25585215"/>
    <w:rsid w:val="258A49D0"/>
    <w:rsid w:val="258D4688"/>
    <w:rsid w:val="25983863"/>
    <w:rsid w:val="25F25669"/>
    <w:rsid w:val="26215F4F"/>
    <w:rsid w:val="26612D6B"/>
    <w:rsid w:val="26642ABE"/>
    <w:rsid w:val="266D29E7"/>
    <w:rsid w:val="26AE1D39"/>
    <w:rsid w:val="26EF1BA9"/>
    <w:rsid w:val="26F176CF"/>
    <w:rsid w:val="27062CC4"/>
    <w:rsid w:val="27457A1B"/>
    <w:rsid w:val="274719E5"/>
    <w:rsid w:val="2751016E"/>
    <w:rsid w:val="278247CB"/>
    <w:rsid w:val="279462AC"/>
    <w:rsid w:val="279B763B"/>
    <w:rsid w:val="27E2526A"/>
    <w:rsid w:val="27E4338C"/>
    <w:rsid w:val="280C4E96"/>
    <w:rsid w:val="281A4A03"/>
    <w:rsid w:val="287A34CB"/>
    <w:rsid w:val="289C346E"/>
    <w:rsid w:val="28C464D2"/>
    <w:rsid w:val="28DD07CD"/>
    <w:rsid w:val="28E82D54"/>
    <w:rsid w:val="292C2C40"/>
    <w:rsid w:val="295126A7"/>
    <w:rsid w:val="29AC6221"/>
    <w:rsid w:val="29D07A70"/>
    <w:rsid w:val="29D37560"/>
    <w:rsid w:val="29DC75D4"/>
    <w:rsid w:val="2A0E1655"/>
    <w:rsid w:val="2A2722E3"/>
    <w:rsid w:val="2A326424"/>
    <w:rsid w:val="2A5E2BEC"/>
    <w:rsid w:val="2A944F41"/>
    <w:rsid w:val="2A9B3276"/>
    <w:rsid w:val="2AAE3A07"/>
    <w:rsid w:val="2AD04CEE"/>
    <w:rsid w:val="2AD0584D"/>
    <w:rsid w:val="2AD571B7"/>
    <w:rsid w:val="2AD83742"/>
    <w:rsid w:val="2AFD7873"/>
    <w:rsid w:val="2B033E75"/>
    <w:rsid w:val="2B057BED"/>
    <w:rsid w:val="2B140A52"/>
    <w:rsid w:val="2B237433"/>
    <w:rsid w:val="2B284CA6"/>
    <w:rsid w:val="2B3836F1"/>
    <w:rsid w:val="2B4A7991"/>
    <w:rsid w:val="2B604E23"/>
    <w:rsid w:val="2B8B2DB3"/>
    <w:rsid w:val="2B9351F9"/>
    <w:rsid w:val="2BC576B3"/>
    <w:rsid w:val="2BC85C3C"/>
    <w:rsid w:val="2BD55B51"/>
    <w:rsid w:val="2C1F4644"/>
    <w:rsid w:val="2C2E3173"/>
    <w:rsid w:val="2C5D6089"/>
    <w:rsid w:val="2C6C5FA0"/>
    <w:rsid w:val="2C83526D"/>
    <w:rsid w:val="2C8D7E9A"/>
    <w:rsid w:val="2C9C00DD"/>
    <w:rsid w:val="2D224D02"/>
    <w:rsid w:val="2D5C710B"/>
    <w:rsid w:val="2D612B18"/>
    <w:rsid w:val="2D684463"/>
    <w:rsid w:val="2D771835"/>
    <w:rsid w:val="2D7C3246"/>
    <w:rsid w:val="2DA350AD"/>
    <w:rsid w:val="2DB9081B"/>
    <w:rsid w:val="2DF45CF7"/>
    <w:rsid w:val="2DF801CB"/>
    <w:rsid w:val="2E114AFB"/>
    <w:rsid w:val="2E244142"/>
    <w:rsid w:val="2E60513A"/>
    <w:rsid w:val="2E774004"/>
    <w:rsid w:val="2E8250B1"/>
    <w:rsid w:val="2E9D6949"/>
    <w:rsid w:val="2EFC2E12"/>
    <w:rsid w:val="2F2254B5"/>
    <w:rsid w:val="2F3A598B"/>
    <w:rsid w:val="2F611A76"/>
    <w:rsid w:val="2F6F2805"/>
    <w:rsid w:val="2F6F53BD"/>
    <w:rsid w:val="2F745341"/>
    <w:rsid w:val="2F7D0BFC"/>
    <w:rsid w:val="2FD47F42"/>
    <w:rsid w:val="2FE5304B"/>
    <w:rsid w:val="300E30A0"/>
    <w:rsid w:val="30303A1F"/>
    <w:rsid w:val="305330D0"/>
    <w:rsid w:val="30A9101A"/>
    <w:rsid w:val="30C145B6"/>
    <w:rsid w:val="30C23404"/>
    <w:rsid w:val="30DF2C8E"/>
    <w:rsid w:val="30EB3EF2"/>
    <w:rsid w:val="30FC55EE"/>
    <w:rsid w:val="310A3110"/>
    <w:rsid w:val="31127610"/>
    <w:rsid w:val="311E19F3"/>
    <w:rsid w:val="313308E4"/>
    <w:rsid w:val="31352B82"/>
    <w:rsid w:val="314E5151"/>
    <w:rsid w:val="31607B1C"/>
    <w:rsid w:val="31685BE6"/>
    <w:rsid w:val="317C5DA0"/>
    <w:rsid w:val="31813D45"/>
    <w:rsid w:val="318F333A"/>
    <w:rsid w:val="3192419A"/>
    <w:rsid w:val="319553BB"/>
    <w:rsid w:val="31CC4FC0"/>
    <w:rsid w:val="31D900D5"/>
    <w:rsid w:val="3222750B"/>
    <w:rsid w:val="32244627"/>
    <w:rsid w:val="32276EFB"/>
    <w:rsid w:val="3249732A"/>
    <w:rsid w:val="3250694A"/>
    <w:rsid w:val="32513718"/>
    <w:rsid w:val="327411B4"/>
    <w:rsid w:val="32A93F8C"/>
    <w:rsid w:val="32B11D48"/>
    <w:rsid w:val="32E26A66"/>
    <w:rsid w:val="32F715D4"/>
    <w:rsid w:val="331851E3"/>
    <w:rsid w:val="331E0810"/>
    <w:rsid w:val="332744B6"/>
    <w:rsid w:val="332D7CE1"/>
    <w:rsid w:val="337C30AF"/>
    <w:rsid w:val="338053ED"/>
    <w:rsid w:val="33A822A1"/>
    <w:rsid w:val="33D068BE"/>
    <w:rsid w:val="33F425AD"/>
    <w:rsid w:val="341C1F51"/>
    <w:rsid w:val="34390D95"/>
    <w:rsid w:val="34720743"/>
    <w:rsid w:val="34744250"/>
    <w:rsid w:val="3482405C"/>
    <w:rsid w:val="34A3453E"/>
    <w:rsid w:val="34B8747A"/>
    <w:rsid w:val="34C24459"/>
    <w:rsid w:val="34E22D4D"/>
    <w:rsid w:val="34E645EB"/>
    <w:rsid w:val="34F32864"/>
    <w:rsid w:val="35060098"/>
    <w:rsid w:val="359A53D6"/>
    <w:rsid w:val="35AE771F"/>
    <w:rsid w:val="35E46651"/>
    <w:rsid w:val="35E87669"/>
    <w:rsid w:val="35FA48FF"/>
    <w:rsid w:val="361A2073"/>
    <w:rsid w:val="361E7DB5"/>
    <w:rsid w:val="36323721"/>
    <w:rsid w:val="36513CE6"/>
    <w:rsid w:val="3654016C"/>
    <w:rsid w:val="3679323D"/>
    <w:rsid w:val="3681331C"/>
    <w:rsid w:val="369A22FE"/>
    <w:rsid w:val="36AA3C04"/>
    <w:rsid w:val="36D37347"/>
    <w:rsid w:val="36E032BC"/>
    <w:rsid w:val="371A6D71"/>
    <w:rsid w:val="37476E97"/>
    <w:rsid w:val="376B202F"/>
    <w:rsid w:val="376C65F4"/>
    <w:rsid w:val="378708F1"/>
    <w:rsid w:val="37A662B4"/>
    <w:rsid w:val="37AA6C4A"/>
    <w:rsid w:val="37AB1B1C"/>
    <w:rsid w:val="37EB016A"/>
    <w:rsid w:val="37ED15CC"/>
    <w:rsid w:val="37FF2434"/>
    <w:rsid w:val="381F5317"/>
    <w:rsid w:val="38787C50"/>
    <w:rsid w:val="388F0AF6"/>
    <w:rsid w:val="38A04AB1"/>
    <w:rsid w:val="38A5656B"/>
    <w:rsid w:val="38AC5B4C"/>
    <w:rsid w:val="38C56FE4"/>
    <w:rsid w:val="38CE6F11"/>
    <w:rsid w:val="38E507FA"/>
    <w:rsid w:val="39665CFB"/>
    <w:rsid w:val="398D6742"/>
    <w:rsid w:val="399B0870"/>
    <w:rsid w:val="39DB7DF1"/>
    <w:rsid w:val="3A5B15D7"/>
    <w:rsid w:val="3A5F274A"/>
    <w:rsid w:val="3ADB0417"/>
    <w:rsid w:val="3AEA64B7"/>
    <w:rsid w:val="3AEC101C"/>
    <w:rsid w:val="3AFD443D"/>
    <w:rsid w:val="3B3243A4"/>
    <w:rsid w:val="3B392F9B"/>
    <w:rsid w:val="3B457B92"/>
    <w:rsid w:val="3B642CDE"/>
    <w:rsid w:val="3B7A7FBD"/>
    <w:rsid w:val="3B837F8F"/>
    <w:rsid w:val="3BB16FD5"/>
    <w:rsid w:val="3BFD4EE9"/>
    <w:rsid w:val="3C1934F8"/>
    <w:rsid w:val="3C333E8E"/>
    <w:rsid w:val="3C463BC1"/>
    <w:rsid w:val="3C4937F9"/>
    <w:rsid w:val="3C860462"/>
    <w:rsid w:val="3C8A1D00"/>
    <w:rsid w:val="3CE05DC4"/>
    <w:rsid w:val="3CF16201"/>
    <w:rsid w:val="3D143381"/>
    <w:rsid w:val="3D2D205A"/>
    <w:rsid w:val="3D31760F"/>
    <w:rsid w:val="3D382687"/>
    <w:rsid w:val="3D403908"/>
    <w:rsid w:val="3D4E0F7F"/>
    <w:rsid w:val="3D726BD0"/>
    <w:rsid w:val="3D7B789B"/>
    <w:rsid w:val="3D8366DF"/>
    <w:rsid w:val="3D915310"/>
    <w:rsid w:val="3DA83CC3"/>
    <w:rsid w:val="3DD551FD"/>
    <w:rsid w:val="3DE6565C"/>
    <w:rsid w:val="3DEE62BF"/>
    <w:rsid w:val="3DF80D16"/>
    <w:rsid w:val="3E1B3936"/>
    <w:rsid w:val="3E2D5039"/>
    <w:rsid w:val="3E610DA3"/>
    <w:rsid w:val="3E6B1E2F"/>
    <w:rsid w:val="3EA11583"/>
    <w:rsid w:val="3EA370A9"/>
    <w:rsid w:val="3EA82911"/>
    <w:rsid w:val="3EBC2FBC"/>
    <w:rsid w:val="3ED6218D"/>
    <w:rsid w:val="3EEA65AF"/>
    <w:rsid w:val="3EF34A48"/>
    <w:rsid w:val="3EFC4A0B"/>
    <w:rsid w:val="3F231C80"/>
    <w:rsid w:val="3F476304"/>
    <w:rsid w:val="3FEB51AC"/>
    <w:rsid w:val="3FFC3940"/>
    <w:rsid w:val="40972C3D"/>
    <w:rsid w:val="409A0980"/>
    <w:rsid w:val="40CA760B"/>
    <w:rsid w:val="40D6341C"/>
    <w:rsid w:val="40DF25DF"/>
    <w:rsid w:val="40E57E4D"/>
    <w:rsid w:val="410C568F"/>
    <w:rsid w:val="41134A1D"/>
    <w:rsid w:val="411643F0"/>
    <w:rsid w:val="41596145"/>
    <w:rsid w:val="41744D2D"/>
    <w:rsid w:val="418A4550"/>
    <w:rsid w:val="418D4040"/>
    <w:rsid w:val="41BB6E00"/>
    <w:rsid w:val="425D496F"/>
    <w:rsid w:val="42755200"/>
    <w:rsid w:val="42AC5635"/>
    <w:rsid w:val="42B0401C"/>
    <w:rsid w:val="42B12D3E"/>
    <w:rsid w:val="42C716E4"/>
    <w:rsid w:val="42C817D4"/>
    <w:rsid w:val="42C926E3"/>
    <w:rsid w:val="42CB6BCE"/>
    <w:rsid w:val="43280C11"/>
    <w:rsid w:val="432C7A52"/>
    <w:rsid w:val="433378D3"/>
    <w:rsid w:val="43566DE0"/>
    <w:rsid w:val="43862465"/>
    <w:rsid w:val="4392593E"/>
    <w:rsid w:val="4395660B"/>
    <w:rsid w:val="43B43B06"/>
    <w:rsid w:val="43F43D93"/>
    <w:rsid w:val="44136A7F"/>
    <w:rsid w:val="442B034B"/>
    <w:rsid w:val="44316F05"/>
    <w:rsid w:val="44461FB5"/>
    <w:rsid w:val="44C42545"/>
    <w:rsid w:val="44D97CC8"/>
    <w:rsid w:val="44DB3636"/>
    <w:rsid w:val="44E80DC8"/>
    <w:rsid w:val="450929D1"/>
    <w:rsid w:val="45163F36"/>
    <w:rsid w:val="452E5DBE"/>
    <w:rsid w:val="453750D5"/>
    <w:rsid w:val="4554734F"/>
    <w:rsid w:val="45E561F9"/>
    <w:rsid w:val="45F11042"/>
    <w:rsid w:val="46243F0D"/>
    <w:rsid w:val="46731A57"/>
    <w:rsid w:val="46771071"/>
    <w:rsid w:val="469F284C"/>
    <w:rsid w:val="46BE46E5"/>
    <w:rsid w:val="46D544C0"/>
    <w:rsid w:val="46DA4FE2"/>
    <w:rsid w:val="46FA326F"/>
    <w:rsid w:val="47632212"/>
    <w:rsid w:val="478C7274"/>
    <w:rsid w:val="478D6B48"/>
    <w:rsid w:val="47A10840"/>
    <w:rsid w:val="47CC1C05"/>
    <w:rsid w:val="48333FF5"/>
    <w:rsid w:val="484C07B1"/>
    <w:rsid w:val="48623B31"/>
    <w:rsid w:val="487D6BBD"/>
    <w:rsid w:val="488D229E"/>
    <w:rsid w:val="48934632"/>
    <w:rsid w:val="48CE566A"/>
    <w:rsid w:val="48F13107"/>
    <w:rsid w:val="491D5CAA"/>
    <w:rsid w:val="49507E2D"/>
    <w:rsid w:val="496524E9"/>
    <w:rsid w:val="4973642B"/>
    <w:rsid w:val="4974069B"/>
    <w:rsid w:val="49804BB7"/>
    <w:rsid w:val="49831FB1"/>
    <w:rsid w:val="49870902"/>
    <w:rsid w:val="49A31927"/>
    <w:rsid w:val="49AC366C"/>
    <w:rsid w:val="49AC7392"/>
    <w:rsid w:val="49B85B8D"/>
    <w:rsid w:val="49E54A1A"/>
    <w:rsid w:val="49ED1B20"/>
    <w:rsid w:val="49F454A4"/>
    <w:rsid w:val="4A1B19A9"/>
    <w:rsid w:val="4A35158C"/>
    <w:rsid w:val="4A631DE2"/>
    <w:rsid w:val="4A7C3C02"/>
    <w:rsid w:val="4A7D2EA4"/>
    <w:rsid w:val="4AD52CE0"/>
    <w:rsid w:val="4ADB5E1D"/>
    <w:rsid w:val="4AFA47E9"/>
    <w:rsid w:val="4B1B26BD"/>
    <w:rsid w:val="4B6732BA"/>
    <w:rsid w:val="4BC66784"/>
    <w:rsid w:val="4C15710C"/>
    <w:rsid w:val="4C254C16"/>
    <w:rsid w:val="4C481290"/>
    <w:rsid w:val="4C806C7C"/>
    <w:rsid w:val="4C871B32"/>
    <w:rsid w:val="4C8D1200"/>
    <w:rsid w:val="4C8F3EBC"/>
    <w:rsid w:val="4CDF47AB"/>
    <w:rsid w:val="4CE0771A"/>
    <w:rsid w:val="4CE63B56"/>
    <w:rsid w:val="4D422183"/>
    <w:rsid w:val="4D9E49DF"/>
    <w:rsid w:val="4DA57F84"/>
    <w:rsid w:val="4DC46009"/>
    <w:rsid w:val="4DD3102D"/>
    <w:rsid w:val="4DEF09C3"/>
    <w:rsid w:val="4E0B4C6B"/>
    <w:rsid w:val="4E6B36B4"/>
    <w:rsid w:val="4E720846"/>
    <w:rsid w:val="4E751D89"/>
    <w:rsid w:val="4E7B3B9E"/>
    <w:rsid w:val="4E8D5603"/>
    <w:rsid w:val="4E9E788D"/>
    <w:rsid w:val="4EC921AC"/>
    <w:rsid w:val="4ED17C62"/>
    <w:rsid w:val="4F266313"/>
    <w:rsid w:val="4F382CBA"/>
    <w:rsid w:val="4F62274C"/>
    <w:rsid w:val="4FCF2439"/>
    <w:rsid w:val="4FD73056"/>
    <w:rsid w:val="4FD77C83"/>
    <w:rsid w:val="4FD95020"/>
    <w:rsid w:val="4FDD50F3"/>
    <w:rsid w:val="4FE324BF"/>
    <w:rsid w:val="50212524"/>
    <w:rsid w:val="5051105B"/>
    <w:rsid w:val="50642410"/>
    <w:rsid w:val="506D5769"/>
    <w:rsid w:val="5090264F"/>
    <w:rsid w:val="50962F12"/>
    <w:rsid w:val="50AE00E4"/>
    <w:rsid w:val="50DB6B76"/>
    <w:rsid w:val="50DE6667"/>
    <w:rsid w:val="50EA011B"/>
    <w:rsid w:val="50F65CE1"/>
    <w:rsid w:val="51037408"/>
    <w:rsid w:val="51054768"/>
    <w:rsid w:val="511B6F73"/>
    <w:rsid w:val="512C3963"/>
    <w:rsid w:val="5151508A"/>
    <w:rsid w:val="51533C6F"/>
    <w:rsid w:val="516B0364"/>
    <w:rsid w:val="5176689F"/>
    <w:rsid w:val="51937BB9"/>
    <w:rsid w:val="51A111A9"/>
    <w:rsid w:val="51AF3FA8"/>
    <w:rsid w:val="51DB6702"/>
    <w:rsid w:val="51E47CAD"/>
    <w:rsid w:val="51E63A25"/>
    <w:rsid w:val="51F06EA8"/>
    <w:rsid w:val="51F15F26"/>
    <w:rsid w:val="520224D5"/>
    <w:rsid w:val="520774F7"/>
    <w:rsid w:val="521F6F37"/>
    <w:rsid w:val="522307D5"/>
    <w:rsid w:val="522602C5"/>
    <w:rsid w:val="52272522"/>
    <w:rsid w:val="522916D2"/>
    <w:rsid w:val="52374280"/>
    <w:rsid w:val="524A2E7A"/>
    <w:rsid w:val="5268268C"/>
    <w:rsid w:val="52D17DA0"/>
    <w:rsid w:val="53315789"/>
    <w:rsid w:val="533B1F79"/>
    <w:rsid w:val="539B2FF7"/>
    <w:rsid w:val="53CD2652"/>
    <w:rsid w:val="53CE29C2"/>
    <w:rsid w:val="545C2AD3"/>
    <w:rsid w:val="54B25E40"/>
    <w:rsid w:val="54CD67D6"/>
    <w:rsid w:val="54DB5397"/>
    <w:rsid w:val="54F40207"/>
    <w:rsid w:val="5531145B"/>
    <w:rsid w:val="553E2958"/>
    <w:rsid w:val="558772CD"/>
    <w:rsid w:val="55CE3E0E"/>
    <w:rsid w:val="55D843B0"/>
    <w:rsid w:val="55DD513F"/>
    <w:rsid w:val="55FB68DC"/>
    <w:rsid w:val="561A4A63"/>
    <w:rsid w:val="563924BC"/>
    <w:rsid w:val="563A726F"/>
    <w:rsid w:val="56421912"/>
    <w:rsid w:val="56576C9F"/>
    <w:rsid w:val="569A59E3"/>
    <w:rsid w:val="56AF6ADB"/>
    <w:rsid w:val="56D025AE"/>
    <w:rsid w:val="570D1A54"/>
    <w:rsid w:val="576F626A"/>
    <w:rsid w:val="57A14FC1"/>
    <w:rsid w:val="57B679F5"/>
    <w:rsid w:val="57DD4F82"/>
    <w:rsid w:val="581666E6"/>
    <w:rsid w:val="581E2F41"/>
    <w:rsid w:val="585D4315"/>
    <w:rsid w:val="58AE3380"/>
    <w:rsid w:val="58B008E9"/>
    <w:rsid w:val="58C425E6"/>
    <w:rsid w:val="5903310E"/>
    <w:rsid w:val="59142C25"/>
    <w:rsid w:val="59222643"/>
    <w:rsid w:val="592E5DE4"/>
    <w:rsid w:val="59464DA9"/>
    <w:rsid w:val="597C07CB"/>
    <w:rsid w:val="59E95E90"/>
    <w:rsid w:val="59F70FA5"/>
    <w:rsid w:val="59F76459"/>
    <w:rsid w:val="5A087BE3"/>
    <w:rsid w:val="5A1517DA"/>
    <w:rsid w:val="5A202555"/>
    <w:rsid w:val="5A4E2167"/>
    <w:rsid w:val="5A514F94"/>
    <w:rsid w:val="5A6051AD"/>
    <w:rsid w:val="5A6B0E63"/>
    <w:rsid w:val="5A6F20DD"/>
    <w:rsid w:val="5A717C66"/>
    <w:rsid w:val="5A837B59"/>
    <w:rsid w:val="5AD175C5"/>
    <w:rsid w:val="5AE6533A"/>
    <w:rsid w:val="5AEB3E5A"/>
    <w:rsid w:val="5AF01CBC"/>
    <w:rsid w:val="5AF06053"/>
    <w:rsid w:val="5B0371FD"/>
    <w:rsid w:val="5B04316E"/>
    <w:rsid w:val="5B2B4256"/>
    <w:rsid w:val="5B8300AB"/>
    <w:rsid w:val="5C275F49"/>
    <w:rsid w:val="5C313AEE"/>
    <w:rsid w:val="5C5C4DA4"/>
    <w:rsid w:val="5C7210D8"/>
    <w:rsid w:val="5C746AB7"/>
    <w:rsid w:val="5C881250"/>
    <w:rsid w:val="5CA24B14"/>
    <w:rsid w:val="5CAF2C65"/>
    <w:rsid w:val="5CE76EFF"/>
    <w:rsid w:val="5CEE7C31"/>
    <w:rsid w:val="5D345A94"/>
    <w:rsid w:val="5D352A64"/>
    <w:rsid w:val="5D7925EB"/>
    <w:rsid w:val="5DB06C95"/>
    <w:rsid w:val="5DB951D2"/>
    <w:rsid w:val="5E2002BE"/>
    <w:rsid w:val="5E4C4C10"/>
    <w:rsid w:val="5E6275F0"/>
    <w:rsid w:val="5E8728D2"/>
    <w:rsid w:val="5EC55836"/>
    <w:rsid w:val="5EF063F0"/>
    <w:rsid w:val="5EF54B0B"/>
    <w:rsid w:val="5EFC4888"/>
    <w:rsid w:val="5EFC6BC4"/>
    <w:rsid w:val="5EFD23AE"/>
    <w:rsid w:val="5F0648D7"/>
    <w:rsid w:val="5F2A6295"/>
    <w:rsid w:val="5F6917F1"/>
    <w:rsid w:val="5F9A5F76"/>
    <w:rsid w:val="5FBC5DC5"/>
    <w:rsid w:val="5FCB6008"/>
    <w:rsid w:val="5FD0361E"/>
    <w:rsid w:val="5FDF533E"/>
    <w:rsid w:val="5FEF619A"/>
    <w:rsid w:val="5FF97FD7"/>
    <w:rsid w:val="60144461"/>
    <w:rsid w:val="601B0D3D"/>
    <w:rsid w:val="60200102"/>
    <w:rsid w:val="6065020A"/>
    <w:rsid w:val="60653D12"/>
    <w:rsid w:val="608D1D0E"/>
    <w:rsid w:val="609B568F"/>
    <w:rsid w:val="60A75DFC"/>
    <w:rsid w:val="61001CE1"/>
    <w:rsid w:val="61023A4D"/>
    <w:rsid w:val="61202383"/>
    <w:rsid w:val="614E49B4"/>
    <w:rsid w:val="619D7A4B"/>
    <w:rsid w:val="61A42FB4"/>
    <w:rsid w:val="61B74A96"/>
    <w:rsid w:val="61CD6067"/>
    <w:rsid w:val="61D5331B"/>
    <w:rsid w:val="61DD4253"/>
    <w:rsid w:val="621C7E79"/>
    <w:rsid w:val="621D13A6"/>
    <w:rsid w:val="6223037D"/>
    <w:rsid w:val="62554E07"/>
    <w:rsid w:val="625E2DB7"/>
    <w:rsid w:val="6260512D"/>
    <w:rsid w:val="627E55B4"/>
    <w:rsid w:val="628D77F7"/>
    <w:rsid w:val="62946B85"/>
    <w:rsid w:val="62B67116"/>
    <w:rsid w:val="62E23D94"/>
    <w:rsid w:val="62E53885"/>
    <w:rsid w:val="62E5574C"/>
    <w:rsid w:val="62E879E8"/>
    <w:rsid w:val="62FA7330"/>
    <w:rsid w:val="635C5BB2"/>
    <w:rsid w:val="636624E3"/>
    <w:rsid w:val="63696264"/>
    <w:rsid w:val="63696E29"/>
    <w:rsid w:val="637263BC"/>
    <w:rsid w:val="637A3FCD"/>
    <w:rsid w:val="637A570E"/>
    <w:rsid w:val="63853C08"/>
    <w:rsid w:val="639E2ACA"/>
    <w:rsid w:val="63A566FC"/>
    <w:rsid w:val="63AC7EFE"/>
    <w:rsid w:val="63D34A76"/>
    <w:rsid w:val="63EF200F"/>
    <w:rsid w:val="643E6C3E"/>
    <w:rsid w:val="64413923"/>
    <w:rsid w:val="6449399F"/>
    <w:rsid w:val="644A1AD5"/>
    <w:rsid w:val="64524F4A"/>
    <w:rsid w:val="64590086"/>
    <w:rsid w:val="64610CE9"/>
    <w:rsid w:val="64913083"/>
    <w:rsid w:val="64DC3870"/>
    <w:rsid w:val="64E42046"/>
    <w:rsid w:val="653B3C30"/>
    <w:rsid w:val="65471226"/>
    <w:rsid w:val="654E74BF"/>
    <w:rsid w:val="655C6080"/>
    <w:rsid w:val="657D21E6"/>
    <w:rsid w:val="659A2704"/>
    <w:rsid w:val="65AD0E8B"/>
    <w:rsid w:val="65B62578"/>
    <w:rsid w:val="65C634F9"/>
    <w:rsid w:val="65C8585C"/>
    <w:rsid w:val="65C92FEA"/>
    <w:rsid w:val="65E816C2"/>
    <w:rsid w:val="65FA13F5"/>
    <w:rsid w:val="66174349"/>
    <w:rsid w:val="661B1DC2"/>
    <w:rsid w:val="66541E82"/>
    <w:rsid w:val="66677D78"/>
    <w:rsid w:val="667F4A03"/>
    <w:rsid w:val="66AC4B45"/>
    <w:rsid w:val="67074E05"/>
    <w:rsid w:val="671A256A"/>
    <w:rsid w:val="674D3AD6"/>
    <w:rsid w:val="675B4115"/>
    <w:rsid w:val="6782581A"/>
    <w:rsid w:val="678648A8"/>
    <w:rsid w:val="67A94E81"/>
    <w:rsid w:val="67EA72A2"/>
    <w:rsid w:val="67EC0641"/>
    <w:rsid w:val="67F105D6"/>
    <w:rsid w:val="67F16B5C"/>
    <w:rsid w:val="68437083"/>
    <w:rsid w:val="689830EE"/>
    <w:rsid w:val="68AA7102"/>
    <w:rsid w:val="68E1689C"/>
    <w:rsid w:val="68EF0FB9"/>
    <w:rsid w:val="693115D2"/>
    <w:rsid w:val="6943629B"/>
    <w:rsid w:val="69670B4F"/>
    <w:rsid w:val="69746B44"/>
    <w:rsid w:val="69847953"/>
    <w:rsid w:val="698E639C"/>
    <w:rsid w:val="69B55CD8"/>
    <w:rsid w:val="69C8489A"/>
    <w:rsid w:val="6A136F29"/>
    <w:rsid w:val="6A1A7241"/>
    <w:rsid w:val="6A1C198C"/>
    <w:rsid w:val="6A435600"/>
    <w:rsid w:val="6A52305F"/>
    <w:rsid w:val="6A5A5184"/>
    <w:rsid w:val="6B124127"/>
    <w:rsid w:val="6B573396"/>
    <w:rsid w:val="6B99448D"/>
    <w:rsid w:val="6B9F5C32"/>
    <w:rsid w:val="6BAF2675"/>
    <w:rsid w:val="6BB822C3"/>
    <w:rsid w:val="6BBF2EC5"/>
    <w:rsid w:val="6BDB75D3"/>
    <w:rsid w:val="6BE217A4"/>
    <w:rsid w:val="6BF012D0"/>
    <w:rsid w:val="6C0C2AFD"/>
    <w:rsid w:val="6C15018D"/>
    <w:rsid w:val="6C303574"/>
    <w:rsid w:val="6C3C3B50"/>
    <w:rsid w:val="6C445178"/>
    <w:rsid w:val="6C44786E"/>
    <w:rsid w:val="6C4E5FF7"/>
    <w:rsid w:val="6C987FDB"/>
    <w:rsid w:val="6CA14487"/>
    <w:rsid w:val="6CB40765"/>
    <w:rsid w:val="6CE626D3"/>
    <w:rsid w:val="6D2448C8"/>
    <w:rsid w:val="6D2B458A"/>
    <w:rsid w:val="6D313AC1"/>
    <w:rsid w:val="6D382D72"/>
    <w:rsid w:val="6D4A665F"/>
    <w:rsid w:val="6DB256C5"/>
    <w:rsid w:val="6DDD7632"/>
    <w:rsid w:val="6E116188"/>
    <w:rsid w:val="6E2D0C79"/>
    <w:rsid w:val="6E426268"/>
    <w:rsid w:val="6E7C32EF"/>
    <w:rsid w:val="6EAC097F"/>
    <w:rsid w:val="6EB457CF"/>
    <w:rsid w:val="6EBF31DC"/>
    <w:rsid w:val="6EC151A6"/>
    <w:rsid w:val="6EFF182A"/>
    <w:rsid w:val="6F0F2106"/>
    <w:rsid w:val="6F2153A9"/>
    <w:rsid w:val="6F376AFB"/>
    <w:rsid w:val="6F4C550C"/>
    <w:rsid w:val="6FC72057"/>
    <w:rsid w:val="6FD00963"/>
    <w:rsid w:val="6FDA37C5"/>
    <w:rsid w:val="70117912"/>
    <w:rsid w:val="703C400F"/>
    <w:rsid w:val="703D79F0"/>
    <w:rsid w:val="704763A0"/>
    <w:rsid w:val="705834D7"/>
    <w:rsid w:val="70797C5D"/>
    <w:rsid w:val="70826EAE"/>
    <w:rsid w:val="709564D3"/>
    <w:rsid w:val="70D80585"/>
    <w:rsid w:val="70E64A50"/>
    <w:rsid w:val="70F42876"/>
    <w:rsid w:val="70F74EAF"/>
    <w:rsid w:val="70FB4BE6"/>
    <w:rsid w:val="71397275"/>
    <w:rsid w:val="71755DD4"/>
    <w:rsid w:val="71A60541"/>
    <w:rsid w:val="71BB1B5A"/>
    <w:rsid w:val="71C535A8"/>
    <w:rsid w:val="71D84CE0"/>
    <w:rsid w:val="72087E0A"/>
    <w:rsid w:val="72186237"/>
    <w:rsid w:val="72676064"/>
    <w:rsid w:val="727D4B80"/>
    <w:rsid w:val="728C7879"/>
    <w:rsid w:val="72A07E28"/>
    <w:rsid w:val="72CA076A"/>
    <w:rsid w:val="72D444F2"/>
    <w:rsid w:val="72E476B5"/>
    <w:rsid w:val="72EA4C72"/>
    <w:rsid w:val="73090B02"/>
    <w:rsid w:val="730B7B0B"/>
    <w:rsid w:val="73133AF6"/>
    <w:rsid w:val="732950C8"/>
    <w:rsid w:val="73341FFD"/>
    <w:rsid w:val="735C724B"/>
    <w:rsid w:val="73814A84"/>
    <w:rsid w:val="73C37108"/>
    <w:rsid w:val="73ED27FD"/>
    <w:rsid w:val="73F61BDB"/>
    <w:rsid w:val="74207B19"/>
    <w:rsid w:val="742D6E39"/>
    <w:rsid w:val="743414C6"/>
    <w:rsid w:val="74405F2F"/>
    <w:rsid w:val="7453031D"/>
    <w:rsid w:val="7480345A"/>
    <w:rsid w:val="74803A5D"/>
    <w:rsid w:val="74A6269D"/>
    <w:rsid w:val="74CC21AE"/>
    <w:rsid w:val="74D86DA5"/>
    <w:rsid w:val="74D90B4D"/>
    <w:rsid w:val="75420F96"/>
    <w:rsid w:val="754E0E15"/>
    <w:rsid w:val="75616D9B"/>
    <w:rsid w:val="756D573F"/>
    <w:rsid w:val="756E622E"/>
    <w:rsid w:val="75926677"/>
    <w:rsid w:val="759D6957"/>
    <w:rsid w:val="75BB0D91"/>
    <w:rsid w:val="75D21A46"/>
    <w:rsid w:val="75EB6213"/>
    <w:rsid w:val="761F7B7A"/>
    <w:rsid w:val="76270648"/>
    <w:rsid w:val="765212AD"/>
    <w:rsid w:val="76595CC4"/>
    <w:rsid w:val="765A29A5"/>
    <w:rsid w:val="7673071D"/>
    <w:rsid w:val="767E1BCE"/>
    <w:rsid w:val="76931859"/>
    <w:rsid w:val="76B17777"/>
    <w:rsid w:val="76BB679E"/>
    <w:rsid w:val="76F60EB9"/>
    <w:rsid w:val="770666C4"/>
    <w:rsid w:val="773B3127"/>
    <w:rsid w:val="778C162A"/>
    <w:rsid w:val="77984802"/>
    <w:rsid w:val="779E42D6"/>
    <w:rsid w:val="77DC4DFE"/>
    <w:rsid w:val="780F782A"/>
    <w:rsid w:val="78783C4A"/>
    <w:rsid w:val="78974A35"/>
    <w:rsid w:val="78C626DB"/>
    <w:rsid w:val="78C947D3"/>
    <w:rsid w:val="78CC2212"/>
    <w:rsid w:val="790B60C7"/>
    <w:rsid w:val="792A1B99"/>
    <w:rsid w:val="792E3438"/>
    <w:rsid w:val="79E65AC0"/>
    <w:rsid w:val="79FC3536"/>
    <w:rsid w:val="7A050E41"/>
    <w:rsid w:val="7A082A05"/>
    <w:rsid w:val="7A082C5C"/>
    <w:rsid w:val="7A3158C6"/>
    <w:rsid w:val="7A3C0BE4"/>
    <w:rsid w:val="7A554441"/>
    <w:rsid w:val="7A8F7A6A"/>
    <w:rsid w:val="7A965738"/>
    <w:rsid w:val="7AB21E46"/>
    <w:rsid w:val="7AB94F83"/>
    <w:rsid w:val="7AC2124A"/>
    <w:rsid w:val="7AE925AF"/>
    <w:rsid w:val="7B0179C8"/>
    <w:rsid w:val="7B034450"/>
    <w:rsid w:val="7B053505"/>
    <w:rsid w:val="7B2B5D06"/>
    <w:rsid w:val="7B451FBE"/>
    <w:rsid w:val="7B494559"/>
    <w:rsid w:val="7B4D1C06"/>
    <w:rsid w:val="7B67423B"/>
    <w:rsid w:val="7B963516"/>
    <w:rsid w:val="7BB20D3D"/>
    <w:rsid w:val="7BBF0CBF"/>
    <w:rsid w:val="7BD52290"/>
    <w:rsid w:val="7BE11BCC"/>
    <w:rsid w:val="7BE473F9"/>
    <w:rsid w:val="7BE6624C"/>
    <w:rsid w:val="7BF769D3"/>
    <w:rsid w:val="7C127041"/>
    <w:rsid w:val="7C442F72"/>
    <w:rsid w:val="7CE24C65"/>
    <w:rsid w:val="7D6B2EAC"/>
    <w:rsid w:val="7D87580C"/>
    <w:rsid w:val="7DD0449A"/>
    <w:rsid w:val="7DED3078"/>
    <w:rsid w:val="7DF87373"/>
    <w:rsid w:val="7E04294B"/>
    <w:rsid w:val="7E083482"/>
    <w:rsid w:val="7E0B3D48"/>
    <w:rsid w:val="7E3A462D"/>
    <w:rsid w:val="7E4153DE"/>
    <w:rsid w:val="7E626D78"/>
    <w:rsid w:val="7E71755F"/>
    <w:rsid w:val="7EA2457D"/>
    <w:rsid w:val="7EA515B5"/>
    <w:rsid w:val="7EBE76E6"/>
    <w:rsid w:val="7EE60311"/>
    <w:rsid w:val="7EE741A2"/>
    <w:rsid w:val="7EEC216D"/>
    <w:rsid w:val="7F0D3AEF"/>
    <w:rsid w:val="7F0F5AB9"/>
    <w:rsid w:val="7F10538E"/>
    <w:rsid w:val="7F1964E7"/>
    <w:rsid w:val="7F1E5CFC"/>
    <w:rsid w:val="7F5B2AAD"/>
    <w:rsid w:val="7F7935CD"/>
    <w:rsid w:val="7F845A5F"/>
    <w:rsid w:val="7F923FF5"/>
    <w:rsid w:val="7FA96493"/>
    <w:rsid w:val="7FC56178"/>
    <w:rsid w:val="7FEC7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eastAsia="黑体"/>
      <w:b/>
      <w:bCs/>
      <w:kern w:val="44"/>
      <w:sz w:val="30"/>
      <w:szCs w:val="3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napToGrid w:val="0"/>
      <w:spacing w:line="460" w:lineRule="atLeast"/>
      <w:ind w:firstLine="200" w:firstLineChars="200"/>
    </w:pPr>
    <w:rPr>
      <w:rFonts w:ascii="Times New Roman" w:hAnsi="Times New Roman" w:eastAsia="宋体"/>
      <w:sz w:val="24"/>
    </w:rPr>
  </w:style>
  <w:style w:type="paragraph" w:styleId="4">
    <w:name w:val="caption"/>
    <w:basedOn w:val="1"/>
    <w:next w:val="1"/>
    <w:unhideWhenUsed/>
    <w:qFormat/>
    <w:uiPriority w:val="0"/>
    <w:rPr>
      <w:rFonts w:ascii="Arial" w:hAnsi="Arial" w:eastAsia="黑体"/>
      <w:sz w:val="20"/>
    </w:rPr>
  </w:style>
  <w:style w:type="paragraph" w:styleId="5">
    <w:name w:val="Plain Text"/>
    <w:basedOn w:val="1"/>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表注图注"/>
    <w:basedOn w:val="1"/>
    <w:qFormat/>
    <w:uiPriority w:val="0"/>
    <w:pPr>
      <w:ind w:firstLine="0" w:firstLineChars="0"/>
      <w:jc w:val="center"/>
    </w:pPr>
    <w:rPr>
      <w:b/>
      <w:bCs/>
      <w:sz w:val="21"/>
      <w:szCs w:val="21"/>
    </w:rPr>
  </w:style>
  <w:style w:type="paragraph" w:customStyle="1" w:styleId="12">
    <w:name w:val="标注"/>
    <w:basedOn w:val="1"/>
    <w:qFormat/>
    <w:uiPriority w:val="0"/>
    <w:pPr>
      <w:adjustRightInd w:val="0"/>
      <w:snapToGrid w:val="0"/>
      <w:ind w:firstLine="0" w:firstLineChars="0"/>
    </w:pPr>
    <w:rPr>
      <w:rFonts w:ascii="Times New Roman" w:hAnsi="Times New Roman" w:eastAsia="宋体" w:cs="Times New Roman"/>
      <w:b/>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4OTM1NTg1NDU5IiwKCSJHcm91cElkIiA6ICIzODg1MDgyOTkiLAoJIkltYWdlIiA6ICJpVkJPUncwS0dnb0FBQUFOU1VoRVVnQUFBdFFBQUFId0NBWUFBQUNHK1BoTkFBQUFBWE5TUjBJQXJzNGM2UUFBSUFCSlJFRlVlSnpzM1hsOFhGWDVQL0RQYzJheWRZT1dGbEFEcGhKc0c1ckpQV2RRVU5sY1dCVFpCRVJSUkJRRXZ2Z1ZjVVBRbjdKL0Zkd1hGQVJSd0FWQlFSWkJjUUZsRVhIdW5abTBvZFdBQmFwc3BYdVRKcGs1eisrUG1jRmhPa21USnUwMHllZjlldlhWNU55elBIZG93ak5uemowSEl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SbVAxL0Y3dWJuSHNDS01zQUFBQUFTVVZPUks1Q1lJST0iLAoJIlRoZW1lIiA6ICIiLAoJIlR5cGUiIDogImZsb3ciLAoJIlVzZXJJZCIgOiAiMzcwMzE0OTQzIiwKCSJWZXJzaW9uIiA6ICIiCn0K"/>
    </extobj>
    <extobj name="ECB019B1-382A-4266-B25C-5B523AA43C14-2">
      <extobjdata type="ECB019B1-382A-4266-B25C-5B523AA43C14" data="ewoJIkZpbGVJZCIgOiAiMzI0MjQzOTA2MTM1IiwKCSJHcm91cElkIiA6ICIzODg1MDgyOTkiLAoJIkltYWdlIiA6ICJpVkJPUncwS0dnb0FBQUFOU1VoRVVnQUFBekFBQUFEVENBWUFBQUJlTVBhcUFBQUFBWE5TUjBJQXJzNGM2UUFBSUFCSlJFRlVlSnpzM1htY1cxWDVQL0RQYzI1bU10TmxvR05iS0ZTWjRraEwyaWIzM0tDSWdvRHdSVkRaQkFWRmY2eUtLSXZnaG9wK0FRVnhCVnhBRkdVVlVWRlFVUkZGRUFWQnlMMlphVHUwWHdvTVdLRnMzYmZwSk9mNS9aRmt6S1JKWisvTXRKLzM2OVZYazNQdlBmZEo1aWE1ejcxbkF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ZmMvTy9vTjFObHpvZGtBQUFBQVNVVk9SSzVDWUlJPSIsCgkiVGhlbWUiIDogIiIsCgkiVHlwZSIgOiAiZmxvdyIsCgkiVmVyc2lvbiIgOiAiIgp9Cg=="/>
    </extobj>
    <extobj name="ECB019B1-382A-4266-B25C-5B523AA43C14-3">
      <extobjdata type="ECB019B1-382A-4266-B25C-5B523AA43C14" data="ewoJIkZpbGVJZCIgOiAiMzkxNzc3OTMyMjU3IiwKCSJHcm91cElkIiA6ICIzODg1MDgyOTkiLAoJIkltYWdlIiA6ICJpVkJPUncwS0dnb0FBQUFOU1VoRVVnQUFBdVVBQUFGbUNBWUFBQURLOXVRVkFBQUFBWE5TUjBJQXJzNGM2UUFBSUFCSlJFRlVlSnpzM1hsOEhWWGRQL0RQOTh5a1dkcVVVbllvVXJUU0VwcDc1OHhGUWNDSFZRRVhRRUJGUWNVVnhBMTlSTkJIQlJFUVVGd0FVWCtpOGdpNDRBSzRJQ3FMckNwd1orWW1KVStMUVNLVWZTblEwcWJKbmZQOS9aRzU0ZmIySmsyNjNUVDl2Rit2dkhMdjJlWTd5VFQ5Wm5MbUh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YjRuL0Q5Wjd1UnBKSE0veEFBQUFBRWxGVGtTdVFtQ0MiLAoJIlRoZW1lIiA6ICIiLAoJIlR5cGUiIDogImZsb3ciLAoJIlVzZXJJZCIgOiAiMzcwMzE0OTQz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37</Words>
  <Characters>37</Characters>
  <Lines>0</Lines>
  <Paragraphs>0</Paragraphs>
  <TotalTime>56</TotalTime>
  <ScaleCrop>false</ScaleCrop>
  <LinksUpToDate>false</LinksUpToDate>
  <CharactersWithSpaces>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2024-08-05T03:59:00Z</dcterms:created>
  <dc:creator>拾</dc:creator>
  <cp:lastModifiedBy>拾</cp:lastModifiedBy>
  <cp:lastPrinted>2025-03-03T06:04:00Z</cp:lastPrinted>
  <dcterms:modified xsi:type="dcterms:W3CDTF">2025-04-29T07:07:38Z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ACA902294F924D409AEBA8D99A4736F9_13</vt:lpwstr>
  </property>
  <property fmtid="{D5CDD505-2E9C-101B-9397-08002B2CF9AE}" pid="4" name="KSOTemplateDocerSaveRecord">
    <vt:lpwstr>eyJoZGlkIjoiYTI4OTQyYWQxMTk4OThiOTA2YzA1YjgxN2IzYjZkMmIiLCJ1c2VySWQiOiIzNzAzMTQ5NDMifQ==</vt:lpwstr>
  </property>
</Properties>
</file>